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B42D8">
      <w:pPr>
        <w:bidi w:val="0"/>
        <w:jc w:val="center"/>
        <w:rPr>
          <w:rFonts w:hint="default"/>
          <w:b/>
          <w:bCs/>
          <w:sz w:val="32"/>
          <w:szCs w:val="24"/>
          <w:lang w:val="en-US" w:eastAsia="zh-CN"/>
        </w:rPr>
      </w:pPr>
      <w:r>
        <w:rPr>
          <w:rFonts w:hint="eastAsia"/>
          <w:b/>
          <w:bCs/>
          <w:sz w:val="32"/>
          <w:szCs w:val="24"/>
          <w:lang w:val="en-US" w:eastAsia="zh-CN"/>
        </w:rPr>
        <w:t>交通安监工程招标技术要求</w:t>
      </w:r>
    </w:p>
    <w:p w14:paraId="359BCB24">
      <w:pPr>
        <w:bidi w:val="0"/>
        <w:rPr>
          <w:rFonts w:hint="eastAsia"/>
          <w:b/>
          <w:bCs/>
          <w:lang w:val="en-US" w:eastAsia="zh-CN"/>
        </w:rPr>
      </w:pPr>
      <w:r>
        <w:rPr>
          <w:rFonts w:hint="eastAsia"/>
          <w:b/>
          <w:bCs/>
          <w:lang w:val="en-US" w:eastAsia="zh-CN"/>
        </w:rPr>
        <w:t>一、项目概况</w:t>
      </w:r>
    </w:p>
    <w:p w14:paraId="56B53AE6">
      <w:pPr>
        <w:bidi w:val="0"/>
        <w:rPr>
          <w:rFonts w:hint="eastAsia"/>
          <w:lang w:val="en-US" w:eastAsia="zh-CN"/>
        </w:rPr>
      </w:pPr>
      <w:r>
        <w:rPr>
          <w:rFonts w:hint="eastAsia"/>
          <w:lang w:val="en-US" w:eastAsia="zh-CN"/>
        </w:rPr>
        <w:t>本项目包含三条道路，为均昌路、广湾街、新翠路。其中均昌路北起珠海大道辅道，东接广南路，全长468.167m，道路等级为城市支路，设计速度30km/h；广湾街西接广南路，东接安民街，全长549.210m，道路等级为城市支路，设计速度30km/h；新翠路西接拟建洪湾大道，东北接广昌保障房处，全长966.762m，道路等级为城市支路，设计速度20km/h。</w:t>
      </w:r>
    </w:p>
    <w:p w14:paraId="7421B3E7">
      <w:pPr>
        <w:bidi w:val="0"/>
        <w:rPr>
          <w:rFonts w:hint="eastAsia"/>
        </w:rPr>
      </w:pPr>
      <w:r>
        <w:rPr>
          <w:rFonts w:hint="eastAsia"/>
        </w:rPr>
        <w:t>工程建设内容包括：道路工程、软基工程、交通工程、安监工程、照明工程、绿化工程、管线工程（给水、雨水、污水、缆线管廊）及排洪渠工程等。</w:t>
      </w:r>
    </w:p>
    <w:p w14:paraId="5E6227CE">
      <w:pPr>
        <w:numPr>
          <w:ilvl w:val="0"/>
          <w:numId w:val="2"/>
        </w:numPr>
        <w:bidi w:val="0"/>
        <w:rPr>
          <w:rFonts w:hint="eastAsia"/>
          <w:lang w:val="en-US" w:eastAsia="zh-CN"/>
        </w:rPr>
      </w:pPr>
      <w:r>
        <w:rPr>
          <w:rFonts w:hint="eastAsia"/>
          <w:b/>
          <w:bCs/>
          <w:lang w:val="en-US" w:eastAsia="zh-CN"/>
        </w:rPr>
        <w:t>交通安监工程概况</w:t>
      </w:r>
    </w:p>
    <w:p w14:paraId="47A876B3">
      <w:pPr>
        <w:bidi w:val="0"/>
        <w:rPr>
          <w:rFonts w:hint="eastAsia"/>
          <w:lang w:eastAsia="zh-CN"/>
        </w:rPr>
      </w:pPr>
      <w:r>
        <w:rPr>
          <w:rFonts w:hint="eastAsia"/>
          <w:lang w:val="en-US" w:eastAsia="zh-CN"/>
        </w:rPr>
        <w:t>（一）交通工程</w:t>
      </w:r>
      <w:r>
        <w:rPr>
          <w:rFonts w:hint="eastAsia"/>
        </w:rPr>
        <w:t>主要设计内容：道路交通设施设计（标线、标志</w:t>
      </w:r>
      <w:r>
        <w:rPr>
          <w:rFonts w:hint="eastAsia"/>
          <w:lang w:eastAsia="zh-CN"/>
        </w:rPr>
        <w:t>、</w:t>
      </w:r>
      <w:r>
        <w:rPr>
          <w:rFonts w:hint="eastAsia"/>
          <w:lang w:val="en-US" w:eastAsia="zh-CN"/>
        </w:rPr>
        <w:t>轮廓标</w:t>
      </w:r>
      <w:r>
        <w:rPr>
          <w:rFonts w:hint="eastAsia"/>
        </w:rPr>
        <w:t>及</w:t>
      </w:r>
      <w:r>
        <w:rPr>
          <w:rFonts w:hint="eastAsia"/>
          <w:lang w:val="en-US" w:eastAsia="zh-CN"/>
        </w:rPr>
        <w:t>示警桩</w:t>
      </w:r>
      <w:r>
        <w:rPr>
          <w:rFonts w:hint="eastAsia"/>
        </w:rPr>
        <w:t>）</w:t>
      </w:r>
      <w:r>
        <w:rPr>
          <w:rFonts w:hint="eastAsia"/>
          <w:lang w:eastAsia="zh-CN"/>
        </w:rPr>
        <w:t>。</w:t>
      </w:r>
    </w:p>
    <w:p w14:paraId="391F6E3E">
      <w:pPr>
        <w:bidi w:val="0"/>
        <w:rPr>
          <w:rFonts w:hint="default"/>
          <w:lang w:val="en-US" w:eastAsia="zh-CN"/>
        </w:rPr>
      </w:pPr>
      <w:bookmarkStart w:id="0" w:name="_Toc30252"/>
      <w:r>
        <w:rPr>
          <w:rFonts w:hint="eastAsia"/>
          <w:lang w:val="en-US" w:eastAsia="zh-CN"/>
        </w:rPr>
        <w:t>1、设计标准</w:t>
      </w:r>
      <w:bookmarkEnd w:id="0"/>
    </w:p>
    <w:p w14:paraId="2FF5A98D">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路面标线材料：高亮干湿态反光标线涂料。</w:t>
      </w:r>
    </w:p>
    <w:p w14:paraId="732AE528">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标线设计使用年限：</w:t>
      </w:r>
      <w:r>
        <w:rPr>
          <w:rFonts w:hint="eastAsia"/>
          <w:lang w:val="en-US" w:eastAsia="zh-CN"/>
        </w:rPr>
        <w:t>≥</w:t>
      </w:r>
      <w:r>
        <w:rPr>
          <w:rFonts w:hint="eastAsia"/>
        </w:rPr>
        <w:t>2年。</w:t>
      </w:r>
    </w:p>
    <w:p w14:paraId="7112ABEC">
      <w:pPr>
        <w:bidi w:val="0"/>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rPr>
        <w:t>标志牌</w:t>
      </w:r>
      <w:r>
        <w:rPr>
          <w:rFonts w:hint="eastAsia"/>
          <w:lang w:val="en-US" w:eastAsia="zh-CN"/>
        </w:rPr>
        <w:t>反光</w:t>
      </w:r>
      <w:r>
        <w:rPr>
          <w:rFonts w:hint="eastAsia"/>
        </w:rPr>
        <w:t>等级：</w:t>
      </w:r>
      <w:r>
        <w:rPr>
          <w:rFonts w:hint="eastAsia"/>
          <w:lang w:val="en-US" w:eastAsia="zh-CN"/>
        </w:rPr>
        <w:t>V</w:t>
      </w:r>
      <w:r>
        <w:rPr>
          <w:rFonts w:hint="eastAsia"/>
        </w:rPr>
        <w:t>类（</w:t>
      </w:r>
      <w:r>
        <w:rPr>
          <w:rFonts w:hint="eastAsia"/>
          <w:lang w:val="en-US" w:eastAsia="zh-CN"/>
        </w:rPr>
        <w:t>钻石级</w:t>
      </w:r>
      <w:r>
        <w:rPr>
          <w:rFonts w:hint="eastAsia"/>
        </w:rPr>
        <w:t>）反光膜。</w:t>
      </w:r>
    </w:p>
    <w:p w14:paraId="5FC4A344">
      <w:pPr>
        <w:bidi w:val="0"/>
        <w:rPr>
          <w:rFonts w:hint="eastAsia"/>
        </w:rPr>
      </w:pPr>
      <w:r>
        <w:rPr>
          <w:rFonts w:hint="eastAsia"/>
          <w:lang w:val="en-US" w:eastAsia="zh-CN"/>
        </w:rPr>
        <w:t>（4）标志板均由铝合金制作，厚度 ≥3.0mm。</w:t>
      </w:r>
    </w:p>
    <w:p w14:paraId="2C9382C7">
      <w:pPr>
        <w:bidi w:val="0"/>
        <w:rPr>
          <w:rFonts w:hint="eastAsia"/>
          <w:lang w:val="en-US" w:eastAsia="zh-CN"/>
        </w:rPr>
      </w:pPr>
      <w:r>
        <w:rPr>
          <w:rFonts w:hint="eastAsia"/>
          <w:lang w:val="en-US" w:eastAsia="zh-CN"/>
        </w:rPr>
        <w:t>（5）标志</w:t>
      </w:r>
      <w:r>
        <w:rPr>
          <w:rFonts w:hint="eastAsia"/>
        </w:rPr>
        <w:t>杆件抗风等级：14级。</w:t>
      </w:r>
    </w:p>
    <w:p w14:paraId="61B7BB9C">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标志杆基础设计承载力不小于</w:t>
      </w:r>
      <w:r>
        <w:rPr>
          <w:rFonts w:hint="eastAsia"/>
          <w:lang w:val="en-US" w:eastAsia="zh-CN"/>
        </w:rPr>
        <w:t>90</w:t>
      </w:r>
      <w:r>
        <w:rPr>
          <w:rFonts w:hint="eastAsia"/>
        </w:rPr>
        <w:t>kpa。</w:t>
      </w:r>
    </w:p>
    <w:p w14:paraId="266A029E">
      <w:pPr>
        <w:bidi w:val="0"/>
        <w:rPr>
          <w:rFonts w:hint="eastAsia"/>
          <w:lang w:val="en-US" w:eastAsia="zh-CN"/>
        </w:rPr>
      </w:pPr>
      <w:bookmarkStart w:id="1" w:name="_Toc22545"/>
      <w:r>
        <w:rPr>
          <w:rFonts w:hint="eastAsia"/>
          <w:lang w:val="en-US" w:eastAsia="zh-CN"/>
        </w:rPr>
        <w:t>2、标线</w:t>
      </w:r>
      <w:bookmarkEnd w:id="1"/>
    </w:p>
    <w:p w14:paraId="41BB2CB9">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路面标线材料统一采用高亮干湿态反光标线涂料</w:t>
      </w:r>
      <w:r>
        <w:rPr>
          <w:rFonts w:hint="eastAsia"/>
          <w:lang w:eastAsia="zh-CN"/>
        </w:rPr>
        <w:t>。</w:t>
      </w:r>
    </w:p>
    <w:p w14:paraId="4C31DA36">
      <w:pPr>
        <w:bidi w:val="0"/>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行车道边缘线采用白色实线，宽15cm，</w:t>
      </w:r>
      <w:r>
        <w:rPr>
          <w:rFonts w:hint="eastAsia"/>
          <w:lang w:val="en-US" w:eastAsia="zh-CN"/>
        </w:rPr>
        <w:t>行车道分界线线长4</w:t>
      </w:r>
      <w:r>
        <w:rPr>
          <w:rFonts w:hint="eastAsia"/>
        </w:rPr>
        <w:t>00cm，间隔</w:t>
      </w:r>
      <w:r>
        <w:rPr>
          <w:rFonts w:hint="eastAsia"/>
          <w:lang w:val="en-US" w:eastAsia="zh-CN"/>
        </w:rPr>
        <w:t>6</w:t>
      </w:r>
      <w:r>
        <w:rPr>
          <w:rFonts w:hint="eastAsia"/>
        </w:rPr>
        <w:t>00cm</w:t>
      </w:r>
      <w:r>
        <w:rPr>
          <w:rFonts w:hint="eastAsia"/>
          <w:lang w:eastAsia="zh-CN"/>
        </w:rPr>
        <w:t>，</w:t>
      </w:r>
      <w:r>
        <w:rPr>
          <w:rFonts w:hint="eastAsia"/>
        </w:rPr>
        <w:t>宽15cm</w:t>
      </w:r>
      <w:r>
        <w:rPr>
          <w:rFonts w:hint="eastAsia"/>
          <w:lang w:eastAsia="zh-CN"/>
        </w:rPr>
        <w:t>。</w:t>
      </w:r>
    </w:p>
    <w:p w14:paraId="279B89AC">
      <w:pPr>
        <w:bidi w:val="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交叉口进、出口段标线要求按道路平面线型，根据道路标线设计进行流线型布置</w:t>
      </w:r>
      <w:r>
        <w:rPr>
          <w:rFonts w:hint="eastAsia"/>
          <w:lang w:eastAsia="zh-CN"/>
        </w:rPr>
        <w:t>。</w:t>
      </w:r>
    </w:p>
    <w:p w14:paraId="38B58509">
      <w:pPr>
        <w:bidi w:val="0"/>
        <w:rPr>
          <w:rFonts w:hint="eastAsia"/>
          <w:lang w:val="en-US" w:eastAsia="zh-CN"/>
        </w:rPr>
      </w:pPr>
      <w:bookmarkStart w:id="2" w:name="_Toc3346"/>
      <w:r>
        <w:rPr>
          <w:rFonts w:hint="eastAsia"/>
          <w:lang w:val="en-US" w:eastAsia="zh-CN"/>
        </w:rPr>
        <w:t>3、道路标志</w:t>
      </w:r>
      <w:bookmarkEnd w:id="2"/>
    </w:p>
    <w:p w14:paraId="24CFAE5E">
      <w:pPr>
        <w:bidi w:val="0"/>
      </w:pPr>
      <w:r>
        <w:t>根据道路沿线交叉口及进出小路口分布情况，结合相关规范标准，合理设置各种标志及交通信号设施，规范交通组织及行车。</w:t>
      </w:r>
    </w:p>
    <w:p w14:paraId="0605D30F">
      <w:pPr>
        <w:bidi w:val="0"/>
        <w:rPr>
          <w:rFonts w:hint="eastAsia"/>
          <w:lang w:val="en-US" w:eastAsia="zh-CN"/>
        </w:rPr>
      </w:pPr>
      <w:r>
        <w:t>本项目标志牌的尺寸规格</w:t>
      </w:r>
      <w:r>
        <w:rPr>
          <w:rFonts w:hint="eastAsia"/>
          <w:lang w:eastAsia="zh-CN"/>
        </w:rPr>
        <w:t>：</w:t>
      </w:r>
      <w:r>
        <w:t>警告标志，三角形边长</w:t>
      </w:r>
      <w:r>
        <w:rPr>
          <w:rFonts w:hint="eastAsia"/>
          <w:lang w:val="en-US" w:eastAsia="zh-CN"/>
        </w:rPr>
        <w:t>9</w:t>
      </w:r>
      <w:r>
        <w:t>0cm</w:t>
      </w:r>
      <w:r>
        <w:rPr>
          <w:rFonts w:hint="eastAsia"/>
          <w:lang w:eastAsia="zh-CN"/>
        </w:rPr>
        <w:t>；</w:t>
      </w:r>
      <w:r>
        <w:t>禁令标志</w:t>
      </w:r>
      <w:r>
        <w:rPr>
          <w:rFonts w:hint="eastAsia"/>
          <w:lang w:eastAsia="zh-CN"/>
        </w:rPr>
        <w:t>，</w:t>
      </w:r>
      <w:r>
        <w:t>圆形</w:t>
      </w:r>
      <w:r>
        <w:rPr>
          <w:rFonts w:hint="eastAsia"/>
          <w:lang w:val="en-US" w:eastAsia="zh-CN"/>
        </w:rPr>
        <w:t>外</w:t>
      </w:r>
      <w:r>
        <w:t>径</w:t>
      </w:r>
      <w:r>
        <w:rPr>
          <w:rFonts w:hint="eastAsia"/>
          <w:lang w:val="en-US" w:eastAsia="zh-CN"/>
        </w:rPr>
        <w:t>8</w:t>
      </w:r>
      <w:r>
        <w:t>0cm</w:t>
      </w:r>
      <w:r>
        <w:rPr>
          <w:rFonts w:hint="eastAsia"/>
          <w:lang w:eastAsia="zh-CN"/>
        </w:rPr>
        <w:t>；</w:t>
      </w:r>
      <w:r>
        <w:t>指示标志</w:t>
      </w:r>
      <w:r>
        <w:rPr>
          <w:rFonts w:hint="eastAsia"/>
          <w:lang w:eastAsia="zh-CN"/>
        </w:rPr>
        <w:t>，</w:t>
      </w:r>
      <w:r>
        <w:t>正方形边长</w:t>
      </w:r>
      <w:r>
        <w:rPr>
          <w:rFonts w:hint="eastAsia"/>
          <w:lang w:val="en-US" w:eastAsia="zh-CN"/>
        </w:rPr>
        <w:t>8</w:t>
      </w:r>
      <w:r>
        <w:t>0cm</w:t>
      </w:r>
      <w:r>
        <w:rPr>
          <w:rFonts w:hint="eastAsia"/>
          <w:lang w:eastAsia="zh-CN"/>
        </w:rPr>
        <w:t>。</w:t>
      </w:r>
      <w:r>
        <w:rPr>
          <w:rFonts w:hint="eastAsia"/>
          <w:lang w:val="en-US" w:eastAsia="zh-CN"/>
        </w:rPr>
        <w:t>指路标志，长方形400×240cm。</w:t>
      </w:r>
    </w:p>
    <w:p w14:paraId="59DEF410">
      <w:pPr>
        <w:bidi w:val="0"/>
        <w:rPr>
          <w:rFonts w:hint="eastAsia"/>
          <w:lang w:val="en-US" w:eastAsia="zh-CN"/>
        </w:rPr>
      </w:pPr>
      <w:bookmarkStart w:id="3" w:name="_Toc12337"/>
      <w:r>
        <w:rPr>
          <w:rFonts w:hint="eastAsia"/>
          <w:lang w:val="en-US" w:eastAsia="zh-CN"/>
        </w:rPr>
        <w:t>4、示警桩</w:t>
      </w:r>
      <w:bookmarkEnd w:id="3"/>
    </w:p>
    <w:p w14:paraId="5EE6C7EE">
      <w:pPr>
        <w:bidi w:val="0"/>
      </w:pPr>
      <w:r>
        <w:rPr>
          <w:rFonts w:hint="eastAsia"/>
          <w:lang w:val="en-US" w:eastAsia="zh-CN"/>
        </w:rPr>
        <w:t>示警桩</w:t>
      </w:r>
      <w:r>
        <w:t>主要设置在</w:t>
      </w:r>
      <w:r>
        <w:rPr>
          <w:rFonts w:hint="eastAsia"/>
          <w:lang w:val="en-US" w:eastAsia="zh-CN"/>
        </w:rPr>
        <w:t>道路沿线地块开口两侧和无信号灯控制交叉口的人行横道入口两侧</w:t>
      </w:r>
      <w:r>
        <w:t>。</w:t>
      </w:r>
    </w:p>
    <w:p w14:paraId="420E1433">
      <w:pPr>
        <w:bidi w:val="0"/>
      </w:pPr>
      <w:r>
        <w:rPr>
          <w:rFonts w:hint="eastAsia"/>
          <w:lang w:val="en-US" w:eastAsia="zh-CN"/>
        </w:rPr>
        <w:t>示警桩</w:t>
      </w:r>
      <w:r>
        <w:t>采用Φ</w:t>
      </w:r>
      <w:r>
        <w:rPr>
          <w:rFonts w:hint="eastAsia"/>
          <w:lang w:val="en-US" w:eastAsia="zh-CN"/>
        </w:rPr>
        <w:t>140</w:t>
      </w:r>
      <w:r>
        <w:t>mm钢管制成，表面贴反光膜，反光等级为第</w:t>
      </w:r>
      <w:r>
        <w:rPr>
          <w:rFonts w:hint="eastAsia"/>
          <w:lang w:val="en-US" w:eastAsia="zh-CN"/>
        </w:rPr>
        <w:t>V</w:t>
      </w:r>
      <w:r>
        <w:t>类（</w:t>
      </w:r>
      <w:r>
        <w:rPr>
          <w:rFonts w:hint="eastAsia"/>
          <w:lang w:val="en-US" w:eastAsia="zh-CN"/>
        </w:rPr>
        <w:t>钻石级</w:t>
      </w:r>
      <w:r>
        <w:t>）反光膜，并且顶端要做成弧面，钢管壁厚不少于2.5mm，钢管内腔应灌注C</w:t>
      </w:r>
      <w:r>
        <w:rPr>
          <w:rFonts w:hint="eastAsia"/>
          <w:lang w:val="en-US" w:eastAsia="zh-CN"/>
        </w:rPr>
        <w:t>25</w:t>
      </w:r>
      <w:r>
        <w:t>水泥砼</w:t>
      </w:r>
      <w:r>
        <w:rPr>
          <w:rFonts w:hint="eastAsia"/>
          <w:lang w:eastAsia="zh-CN"/>
        </w:rPr>
        <w:t>，</w:t>
      </w:r>
      <w:r>
        <w:t>表面贴红白反光膜。</w:t>
      </w:r>
    </w:p>
    <w:p w14:paraId="6CA39900">
      <w:pPr>
        <w:bidi w:val="0"/>
        <w:rPr>
          <w:rFonts w:hint="default"/>
          <w:lang w:val="en-US" w:eastAsia="zh-CN"/>
        </w:rPr>
      </w:pPr>
      <w:bookmarkStart w:id="4" w:name="_Toc18906"/>
      <w:r>
        <w:rPr>
          <w:rFonts w:hint="eastAsia"/>
          <w:lang w:val="en-US" w:eastAsia="zh-CN"/>
        </w:rPr>
        <w:t>5、轮廓标</w:t>
      </w:r>
      <w:bookmarkEnd w:id="4"/>
    </w:p>
    <w:p w14:paraId="2F6A5548">
      <w:pPr>
        <w:bidi w:val="0"/>
        <w:rPr>
          <w:rFonts w:hint="eastAsia"/>
          <w:lang w:val="en-US" w:eastAsia="zh-CN"/>
        </w:rPr>
      </w:pPr>
      <w:r>
        <w:rPr>
          <w:rFonts w:hint="eastAsia"/>
          <w:lang w:val="en-US" w:eastAsia="zh-CN"/>
        </w:rPr>
        <w:t>急弯处设置柱体轮廓标，采用混凝土基础，柱体与基础的连接可采用装配式安装。轮廓标柱身为白色，在柱体上部有250mm长的黑色标记，黑色标记中间镶嵌一块180mmX40mm的白色（或黄色）反射器，白色反光射器安装于道路右侧，黄色反光片安装于道路左侧。</w:t>
      </w:r>
    </w:p>
    <w:p w14:paraId="090C77BB">
      <w:pPr>
        <w:bidi w:val="0"/>
        <w:rPr>
          <w:rFonts w:hint="eastAsia"/>
          <w:lang w:val="en-US" w:eastAsia="zh-CN"/>
        </w:rPr>
      </w:pPr>
      <w:bookmarkStart w:id="5" w:name="_Toc22400"/>
      <w:bookmarkStart w:id="6" w:name="_Toc10863"/>
      <w:r>
        <w:rPr>
          <w:rFonts w:hint="eastAsia"/>
          <w:lang w:val="en-US" w:eastAsia="zh-CN"/>
        </w:rPr>
        <w:t>（二）安监工程设计概况</w:t>
      </w:r>
      <w:bookmarkEnd w:id="5"/>
      <w:bookmarkEnd w:id="6"/>
    </w:p>
    <w:p w14:paraId="4F78A070">
      <w:pPr>
        <w:bidi w:val="0"/>
        <w:rPr>
          <w:rFonts w:hint="default"/>
          <w:lang w:val="en-US" w:eastAsia="zh-CN"/>
        </w:rPr>
      </w:pPr>
      <w:bookmarkStart w:id="7" w:name="_Toc13213"/>
      <w:r>
        <w:rPr>
          <w:rFonts w:hint="eastAsia"/>
          <w:lang w:val="en-US" w:eastAsia="zh-CN"/>
        </w:rPr>
        <w:t>1、安监整体设计</w:t>
      </w:r>
      <w:bookmarkEnd w:id="7"/>
    </w:p>
    <w:p w14:paraId="06F28E8E">
      <w:pPr>
        <w:bidi w:val="0"/>
        <w:rPr>
          <w:rFonts w:hint="eastAsia"/>
          <w:lang w:val="en-US" w:eastAsia="zh-CN"/>
        </w:rPr>
      </w:pPr>
      <w:r>
        <w:rPr>
          <w:rFonts w:hint="eastAsia"/>
          <w:lang w:val="en-US" w:eastAsia="zh-CN"/>
        </w:rPr>
        <w:t>本项目为道路改造工程，因此在均昌路和广湾街原本均已有了安监设施，本次设计对于均昌路和广湾街的监控设置均尽量采用利旧，其中均昌路杆件和设备均利旧，只重建基础和线缆。广湾街杆件利旧，更换枪机和球机，基础和线缆重建，个别杆件合杆。新翠路需新增五处安监设施，均为一枪机两球机，其中个别杆件利用广湾街，其余部分新建，缆线和基础均新建。</w:t>
      </w:r>
    </w:p>
    <w:p w14:paraId="130E2A09">
      <w:pPr>
        <w:bidi w:val="0"/>
        <w:rPr>
          <w:rFonts w:hint="default"/>
          <w:lang w:val="en-US" w:eastAsia="zh-CN"/>
        </w:rPr>
      </w:pPr>
      <w:bookmarkStart w:id="8" w:name="_Toc4427"/>
      <w:r>
        <w:rPr>
          <w:rFonts w:hint="eastAsia"/>
          <w:lang w:val="en-US" w:eastAsia="zh-CN"/>
        </w:rPr>
        <w:t>2、配套设施设计概况</w:t>
      </w:r>
      <w:bookmarkEnd w:id="8"/>
    </w:p>
    <w:p w14:paraId="1F267EB6">
      <w:pPr>
        <w:bidi w:val="0"/>
        <w:rPr>
          <w:rFonts w:hint="eastAsia"/>
          <w:lang w:val="en-US" w:eastAsia="zh-CN"/>
        </w:rPr>
      </w:pPr>
      <w:r>
        <w:rPr>
          <w:rFonts w:hint="eastAsia"/>
          <w:lang w:val="en-US" w:eastAsia="zh-CN"/>
        </w:rPr>
        <w:t>（1）监控杆件:本项目新建4根安监立杆,新建立杆尺寸:高度65m、横杆3m。立杆底部用素混凝土包裹,厚度不小于100mm。</w:t>
      </w:r>
    </w:p>
    <w:p w14:paraId="105DCDED">
      <w:pPr>
        <w:bidi w:val="0"/>
        <w:rPr>
          <w:rFonts w:hint="eastAsia"/>
          <w:lang w:val="en-US" w:eastAsia="zh-CN"/>
        </w:rPr>
      </w:pPr>
      <w:r>
        <w:rPr>
          <w:rFonts w:hint="eastAsia"/>
          <w:lang w:val="en-US" w:eastAsia="zh-CN"/>
        </w:rPr>
        <w:t>（2）智能监控箱:箱体应集成防护外壳、防雷器、熔纤单元、电源插排、保护地排、零线地排、市电输入输出配电单元、温控开关及风扇、自动重合闸开关(含漏电保护)等&gt;4个10/100/1000Bose-T以太网端口:需具备在线检测、回路远程控制、智能监测、质量诊断管理等功能:设备机箱采用304不锈钢,厚度&gt;1.2mm,防水防尘等级&gt;IP66级。智能箱接入运维管理平合,基于基础信息(编号、建设单位》、报警通知、派单管理、人员管理、设备管理、权限管理、报表统计等模块,构建“一机一档”。</w:t>
      </w:r>
    </w:p>
    <w:p w14:paraId="5520E93C">
      <w:pPr>
        <w:bidi w:val="0"/>
        <w:rPr>
          <w:rFonts w:hint="eastAsia"/>
          <w:lang w:val="en-US" w:eastAsia="zh-CN"/>
        </w:rPr>
      </w:pPr>
      <w:r>
        <w:rPr>
          <w:rFonts w:hint="eastAsia"/>
          <w:lang w:val="en-US" w:eastAsia="zh-CN"/>
        </w:rPr>
        <w:t>（3）线管管井:在人行道范围使敦设2-Ф110PVC管,过路管(或机动车道路段)數设2根热镇锌钢管(DN100)。预埋管间及监控点设置检查开:埋管深度&gt;80cm,同距按照规范要求执行。</w:t>
      </w:r>
    </w:p>
    <w:p w14:paraId="6E5594CD">
      <w:pPr>
        <w:numPr>
          <w:ilvl w:val="0"/>
          <w:numId w:val="2"/>
        </w:numPr>
        <w:bidi w:val="0"/>
        <w:ind w:left="0" w:leftChars="0" w:firstLine="482" w:firstLineChars="200"/>
        <w:rPr>
          <w:rFonts w:hint="default"/>
        </w:rPr>
      </w:pPr>
      <w:r>
        <w:rPr>
          <w:rFonts w:hint="default"/>
          <w:b/>
          <w:bCs/>
        </w:rPr>
        <w:t>施工范</w:t>
      </w:r>
      <w:r>
        <w:rPr>
          <w:rFonts w:hint="eastAsia"/>
          <w:b/>
          <w:bCs/>
          <w:lang w:val="en-US" w:eastAsia="zh-CN"/>
        </w:rPr>
        <w:t>围</w:t>
      </w:r>
    </w:p>
    <w:p w14:paraId="3D84BA01">
      <w:pPr>
        <w:bidi w:val="0"/>
        <w:rPr>
          <w:rFonts w:hint="default"/>
          <w:lang w:val="en-US" w:eastAsia="zh-CN"/>
        </w:rPr>
      </w:pPr>
      <w:r>
        <w:rPr>
          <w:rFonts w:hint="eastAsia"/>
          <w:lang w:val="en-US" w:eastAsia="zh-CN"/>
        </w:rPr>
        <w:t>广昌保障房配套技术设施项目交通工程和安监工程包含的一切内容，包含但不限于：</w:t>
      </w:r>
      <w:r>
        <w:rPr>
          <w:rFonts w:hint="eastAsia"/>
        </w:rPr>
        <w:t>道路交通设施设计（标线、标志</w:t>
      </w:r>
      <w:r>
        <w:rPr>
          <w:rFonts w:hint="eastAsia"/>
          <w:lang w:eastAsia="zh-CN"/>
        </w:rPr>
        <w:t>、</w:t>
      </w:r>
      <w:r>
        <w:rPr>
          <w:rFonts w:hint="eastAsia"/>
          <w:lang w:val="en-US" w:eastAsia="zh-CN"/>
        </w:rPr>
        <w:t>轮廓标</w:t>
      </w:r>
      <w:r>
        <w:rPr>
          <w:rFonts w:hint="eastAsia"/>
        </w:rPr>
        <w:t>及</w:t>
      </w:r>
      <w:r>
        <w:rPr>
          <w:rFonts w:hint="eastAsia"/>
          <w:lang w:val="en-US" w:eastAsia="zh-CN"/>
        </w:rPr>
        <w:t>示警桩</w:t>
      </w:r>
      <w:r>
        <w:rPr>
          <w:rFonts w:hint="eastAsia"/>
        </w:rPr>
        <w:t>）</w:t>
      </w:r>
      <w:r>
        <w:rPr>
          <w:rFonts w:hint="eastAsia"/>
          <w:lang w:eastAsia="zh-CN"/>
        </w:rPr>
        <w:t>，</w:t>
      </w:r>
      <w:r>
        <w:rPr>
          <w:rFonts w:hint="eastAsia"/>
          <w:lang w:val="en-US" w:eastAsia="zh-CN"/>
        </w:rPr>
        <w:t>安监工程中，均昌路杆件和设备利旧安装，翻新等，广湾街杆件利旧安装和翻新，球机和枪机更换，新翠路需新增五处安监设施，均为一枪机两球机，缆线和基础施工等内容。</w:t>
      </w:r>
    </w:p>
    <w:p w14:paraId="68827A16">
      <w:pPr>
        <w:numPr>
          <w:ilvl w:val="0"/>
          <w:numId w:val="2"/>
        </w:numPr>
        <w:bidi w:val="0"/>
        <w:ind w:left="0" w:leftChars="0" w:firstLine="482" w:firstLineChars="200"/>
        <w:rPr>
          <w:rFonts w:hint="default"/>
          <w:b/>
          <w:bCs/>
        </w:rPr>
      </w:pPr>
      <w:r>
        <w:rPr>
          <w:rFonts w:hint="eastAsia"/>
          <w:b/>
          <w:bCs/>
          <w:lang w:val="en-US" w:eastAsia="zh-CN"/>
        </w:rPr>
        <w:t>分包模式</w:t>
      </w:r>
    </w:p>
    <w:p w14:paraId="5BF46BEA">
      <w:pPr>
        <w:bidi w:val="0"/>
        <w:rPr>
          <w:rFonts w:hint="eastAsia"/>
          <w:color w:val="FF0000"/>
          <w:lang w:val="en-US" w:eastAsia="zh-CN"/>
        </w:rPr>
      </w:pPr>
      <w:r>
        <w:rPr>
          <w:rFonts w:hint="eastAsia"/>
          <w:b w:val="0"/>
          <w:bCs w:val="0"/>
          <w:color w:val="FF0000"/>
          <w:lang w:val="en-US" w:eastAsia="zh-CN"/>
        </w:rPr>
        <w:t>本工程采用</w:t>
      </w:r>
      <w:r>
        <w:rPr>
          <w:rFonts w:hint="eastAsia"/>
          <w:b/>
          <w:bCs/>
          <w:color w:val="FF0000"/>
          <w:lang w:val="en-US" w:eastAsia="zh-CN"/>
        </w:rPr>
        <w:t>专业分包模式</w:t>
      </w:r>
      <w:r>
        <w:rPr>
          <w:rFonts w:hint="eastAsia"/>
          <w:b w:val="0"/>
          <w:bCs w:val="0"/>
          <w:color w:val="FF0000"/>
          <w:lang w:val="en-US" w:eastAsia="zh-CN"/>
        </w:rPr>
        <w:t>，计价采用</w:t>
      </w:r>
      <w:r>
        <w:rPr>
          <w:rFonts w:hint="eastAsia"/>
          <w:b/>
          <w:bCs/>
          <w:color w:val="FF0000"/>
          <w:u w:val="single"/>
          <w:lang w:val="en-US" w:eastAsia="zh-CN"/>
        </w:rPr>
        <w:t>下浮率模式</w:t>
      </w:r>
      <w:r>
        <w:rPr>
          <w:rFonts w:hint="eastAsia"/>
          <w:b w:val="0"/>
          <w:bCs w:val="0"/>
          <w:color w:val="FF0000"/>
          <w:lang w:val="en-US" w:eastAsia="zh-CN"/>
        </w:rPr>
        <w:t>。即"</w:t>
      </w:r>
      <w:r>
        <w:rPr>
          <w:rFonts w:hint="eastAsia"/>
          <w:b/>
          <w:bCs/>
          <w:color w:val="FF0000"/>
          <w:u w:val="single"/>
          <w:lang w:val="en-US" w:eastAsia="zh-CN"/>
        </w:rPr>
        <w:t>包人工、包材料、包机具、包原材送检合格、</w:t>
      </w:r>
      <w:r>
        <w:rPr>
          <w:rFonts w:hint="eastAsia"/>
          <w:b/>
          <w:bCs/>
          <w:color w:val="FF0000"/>
          <w:highlight w:val="none"/>
          <w:u w:val="single"/>
          <w:lang w:val="en-US" w:eastAsia="zh-CN"/>
        </w:rPr>
        <w:t>包图纸深化（需联动包括但不限于</w:t>
      </w:r>
      <w:r>
        <w:rPr>
          <w:rFonts w:hint="eastAsia"/>
          <w:b/>
          <w:bCs/>
          <w:color w:val="FF0000"/>
          <w:sz w:val="24"/>
          <w:szCs w:val="36"/>
          <w:highlight w:val="none"/>
          <w:u w:val="single"/>
          <w:lang w:val="en-US" w:eastAsia="zh-CN"/>
        </w:rPr>
        <w:t>公安及交警</w:t>
      </w:r>
      <w:r>
        <w:rPr>
          <w:rFonts w:hint="eastAsia"/>
          <w:b/>
          <w:bCs/>
          <w:color w:val="FF0000"/>
          <w:highlight w:val="none"/>
          <w:u w:val="single"/>
          <w:lang w:val="en-US" w:eastAsia="zh-CN"/>
        </w:rPr>
        <w:t>部门等部门确认）、包因国家或地方规范改变引起的设计变更导致的费用变化、</w:t>
      </w:r>
      <w:r>
        <w:rPr>
          <w:rFonts w:hint="eastAsia"/>
          <w:b/>
          <w:bCs/>
          <w:color w:val="FF0000"/>
          <w:u w:val="single"/>
          <w:lang w:val="en-US" w:eastAsia="zh-CN"/>
        </w:rPr>
        <w:t>包检测合格、包验收通过、包移交、包内业资料、包工期(含赶工)、包质量、包安全、包文明施工、包绿色施工、包安全文明措施</w:t>
      </w:r>
      <w:r>
        <w:rPr>
          <w:rFonts w:hint="eastAsia"/>
          <w:b w:val="0"/>
          <w:bCs w:val="0"/>
          <w:color w:val="FF0000"/>
          <w:lang w:val="en-US" w:eastAsia="zh-CN"/>
        </w:rPr>
        <w:t>"的包干方式，全面负责本合同范围内的全部工作内容。</w:t>
      </w:r>
    </w:p>
    <w:p w14:paraId="26DECCDD">
      <w:pPr>
        <w:numPr>
          <w:ilvl w:val="0"/>
          <w:numId w:val="2"/>
        </w:numPr>
        <w:bidi w:val="0"/>
        <w:ind w:left="0" w:leftChars="0" w:firstLine="482" w:firstLineChars="200"/>
        <w:rPr>
          <w:rFonts w:hint="default"/>
          <w:b/>
          <w:bCs/>
        </w:rPr>
      </w:pPr>
      <w:r>
        <w:rPr>
          <w:rFonts w:hint="eastAsia"/>
          <w:b/>
          <w:bCs/>
          <w:lang w:val="en-US" w:eastAsia="zh-CN"/>
        </w:rPr>
        <w:t>系统与材料</w:t>
      </w:r>
      <w:r>
        <w:rPr>
          <w:rFonts w:hint="default"/>
          <w:b/>
          <w:bCs/>
        </w:rPr>
        <w:t>要求</w:t>
      </w:r>
    </w:p>
    <w:p w14:paraId="453A2567">
      <w:pPr>
        <w:bidi w:val="0"/>
      </w:pPr>
      <w:r>
        <w:rPr>
          <w:rFonts w:hint="eastAsia"/>
          <w:lang w:eastAsia="zh-CN"/>
        </w:rPr>
        <w:t>（</w:t>
      </w:r>
      <w:r>
        <w:rPr>
          <w:rFonts w:hint="eastAsia"/>
          <w:lang w:val="en-US" w:eastAsia="zh-CN"/>
        </w:rPr>
        <w:t>一</w:t>
      </w:r>
      <w:r>
        <w:rPr>
          <w:rFonts w:hint="eastAsia"/>
          <w:lang w:eastAsia="zh-CN"/>
        </w:rPr>
        <w:t>）</w:t>
      </w:r>
      <w:r>
        <w:t>总体建设原则</w:t>
      </w:r>
    </w:p>
    <w:p w14:paraId="15B4993C">
      <w:pPr>
        <w:numPr>
          <w:ilvl w:val="1"/>
          <w:numId w:val="3"/>
        </w:numPr>
        <w:bidi w:val="0"/>
      </w:pPr>
      <w:r>
        <w:rPr>
          <w:b/>
          <w:bCs/>
        </w:rPr>
        <w:t>先进性与成熟性</w:t>
      </w:r>
      <w:r>
        <w:t>：采用基于深度学习的智能分析技术，同时确保所选硬件设备的成熟稳定，避免使用实验性产品。</w:t>
      </w:r>
    </w:p>
    <w:p w14:paraId="1D424339">
      <w:pPr>
        <w:numPr>
          <w:ilvl w:val="1"/>
          <w:numId w:val="3"/>
        </w:numPr>
        <w:bidi w:val="0"/>
      </w:pPr>
      <w:r>
        <w:rPr>
          <w:b/>
          <w:bCs/>
        </w:rPr>
        <w:t>标准化与开放性</w:t>
      </w:r>
      <w:r>
        <w:t>：系统必须支持GB/T 28181-2022国标协议及 ONVIF、RTSP 等标准协议，确保能无缝接入政府监管平台（如智慧工地监管平台、公安视频云等），不接受私有封闭协议绑定。</w:t>
      </w:r>
    </w:p>
    <w:p w14:paraId="082D8F2E">
      <w:pPr>
        <w:numPr>
          <w:ilvl w:val="1"/>
          <w:numId w:val="3"/>
        </w:numPr>
        <w:bidi w:val="0"/>
      </w:pPr>
      <w:r>
        <w:rPr>
          <w:b/>
          <w:bCs/>
        </w:rPr>
        <w:t>高可靠性与环境适应性（珠海本地化要求</w:t>
      </w:r>
      <w:r>
        <w:t>）：针对珠海地区高湿、高盐雾、多台风的气候特点，所有室外前端设备、支架及箱体必须具备防盐雾腐蚀能力，结构设计需满足抗12级及以上台风要求。</w:t>
      </w:r>
    </w:p>
    <w:p w14:paraId="24AF37B6">
      <w:pPr>
        <w:numPr>
          <w:ilvl w:val="1"/>
          <w:numId w:val="3"/>
        </w:numPr>
        <w:bidi w:val="0"/>
      </w:pPr>
      <w:r>
        <w:rPr>
          <w:b/>
          <w:bCs/>
        </w:rPr>
        <w:t>安全性</w:t>
      </w:r>
      <w:r>
        <w:t>：系统需具备网络安全防护能力，符合等保2.0（三级）相关要求，支持视频数据加密传输。</w:t>
      </w:r>
    </w:p>
    <w:p w14:paraId="365611C0">
      <w:pPr>
        <w:bidi w:val="0"/>
        <w:rPr>
          <w:b w:val="0"/>
        </w:rPr>
      </w:pPr>
      <w:r>
        <w:rPr>
          <w:rFonts w:hint="eastAsia"/>
          <w:lang w:eastAsia="zh-CN"/>
        </w:rPr>
        <w:t>（</w:t>
      </w:r>
      <w:r>
        <w:rPr>
          <w:rFonts w:hint="eastAsia"/>
          <w:lang w:val="en-US" w:eastAsia="zh-CN"/>
        </w:rPr>
        <w:t>二</w:t>
      </w:r>
      <w:r>
        <w:rPr>
          <w:rFonts w:hint="eastAsia"/>
          <w:lang w:eastAsia="zh-CN"/>
        </w:rPr>
        <w:t>）</w:t>
      </w:r>
      <w:r>
        <w:t>系统详细技术参数</w:t>
      </w:r>
      <w:r>
        <w:rPr>
          <w:rFonts w:hint="eastAsia"/>
          <w:lang w:val="en-US" w:eastAsia="zh-CN"/>
        </w:rPr>
        <w:t>及设备品牌</w:t>
      </w:r>
      <w:r>
        <w:t>要求</w:t>
      </w:r>
      <w:r>
        <w:rPr>
          <w:rFonts w:hint="eastAsia"/>
          <w:sz w:val="24"/>
          <w:szCs w:val="36"/>
          <w:lang w:eastAsia="zh-CN"/>
        </w:rPr>
        <w:t>（</w:t>
      </w:r>
      <w:r>
        <w:rPr>
          <w:rFonts w:hint="eastAsia"/>
          <w:b/>
          <w:bCs/>
          <w:color w:val="FF0000"/>
          <w:sz w:val="24"/>
          <w:szCs w:val="36"/>
          <w:u w:val="single"/>
          <w:lang w:val="en-US" w:eastAsia="zh-CN"/>
        </w:rPr>
        <w:t>具体以公安及交警最新要求及施工图审核意见为准</w:t>
      </w:r>
      <w:r>
        <w:rPr>
          <w:rFonts w:hint="eastAsia"/>
          <w:sz w:val="24"/>
          <w:szCs w:val="36"/>
          <w:lang w:eastAsia="zh-CN"/>
        </w:rPr>
        <w:t>）</w:t>
      </w:r>
    </w:p>
    <w:p w14:paraId="0DB1BCE3">
      <w:pPr>
        <w:bidi w:val="0"/>
      </w:pPr>
      <w:r>
        <w:rPr>
          <w:rFonts w:hint="eastAsia"/>
          <w:lang w:val="en-US" w:eastAsia="zh-CN"/>
        </w:rPr>
        <w:t>1、</w:t>
      </w:r>
      <w:r>
        <w:t>前端采集子系统</w:t>
      </w:r>
    </w:p>
    <w:p w14:paraId="79027DBB">
      <w:pPr>
        <w:bidi w:val="0"/>
      </w:pPr>
      <w:r>
        <w:t>智能球机/枪机（通用要求）</w:t>
      </w:r>
    </w:p>
    <w:p w14:paraId="4586D769">
      <w:pPr>
        <w:bidi w:val="0"/>
        <w:rPr>
          <w:rFonts w:hint="eastAsia"/>
        </w:rPr>
      </w:pPr>
      <w:r>
        <w:rPr>
          <w:rFonts w:hint="default"/>
        </w:rPr>
        <w:t>①</w:t>
      </w:r>
      <w:r>
        <w:t>传感器：采用不低于 1/2.8 英寸 Progressive Scan CMOS 传感器。</w:t>
      </w:r>
    </w:p>
    <w:p w14:paraId="6C36F89C">
      <w:pPr>
        <w:bidi w:val="0"/>
        <w:rPr>
          <w:rFonts w:hint="eastAsia"/>
        </w:rPr>
      </w:pPr>
      <w:r>
        <w:rPr>
          <w:rFonts w:hint="default"/>
        </w:rPr>
        <w:t>②</w:t>
      </w:r>
      <w:r>
        <w:t>分辨率：主码流分辨率不低于 400万像素（2560×1440）@25fps。</w:t>
      </w:r>
    </w:p>
    <w:p w14:paraId="2C7C70BC">
      <w:pPr>
        <w:bidi w:val="0"/>
        <w:rPr>
          <w:rFonts w:hint="eastAsia"/>
        </w:rPr>
      </w:pPr>
      <w:r>
        <w:rPr>
          <w:rFonts w:hint="default"/>
        </w:rPr>
        <w:t>③</w:t>
      </w:r>
      <w:r>
        <w:t>视频编码：支持 H.265/H.264 编码标准，鼓励支持 SVAC 2.0 或 H.266 等更高压缩比标准，支持多码流技术。</w:t>
      </w:r>
    </w:p>
    <w:p w14:paraId="0050F003">
      <w:pPr>
        <w:bidi w:val="0"/>
        <w:rPr>
          <w:rFonts w:hint="eastAsia"/>
        </w:rPr>
      </w:pPr>
      <w:r>
        <w:rPr>
          <w:rFonts w:hint="eastAsia"/>
        </w:rPr>
        <w:t>④</w:t>
      </w:r>
      <w:r>
        <w:t>低照度：彩色模式≤0.001 Lux @(F1.2, AGC ON)，黑白模式≤0.0001 Lux，具备红外补光功能，补光距离≥50米（支持Smart IR防过曝）。</w:t>
      </w:r>
    </w:p>
    <w:p w14:paraId="17A7B348">
      <w:pPr>
        <w:bidi w:val="0"/>
        <w:rPr>
          <w:rFonts w:hint="eastAsia"/>
        </w:rPr>
      </w:pPr>
      <w:r>
        <w:rPr>
          <w:rFonts w:hint="eastAsia"/>
        </w:rPr>
        <w:t>⑤</w:t>
      </w:r>
      <w:r>
        <w:t>宽动态：支持超宽动态，动态范围≥120dB，确保逆光环境下人脸清晰。</w:t>
      </w:r>
    </w:p>
    <w:p w14:paraId="485093D6">
      <w:pPr>
        <w:bidi w:val="0"/>
        <w:rPr>
          <w:rFonts w:hint="eastAsia"/>
        </w:rPr>
      </w:pPr>
      <w:r>
        <w:rPr>
          <w:rFonts w:hint="eastAsia"/>
          <w:lang w:eastAsia="zh-CN"/>
        </w:rPr>
        <w:t>（</w:t>
      </w:r>
      <w:r>
        <w:rPr>
          <w:rFonts w:hint="eastAsia"/>
          <w:lang w:val="en-US" w:eastAsia="zh-CN"/>
        </w:rPr>
        <w:t>2</w:t>
      </w:r>
      <w:r>
        <w:rPr>
          <w:rFonts w:hint="eastAsia"/>
          <w:lang w:eastAsia="zh-CN"/>
        </w:rPr>
        <w:t>）</w:t>
      </w:r>
      <w:r>
        <w:t>防护等级：</w:t>
      </w:r>
    </w:p>
    <w:p w14:paraId="7A4DA9DB">
      <w:pPr>
        <w:bidi w:val="0"/>
      </w:pPr>
      <w:r>
        <w:rPr>
          <w:rFonts w:hint="default"/>
        </w:rPr>
        <w:t>①</w:t>
      </w:r>
      <w:r>
        <w:t>防尘防水等级不低于IP67。</w:t>
      </w:r>
    </w:p>
    <w:p w14:paraId="0DE5CD41">
      <w:pPr>
        <w:bidi w:val="0"/>
      </w:pPr>
      <w:r>
        <w:rPr>
          <w:rFonts w:hint="default"/>
        </w:rPr>
        <w:t>②</w:t>
      </w:r>
      <w:r>
        <w:t>防暴等级不低于IK10（球机）。</w:t>
      </w:r>
    </w:p>
    <w:p w14:paraId="5C30D1B5">
      <w:pPr>
        <w:bidi w:val="0"/>
      </w:pPr>
      <w:r>
        <w:rPr>
          <w:rFonts w:hint="default"/>
        </w:rPr>
        <w:t>③</w:t>
      </w:r>
      <w:r>
        <w:t>防腐蚀要求：室外设备外壳需通过 GB/T 2423.17 中性盐雾试验（NSS）至少96小时无锈蚀，提供第三方检测报告。</w:t>
      </w:r>
    </w:p>
    <w:p w14:paraId="2B4BA8F1">
      <w:pPr>
        <w:bidi w:val="0"/>
      </w:pPr>
      <w:r>
        <w:rPr>
          <w:rFonts w:hint="eastAsia"/>
        </w:rPr>
        <w:t>④</w:t>
      </w:r>
      <w:r>
        <w:t>接口：配置 1个 RJ45 10M/100M 自适应以太网口，支持 PoE 供电（可选）；支持音频输入输出、报警输入输出。</w:t>
      </w:r>
    </w:p>
    <w:p w14:paraId="626100C9">
      <w:pPr>
        <w:bidi w:val="0"/>
      </w:pPr>
      <w:r>
        <w:rPr>
          <w:rFonts w:hint="eastAsia"/>
          <w:lang w:eastAsia="zh-CN"/>
        </w:rPr>
        <w:t>（</w:t>
      </w:r>
      <w:r>
        <w:rPr>
          <w:rFonts w:hint="eastAsia"/>
          <w:lang w:val="en-US" w:eastAsia="zh-CN"/>
        </w:rPr>
        <w:t>3</w:t>
      </w:r>
      <w:r>
        <w:rPr>
          <w:rFonts w:hint="eastAsia"/>
          <w:lang w:eastAsia="zh-CN"/>
        </w:rPr>
        <w:t>）</w:t>
      </w:r>
      <w:r>
        <w:t>边缘智能分析能力</w:t>
      </w:r>
    </w:p>
    <w:p w14:paraId="25AAF6D8">
      <w:pPr>
        <w:bidi w:val="0"/>
      </w:pPr>
      <w:r>
        <w:rPr>
          <w:rFonts w:hint="default"/>
        </w:rPr>
        <w:t>①</w:t>
      </w:r>
      <w:r>
        <w:t>算法架构：采用基于深度学习（Deep Learning）的目标检测与识别算法</w:t>
      </w:r>
    </w:p>
    <w:p w14:paraId="0C6FF6D6">
      <w:pPr>
        <w:bidi w:val="0"/>
      </w:pPr>
      <w:r>
        <w:rPr>
          <w:rFonts w:hint="default"/>
        </w:rPr>
        <w:t>②</w:t>
      </w:r>
      <w:r>
        <w:t>抓拍与去重：支持人脸/人体抓拍，具备优选去重功能，有效降低误报率。</w:t>
      </w:r>
    </w:p>
    <w:p w14:paraId="241C0C69">
      <w:pPr>
        <w:bidi w:val="0"/>
      </w:pPr>
      <w:r>
        <w:rPr>
          <w:rFonts w:hint="eastAsia"/>
          <w:lang w:val="en-US" w:eastAsia="zh-CN"/>
        </w:rPr>
        <w:t>2、</w:t>
      </w:r>
      <w:r>
        <w:t>传输网络子系统</w:t>
      </w:r>
    </w:p>
    <w:p w14:paraId="6DD2F1CF">
      <w:pPr>
        <w:bidi w:val="0"/>
        <w:rPr>
          <w:rFonts w:hint="eastAsia"/>
        </w:rPr>
      </w:pPr>
      <w:r>
        <w:rPr>
          <w:rFonts w:hint="eastAsia"/>
          <w:lang w:eastAsia="zh-CN"/>
        </w:rPr>
        <w:t>（</w:t>
      </w:r>
      <w:r>
        <w:rPr>
          <w:rFonts w:hint="eastAsia"/>
          <w:lang w:val="en-US" w:eastAsia="zh-CN"/>
        </w:rPr>
        <w:t>1</w:t>
      </w:r>
      <w:r>
        <w:rPr>
          <w:rFonts w:hint="eastAsia"/>
          <w:lang w:eastAsia="zh-CN"/>
        </w:rPr>
        <w:t>）</w:t>
      </w:r>
      <w:r>
        <w:t>架构设计：采用“接入层-汇聚层-核心层”架构，需划分独立的视频VLAN。</w:t>
      </w:r>
    </w:p>
    <w:p w14:paraId="687B1CAC">
      <w:pPr>
        <w:bidi w:val="0"/>
      </w:pPr>
      <w:r>
        <w:rPr>
          <w:rFonts w:hint="eastAsia"/>
          <w:lang w:eastAsia="zh-CN"/>
        </w:rPr>
        <w:t>（</w:t>
      </w:r>
      <w:r>
        <w:rPr>
          <w:rFonts w:hint="eastAsia"/>
          <w:lang w:val="en-US" w:eastAsia="zh-CN"/>
        </w:rPr>
        <w:t>2</w:t>
      </w:r>
      <w:r>
        <w:rPr>
          <w:rFonts w:hint="eastAsia"/>
          <w:lang w:eastAsia="zh-CN"/>
        </w:rPr>
        <w:t>）</w:t>
      </w:r>
      <w:r>
        <w:t>核心交换机：</w:t>
      </w:r>
    </w:p>
    <w:p w14:paraId="210076DE">
      <w:pPr>
        <w:bidi w:val="0"/>
      </w:pPr>
      <w:r>
        <w:rPr>
          <w:rFonts w:hint="default"/>
        </w:rPr>
        <w:t>①</w:t>
      </w:r>
      <w:r>
        <w:t>应具备三层交换功能，支持静态路由、RIP、OSPF等协议</w:t>
      </w:r>
    </w:p>
    <w:p w14:paraId="45C17D8E">
      <w:pPr>
        <w:bidi w:val="0"/>
      </w:pPr>
      <w:r>
        <w:rPr>
          <w:rFonts w:hint="default"/>
        </w:rPr>
        <w:t>②</w:t>
      </w:r>
      <w:r>
        <w:t>交换容量与包转发率需满足全端口线速转发，无阻塞。</w:t>
      </w:r>
    </w:p>
    <w:p w14:paraId="2471C59F">
      <w:pPr>
        <w:bidi w:val="0"/>
      </w:pPr>
      <w:r>
        <w:rPr>
          <w:rFonts w:hint="default"/>
        </w:rPr>
        <w:t>③</w:t>
      </w:r>
      <w:r>
        <w:t>支持虚拟化堆叠/集群技术，保障核心网络高可用。</w:t>
      </w:r>
    </w:p>
    <w:p w14:paraId="5C9B28ED">
      <w:pPr>
        <w:bidi w:val="0"/>
      </w:pPr>
      <w:r>
        <w:rPr>
          <w:rFonts w:hint="eastAsia"/>
          <w:lang w:eastAsia="zh-CN"/>
        </w:rPr>
        <w:t>（</w:t>
      </w:r>
      <w:r>
        <w:rPr>
          <w:rFonts w:hint="eastAsia"/>
          <w:lang w:val="en-US" w:eastAsia="zh-CN"/>
        </w:rPr>
        <w:t>3</w:t>
      </w:r>
      <w:r>
        <w:rPr>
          <w:rFonts w:hint="eastAsia"/>
          <w:lang w:eastAsia="zh-CN"/>
        </w:rPr>
        <w:t>）</w:t>
      </w:r>
      <w:r>
        <w:t>接入/汇聚交换机：</w:t>
      </w:r>
    </w:p>
    <w:p w14:paraId="7C34B5CB">
      <w:pPr>
        <w:bidi w:val="0"/>
      </w:pPr>
      <w:r>
        <w:rPr>
          <w:rFonts w:hint="default"/>
        </w:rPr>
        <w:t>①</w:t>
      </w:r>
      <w:r>
        <w:t>支持 PoE/PoE+ 供电（如前端采用PoE供电），单端口供电功率≥30W。</w:t>
      </w:r>
    </w:p>
    <w:p w14:paraId="1DF34CEC">
      <w:pPr>
        <w:bidi w:val="0"/>
      </w:pPr>
      <w:r>
        <w:rPr>
          <w:rFonts w:hint="default"/>
        </w:rPr>
        <w:t>②</w:t>
      </w:r>
      <w:r>
        <w:t>上行链路建议采用千兆/万兆光口，确保视频流大带宽传输需求，预留20%以上的带宽冗余。</w:t>
      </w:r>
    </w:p>
    <w:p w14:paraId="7FD21074">
      <w:pPr>
        <w:bidi w:val="0"/>
      </w:pPr>
      <w:r>
        <w:rPr>
          <w:rFonts w:hint="eastAsia"/>
          <w:lang w:eastAsia="zh-CN"/>
        </w:rPr>
        <w:t>（</w:t>
      </w:r>
      <w:r>
        <w:rPr>
          <w:rFonts w:hint="eastAsia"/>
          <w:lang w:val="en-US" w:eastAsia="zh-CN"/>
        </w:rPr>
        <w:t>4</w:t>
      </w:r>
      <w:r>
        <w:rPr>
          <w:rFonts w:hint="eastAsia"/>
          <w:lang w:eastAsia="zh-CN"/>
        </w:rPr>
        <w:t>）</w:t>
      </w:r>
      <w:r>
        <w:t>线缆要求：</w:t>
      </w:r>
    </w:p>
    <w:p w14:paraId="614739D8">
      <w:pPr>
        <w:numPr>
          <w:ilvl w:val="0"/>
          <w:numId w:val="0"/>
        </w:numPr>
        <w:bidi w:val="0"/>
        <w:ind w:leftChars="200"/>
      </w:pPr>
      <w:r>
        <w:rPr>
          <w:rFonts w:hint="default"/>
        </w:rPr>
        <w:t>①</w:t>
      </w:r>
      <w:r>
        <w:t>网线：采用六类（Cat.6）及以上非屏蔽/屏蔽双绞线，知名品牌，无氧铜材质。光缆：室外采用层绞式铠装光缆，防鼠咬、抗拉伸。</w:t>
      </w:r>
    </w:p>
    <w:p w14:paraId="10236F5E">
      <w:pPr>
        <w:bidi w:val="0"/>
      </w:pPr>
      <w:r>
        <w:rPr>
          <w:rFonts w:hint="eastAsia"/>
          <w:lang w:val="en-US" w:eastAsia="zh-CN"/>
        </w:rPr>
        <w:t>3、</w:t>
      </w:r>
      <w:r>
        <w:t>存储与后端管理子系统</w:t>
      </w:r>
    </w:p>
    <w:p w14:paraId="0EA43034">
      <w:pPr>
        <w:bidi w:val="0"/>
      </w:pPr>
      <w:r>
        <w:rPr>
          <w:rFonts w:hint="eastAsia"/>
          <w:lang w:eastAsia="zh-CN"/>
        </w:rPr>
        <w:t>（</w:t>
      </w:r>
      <w:r>
        <w:rPr>
          <w:rFonts w:hint="eastAsia"/>
          <w:lang w:val="en-US" w:eastAsia="zh-CN"/>
        </w:rPr>
        <w:t>1</w:t>
      </w:r>
      <w:r>
        <w:rPr>
          <w:rFonts w:hint="eastAsia"/>
          <w:lang w:eastAsia="zh-CN"/>
        </w:rPr>
        <w:t>）</w:t>
      </w:r>
      <w:r>
        <w:t>网络硬盘录像机（NVR）/ 存储服务器（CVR）：</w:t>
      </w:r>
    </w:p>
    <w:p w14:paraId="4A07D2BC">
      <w:pPr>
        <w:bidi w:val="0"/>
      </w:pPr>
      <w:r>
        <w:rPr>
          <w:rFonts w:hint="default"/>
        </w:rPr>
        <w:t>①</w:t>
      </w:r>
      <w:r>
        <w:t>接入带宽：输入带宽应满足所有前端摄像机满负荷接入，并预留20%冗余。</w:t>
      </w:r>
    </w:p>
    <w:p w14:paraId="45D09056">
      <w:pPr>
        <w:bidi w:val="0"/>
      </w:pPr>
      <w:r>
        <w:rPr>
          <w:rFonts w:hint="default"/>
        </w:rPr>
        <w:t>②</w:t>
      </w:r>
      <w:r>
        <w:t>存储容量：须配置企业级监控专用硬盘（7×24小时工作，MTBF≥200万小时）。存储空间需满足所有路数视频24小时连续存储不少于30天的要求。</w:t>
      </w:r>
    </w:p>
    <w:p w14:paraId="49012E26">
      <w:pPr>
        <w:bidi w:val="0"/>
      </w:pPr>
      <w:r>
        <w:rPr>
          <w:rFonts w:hint="default"/>
        </w:rPr>
        <w:t>③</w:t>
      </w:r>
      <w:r>
        <w:t>数据保护：设备需支持RAID 5 或 RAID 6磁盘阵列技术，并配置全局热备盘（建议每16块盘配置1块热备），确保单盘故障不丢数据。</w:t>
      </w:r>
    </w:p>
    <w:p w14:paraId="1D26885E">
      <w:pPr>
        <w:numPr>
          <w:ilvl w:val="0"/>
          <w:numId w:val="0"/>
        </w:numPr>
        <w:bidi w:val="0"/>
        <w:ind w:leftChars="200"/>
      </w:pPr>
      <w:r>
        <w:rPr>
          <w:rFonts w:hint="eastAsia"/>
        </w:rPr>
        <w:t>④</w:t>
      </w:r>
      <w:r>
        <w:t>解码能力：支持 4K/1080P 高清解码上墙，支持画面分割、轮巡。</w:t>
      </w:r>
    </w:p>
    <w:p w14:paraId="4949BD8D">
      <w:pPr>
        <w:numPr>
          <w:ilvl w:val="0"/>
          <w:numId w:val="0"/>
        </w:numPr>
        <w:bidi w:val="0"/>
        <w:ind w:leftChars="200"/>
      </w:pPr>
      <w:r>
        <w:rPr>
          <w:rFonts w:hint="eastAsia"/>
          <w:lang w:eastAsia="zh-CN"/>
        </w:rPr>
        <w:t>（</w:t>
      </w:r>
      <w:r>
        <w:rPr>
          <w:rFonts w:hint="eastAsia"/>
          <w:lang w:val="en-US" w:eastAsia="zh-CN"/>
        </w:rPr>
        <w:t>2</w:t>
      </w:r>
      <w:r>
        <w:rPr>
          <w:rFonts w:hint="eastAsia"/>
          <w:lang w:eastAsia="zh-CN"/>
        </w:rPr>
        <w:t>）</w:t>
      </w:r>
      <w:r>
        <w:t>管理平台：</w:t>
      </w:r>
    </w:p>
    <w:p w14:paraId="0BD49031">
      <w:pPr>
        <w:numPr>
          <w:ilvl w:val="0"/>
          <w:numId w:val="0"/>
        </w:numPr>
        <w:bidi w:val="0"/>
        <w:ind w:leftChars="200"/>
      </w:pPr>
      <w:r>
        <w:rPr>
          <w:rFonts w:hint="default" w:ascii="Calibri" w:hAnsi="Calibri" w:cs="Calibri"/>
        </w:rPr>
        <w:t>①</w:t>
      </w:r>
      <w:r>
        <w:t>提供统一的Web管理界面或客户端。</w:t>
      </w:r>
    </w:p>
    <w:p w14:paraId="6013A72D">
      <w:pPr>
        <w:numPr>
          <w:ilvl w:val="0"/>
          <w:numId w:val="0"/>
        </w:numPr>
        <w:bidi w:val="0"/>
        <w:ind w:leftChars="200"/>
      </w:pPr>
      <w:r>
        <w:rPr>
          <w:rFonts w:hint="default" w:ascii="Calibri" w:hAnsi="Calibri" w:cs="Calibri"/>
        </w:rPr>
        <w:t>②</w:t>
      </w:r>
      <w:r>
        <w:t>支持设备管理、用户权限分配、日志审计、即时回放、电子地图等功能。</w:t>
      </w:r>
    </w:p>
    <w:p w14:paraId="6F547D55">
      <w:pPr>
        <w:numPr>
          <w:ilvl w:val="0"/>
          <w:numId w:val="0"/>
        </w:numPr>
        <w:bidi w:val="0"/>
        <w:ind w:leftChars="200"/>
      </w:pPr>
      <w:r>
        <w:rPr>
          <w:rFonts w:hint="default" w:ascii="Calibri" w:hAnsi="Calibri" w:cs="Calibri"/>
        </w:rPr>
        <w:t>③</w:t>
      </w:r>
      <w:r>
        <w:t>具备开放的 API/SDK 接口，支持与第三方平台对接。</w:t>
      </w:r>
    </w:p>
    <w:p w14:paraId="60C8C91D">
      <w:pPr>
        <w:numPr>
          <w:ilvl w:val="0"/>
          <w:numId w:val="0"/>
        </w:numPr>
        <w:bidi w:val="0"/>
        <w:ind w:leftChars="200"/>
      </w:pPr>
      <w:r>
        <w:rPr>
          <w:rFonts w:hint="eastAsia"/>
          <w:lang w:val="en-US" w:eastAsia="zh-CN"/>
        </w:rPr>
        <w:t>4、</w:t>
      </w:r>
      <w:r>
        <w:t>配套设施（立杆、箱体与防雷）</w:t>
      </w:r>
    </w:p>
    <w:p w14:paraId="3BE3E17E">
      <w:pPr>
        <w:numPr>
          <w:ilvl w:val="0"/>
          <w:numId w:val="0"/>
        </w:numPr>
        <w:bidi w:val="0"/>
        <w:ind w:leftChars="200"/>
      </w:pPr>
      <w:r>
        <w:rPr>
          <w:rFonts w:hint="eastAsia"/>
          <w:lang w:eastAsia="zh-CN"/>
        </w:rPr>
        <w:t>（</w:t>
      </w:r>
      <w:r>
        <w:rPr>
          <w:rFonts w:hint="eastAsia"/>
          <w:lang w:val="en-US" w:eastAsia="zh-CN"/>
        </w:rPr>
        <w:t>1</w:t>
      </w:r>
      <w:r>
        <w:rPr>
          <w:rFonts w:hint="eastAsia"/>
          <w:lang w:eastAsia="zh-CN"/>
        </w:rPr>
        <w:t>）</w:t>
      </w:r>
      <w:r>
        <w:t>监控立杆：</w:t>
      </w:r>
    </w:p>
    <w:p w14:paraId="1462C91E">
      <w:pPr>
        <w:numPr>
          <w:ilvl w:val="0"/>
          <w:numId w:val="0"/>
        </w:numPr>
        <w:bidi w:val="0"/>
        <w:ind w:leftChars="200"/>
      </w:pPr>
      <w:r>
        <w:rPr>
          <w:rFonts w:hint="default" w:ascii="Calibri" w:hAnsi="Calibri" w:cs="Calibri"/>
        </w:rPr>
        <w:t>①</w:t>
      </w:r>
      <w:r>
        <w:t>材质：采用优质Q235钢材，热镀锌处理后喷塑，镀锌层厚度≥85μm。</w:t>
      </w:r>
    </w:p>
    <w:p w14:paraId="78AB861F">
      <w:pPr>
        <w:numPr>
          <w:ilvl w:val="0"/>
          <w:numId w:val="0"/>
        </w:numPr>
        <w:bidi w:val="0"/>
        <w:ind w:leftChars="200"/>
      </w:pPr>
      <w:r>
        <w:rPr>
          <w:rFonts w:hint="default" w:ascii="Calibri" w:hAnsi="Calibri" w:cs="Calibri"/>
        </w:rPr>
        <w:t>②</w:t>
      </w:r>
      <w:r>
        <w:t>抗风设计：结构强度需满足珠海地区抗12级台风标准，提供设计计算书或承诺函。</w:t>
      </w:r>
    </w:p>
    <w:p w14:paraId="18A2C4F2">
      <w:pPr>
        <w:numPr>
          <w:ilvl w:val="0"/>
          <w:numId w:val="0"/>
        </w:numPr>
        <w:bidi w:val="0"/>
        <w:ind w:leftChars="200"/>
      </w:pPr>
      <w:r>
        <w:rPr>
          <w:rFonts w:hint="default" w:ascii="Calibri" w:hAnsi="Calibri" w:cs="Calibri"/>
        </w:rPr>
        <w:t>③</w:t>
      </w:r>
      <w:r>
        <w:t>高度：根据现场视场角需求定制（通常3.5m-6m），设避雷针。</w:t>
      </w:r>
    </w:p>
    <w:p w14:paraId="5236823E">
      <w:pPr>
        <w:numPr>
          <w:ilvl w:val="0"/>
          <w:numId w:val="0"/>
        </w:numPr>
        <w:bidi w:val="0"/>
        <w:ind w:leftChars="200"/>
      </w:pPr>
      <w:r>
        <w:rPr>
          <w:rFonts w:hint="eastAsia"/>
          <w:lang w:eastAsia="zh-CN"/>
        </w:rPr>
        <w:t>（</w:t>
      </w:r>
      <w:r>
        <w:rPr>
          <w:rFonts w:hint="eastAsia"/>
          <w:lang w:val="en-US" w:eastAsia="zh-CN"/>
        </w:rPr>
        <w:t>2</w:t>
      </w:r>
      <w:r>
        <w:rPr>
          <w:rFonts w:hint="eastAsia"/>
          <w:lang w:eastAsia="zh-CN"/>
        </w:rPr>
        <w:t>）</w:t>
      </w:r>
      <w:r>
        <w:t>室外设备箱：</w:t>
      </w:r>
    </w:p>
    <w:p w14:paraId="4E5F90A1">
      <w:pPr>
        <w:numPr>
          <w:ilvl w:val="0"/>
          <w:numId w:val="0"/>
        </w:numPr>
        <w:bidi w:val="0"/>
        <w:ind w:leftChars="200"/>
      </w:pPr>
      <w:r>
        <w:rPr>
          <w:rFonts w:hint="default" w:ascii="Calibri" w:hAnsi="Calibri" w:cs="Calibri"/>
        </w:rPr>
        <w:t>①</w:t>
      </w:r>
      <w:r>
        <w:t>材质：不锈钢（304及以上）或SMC玻璃钢材质，具备优异的防盐雾腐蚀性能。</w:t>
      </w:r>
    </w:p>
    <w:p w14:paraId="03880DF6">
      <w:pPr>
        <w:numPr>
          <w:ilvl w:val="0"/>
          <w:numId w:val="0"/>
        </w:numPr>
        <w:bidi w:val="0"/>
        <w:ind w:leftChars="200"/>
      </w:pPr>
      <w:r>
        <w:rPr>
          <w:rFonts w:hint="default" w:ascii="Calibri" w:hAnsi="Calibri" w:cs="Calibri"/>
        </w:rPr>
        <w:t>②</w:t>
      </w:r>
      <w:r>
        <w:t>防护：IP55及以上，箱内配置温控风扇、电源防雷器、光纤熔接盘、电源插座等。</w:t>
      </w:r>
    </w:p>
    <w:p w14:paraId="44EB43BB">
      <w:pPr>
        <w:numPr>
          <w:ilvl w:val="0"/>
          <w:numId w:val="0"/>
        </w:numPr>
        <w:bidi w:val="0"/>
        <w:ind w:leftChars="200"/>
      </w:pPr>
      <w:r>
        <w:rPr>
          <w:rFonts w:hint="eastAsia"/>
          <w:lang w:eastAsia="zh-CN"/>
        </w:rPr>
        <w:t>（</w:t>
      </w:r>
      <w:r>
        <w:rPr>
          <w:rFonts w:hint="eastAsia"/>
          <w:lang w:val="en-US" w:eastAsia="zh-CN"/>
        </w:rPr>
        <w:t>3</w:t>
      </w:r>
      <w:r>
        <w:rPr>
          <w:rFonts w:hint="eastAsia"/>
          <w:lang w:eastAsia="zh-CN"/>
        </w:rPr>
        <w:t>）</w:t>
      </w:r>
      <w:r>
        <w:t>防雷接地：</w:t>
      </w:r>
    </w:p>
    <w:p w14:paraId="58FCEF27">
      <w:pPr>
        <w:numPr>
          <w:ilvl w:val="0"/>
          <w:numId w:val="0"/>
        </w:numPr>
        <w:bidi w:val="0"/>
        <w:ind w:leftChars="200"/>
      </w:pPr>
      <w:r>
        <w:rPr>
          <w:rFonts w:hint="default" w:ascii="Calibri" w:hAnsi="Calibri" w:cs="Calibri"/>
        </w:rPr>
        <w:t>①</w:t>
      </w:r>
      <w:r>
        <w:t>供电系统采用 TN-S 制式。</w:t>
      </w:r>
    </w:p>
    <w:p w14:paraId="223CFBF9">
      <w:pPr>
        <w:numPr>
          <w:ilvl w:val="0"/>
          <w:numId w:val="0"/>
        </w:numPr>
        <w:bidi w:val="0"/>
        <w:ind w:leftChars="200"/>
      </w:pPr>
      <w:r>
        <w:rPr>
          <w:rFonts w:hint="default" w:ascii="Calibri" w:hAnsi="Calibri" w:cs="Calibri"/>
        </w:rPr>
        <w:t>②</w:t>
      </w:r>
      <w:r>
        <w:t xml:space="preserve">前端箱体及机房端电源入口处须安装浪涌保护器（SPD），Imax≥40kA </w:t>
      </w:r>
      <m:oMath>
        <m:r>
          <m:rPr>
            <m:sty m:val="p"/>
          </m:rPr>
          <w:rPr>
            <w:rFonts w:ascii="Times New Roman" w:hAnsi="Times New Roman"/>
          </w:rPr>
          <m:t>8/20μs</m:t>
        </m:r>
      </m:oMath>
      <w:r>
        <w:t>。</w:t>
      </w:r>
    </w:p>
    <w:p w14:paraId="3E92B00C">
      <w:pPr>
        <w:numPr>
          <w:ilvl w:val="0"/>
          <w:numId w:val="0"/>
        </w:numPr>
        <w:bidi w:val="0"/>
        <w:ind w:leftChars="200"/>
      </w:pPr>
      <w:r>
        <w:rPr>
          <w:rFonts w:hint="default" w:ascii="Calibri" w:hAnsi="Calibri" w:cs="Calibri"/>
        </w:rPr>
        <w:t>③</w:t>
      </w:r>
      <w:r>
        <w:t>接地电阻：独立接地电阻≤4Ω；若采用联合接地，接地电阻≤1Ω。</w:t>
      </w:r>
    </w:p>
    <w:p w14:paraId="45D0541F">
      <w:pPr>
        <w:numPr>
          <w:ilvl w:val="0"/>
          <w:numId w:val="0"/>
        </w:numPr>
        <w:bidi w:val="0"/>
        <w:ind w:leftChars="200"/>
        <w:rPr>
          <w:rFonts w:hint="eastAsia"/>
          <w:b/>
          <w:bCs/>
          <w:color w:val="FF0000"/>
          <w:lang w:val="en-US" w:eastAsia="zh-CN"/>
        </w:rPr>
      </w:pPr>
      <w:r>
        <w:rPr>
          <w:rFonts w:hint="eastAsia"/>
          <w:b/>
          <w:bCs/>
          <w:color w:val="FF0000"/>
          <w:lang w:val="en-US" w:eastAsia="zh-CN"/>
        </w:rPr>
        <w:t>5、设备前端及后端品牌要求</w:t>
      </w:r>
    </w:p>
    <w:p w14:paraId="1865E4D7">
      <w:pPr>
        <w:pStyle w:val="2"/>
        <w:rPr>
          <w:rFonts w:hint="default"/>
          <w:b/>
          <w:bCs/>
          <w:color w:val="FF0000"/>
          <w:lang w:val="en-US" w:eastAsia="zh-CN"/>
        </w:rPr>
      </w:pPr>
      <w:r>
        <w:rPr>
          <w:rFonts w:hint="eastAsia"/>
          <w:b/>
          <w:bCs/>
          <w:color w:val="FF0000"/>
          <w:lang w:val="en-US" w:eastAsia="zh-CN"/>
        </w:rPr>
        <w:t xml:space="preserve">  前端设备需满足公安定制化参数要求，后端设备需兼容现有公安平台，确保设备顺利接入公安，并完成项目验收移交工作。</w:t>
      </w:r>
    </w:p>
    <w:p w14:paraId="5CF5B1A0">
      <w:pPr>
        <w:numPr>
          <w:ilvl w:val="0"/>
          <w:numId w:val="2"/>
        </w:numPr>
        <w:bidi w:val="0"/>
        <w:ind w:left="0" w:leftChars="0" w:firstLine="482" w:firstLineChars="200"/>
        <w:rPr>
          <w:b/>
          <w:bCs/>
        </w:rPr>
      </w:pPr>
      <w:r>
        <w:rPr>
          <w:b/>
          <w:bCs/>
        </w:rPr>
        <w:t>施工与实施要求</w:t>
      </w:r>
    </w:p>
    <w:p w14:paraId="61DCCB0A">
      <w:pPr>
        <w:numPr>
          <w:ilvl w:val="0"/>
          <w:numId w:val="4"/>
        </w:numPr>
        <w:bidi w:val="0"/>
        <w:rPr>
          <w:rFonts w:hint="eastAsia"/>
          <w:lang w:val="en-US" w:eastAsia="zh-CN"/>
        </w:rPr>
      </w:pPr>
      <w:r>
        <w:rPr>
          <w:rFonts w:hint="eastAsia"/>
          <w:lang w:val="en-US" w:eastAsia="zh-CN"/>
        </w:rPr>
        <w:t>图纸深化</w:t>
      </w:r>
    </w:p>
    <w:p w14:paraId="1E85F9E0">
      <w:pPr>
        <w:numPr>
          <w:ilvl w:val="0"/>
          <w:numId w:val="0"/>
        </w:numPr>
        <w:bidi w:val="0"/>
        <w:ind w:firstLine="482" w:firstLineChars="200"/>
        <w:rPr>
          <w:rFonts w:hint="default"/>
          <w:b/>
          <w:bCs/>
          <w:color w:val="FF0000"/>
          <w:u w:val="single"/>
          <w:lang w:val="en-US" w:eastAsia="zh-CN"/>
        </w:rPr>
      </w:pPr>
      <w:r>
        <w:rPr>
          <w:rFonts w:hint="eastAsia"/>
          <w:b/>
          <w:bCs/>
          <w:color w:val="FF0000"/>
          <w:u w:val="single"/>
          <w:lang w:val="en-US" w:eastAsia="zh-CN"/>
        </w:rPr>
        <w:t>针对公安及交警相关要求并结合珠海本地对安监、交通相关规定，对施工图进行二次深化，并确保深化图满足公安及交警使用及验收要求。现场实际施工以公安及交警盖章确认版图纸为准。</w:t>
      </w:r>
    </w:p>
    <w:p w14:paraId="1C0F721E">
      <w:pPr>
        <w:pStyle w:val="2"/>
        <w:rPr>
          <w:rFonts w:hint="eastAsia"/>
          <w:lang w:val="en-US" w:eastAsia="zh-CN"/>
        </w:rPr>
      </w:pPr>
      <w:r>
        <w:rPr>
          <w:rFonts w:hint="eastAsia"/>
          <w:lang w:val="en-US" w:eastAsia="zh-CN"/>
        </w:rPr>
        <w:t>2、拆除及保管；</w:t>
      </w:r>
    </w:p>
    <w:p w14:paraId="51C3DEC7">
      <w:pPr>
        <w:pStyle w:val="2"/>
        <w:rPr>
          <w:rFonts w:hint="eastAsia"/>
          <w:b/>
          <w:bCs/>
          <w:color w:val="FF0000"/>
          <w:lang w:val="en-US" w:eastAsia="zh-CN"/>
        </w:rPr>
      </w:pPr>
      <w:r>
        <w:rPr>
          <w:rFonts w:hint="eastAsia"/>
          <w:b/>
          <w:bCs/>
          <w:color w:val="FF0000"/>
          <w:lang w:val="en-US" w:eastAsia="zh-CN"/>
        </w:rPr>
        <w:t>（1）杆件拆除</w:t>
      </w:r>
    </w:p>
    <w:p w14:paraId="60E21E07">
      <w:pPr>
        <w:pStyle w:val="2"/>
        <w:rPr>
          <w:rFonts w:hint="default"/>
          <w:b/>
          <w:bCs/>
          <w:color w:val="FF0000"/>
          <w:highlight w:val="green"/>
          <w:lang w:val="en-US" w:eastAsia="zh-CN"/>
        </w:rPr>
      </w:pPr>
      <w:r>
        <w:rPr>
          <w:rFonts w:hint="eastAsia"/>
          <w:b/>
          <w:bCs/>
          <w:color w:val="FF0000"/>
          <w:lang w:val="en-US" w:eastAsia="zh-CN"/>
        </w:rPr>
        <w:t>杆件拆除前通知总包管理人员及监理进行现场举牌见证，并</w:t>
      </w:r>
      <w:r>
        <w:rPr>
          <w:rFonts w:hint="eastAsia"/>
          <w:b/>
          <w:bCs/>
          <w:color w:val="FF0000"/>
          <w:highlight w:val="none"/>
          <w:lang w:val="en-US" w:eastAsia="zh-CN"/>
        </w:rPr>
        <w:t>按公安的系统编码</w:t>
      </w:r>
      <w:r>
        <w:rPr>
          <w:rFonts w:hint="eastAsia"/>
          <w:b/>
          <w:bCs/>
          <w:color w:val="FF0000"/>
          <w:lang w:val="en-US" w:eastAsia="zh-CN"/>
        </w:rPr>
        <w:t>拍照留存照片，拆除过程中应做好保护，保证杆件不掉漆、不变形，相关配件保存完整</w:t>
      </w:r>
    </w:p>
    <w:p w14:paraId="5A707BA6">
      <w:pPr>
        <w:pStyle w:val="2"/>
        <w:numPr>
          <w:ilvl w:val="0"/>
          <w:numId w:val="5"/>
        </w:numPr>
        <w:rPr>
          <w:rFonts w:hint="eastAsia"/>
          <w:lang w:val="en-US" w:eastAsia="zh-CN"/>
        </w:rPr>
      </w:pPr>
      <w:r>
        <w:rPr>
          <w:rFonts w:hint="eastAsia"/>
          <w:lang w:val="en-US" w:eastAsia="zh-CN"/>
        </w:rPr>
        <w:t>杆件存放与保管</w:t>
      </w:r>
    </w:p>
    <w:p w14:paraId="530AFFE2">
      <w:pPr>
        <w:pStyle w:val="2"/>
        <w:rPr>
          <w:rFonts w:hint="default"/>
          <w:lang w:val="en-US" w:eastAsia="zh-CN"/>
        </w:rPr>
      </w:pPr>
      <w:r>
        <w:rPr>
          <w:rFonts w:hint="eastAsia"/>
          <w:lang w:val="en-US" w:eastAsia="zh-CN"/>
        </w:rPr>
        <w:t>存放时应下垫上盖，确保杆件不生锈，保存良好；</w:t>
      </w:r>
    </w:p>
    <w:p w14:paraId="5463BF64">
      <w:pPr>
        <w:pStyle w:val="2"/>
        <w:numPr>
          <w:ilvl w:val="0"/>
          <w:numId w:val="5"/>
        </w:numPr>
        <w:ind w:left="0" w:leftChars="0" w:firstLine="480" w:firstLineChars="200"/>
        <w:rPr>
          <w:rFonts w:hint="eastAsia"/>
          <w:lang w:val="en-US" w:eastAsia="zh-CN"/>
        </w:rPr>
      </w:pPr>
      <w:r>
        <w:rPr>
          <w:rFonts w:hint="eastAsia"/>
          <w:lang w:val="en-US" w:eastAsia="zh-CN"/>
        </w:rPr>
        <w:t>杆件翻新</w:t>
      </w:r>
    </w:p>
    <w:p w14:paraId="58D0C2B6">
      <w:pPr>
        <w:pStyle w:val="2"/>
        <w:rPr>
          <w:rFonts w:hint="default"/>
          <w:lang w:val="en-US" w:eastAsia="zh-CN"/>
        </w:rPr>
      </w:pPr>
      <w:r>
        <w:rPr>
          <w:rFonts w:hint="eastAsia"/>
          <w:lang w:val="en-US" w:eastAsia="zh-CN"/>
        </w:rPr>
        <w:t>对杆件掉漆、生锈的杆件进行除锈、镀锌层修复、补漆，确保杆件满足</w:t>
      </w:r>
      <w:bookmarkStart w:id="9" w:name="_GoBack"/>
      <w:bookmarkEnd w:id="9"/>
      <w:r>
        <w:rPr>
          <w:rFonts w:hint="eastAsia"/>
          <w:lang w:val="en-US" w:eastAsia="zh-CN"/>
        </w:rPr>
        <w:t>图纸要求，并完成项目施工移交要求；</w:t>
      </w:r>
    </w:p>
    <w:p w14:paraId="3A54C4FC">
      <w:pPr>
        <w:pStyle w:val="2"/>
        <w:numPr>
          <w:ilvl w:val="0"/>
          <w:numId w:val="5"/>
        </w:numPr>
        <w:ind w:left="0" w:leftChars="0" w:firstLine="482" w:firstLineChars="200"/>
        <w:rPr>
          <w:rFonts w:hint="eastAsia"/>
          <w:b/>
          <w:bCs/>
          <w:color w:val="FF0000"/>
          <w:lang w:val="en-US" w:eastAsia="zh-CN"/>
        </w:rPr>
      </w:pPr>
      <w:r>
        <w:rPr>
          <w:rFonts w:hint="eastAsia"/>
          <w:b/>
          <w:bCs/>
          <w:color w:val="FF0000"/>
          <w:lang w:val="en-US" w:eastAsia="zh-CN"/>
        </w:rPr>
        <w:t>设备拆除</w:t>
      </w:r>
    </w:p>
    <w:p w14:paraId="0D5C0A64">
      <w:pPr>
        <w:pStyle w:val="2"/>
        <w:rPr>
          <w:rFonts w:hint="default"/>
          <w:b/>
          <w:bCs/>
          <w:color w:val="FF0000"/>
          <w:highlight w:val="none"/>
          <w:lang w:val="en-US" w:eastAsia="zh-CN"/>
        </w:rPr>
      </w:pPr>
      <w:r>
        <w:rPr>
          <w:rFonts w:hint="eastAsia"/>
          <w:b/>
          <w:bCs/>
          <w:color w:val="FF0000"/>
          <w:highlight w:val="none"/>
          <w:lang w:val="en-US" w:eastAsia="zh-CN"/>
        </w:rPr>
        <w:t>监控摄像头应做好保护性拆除，拆除之前需做好公安报备手续工作，现场留存拆除照片，并通知总包管理人员及监理进行现场举牌见证；（标注好设备厂家编码、破损情况等）。</w:t>
      </w:r>
    </w:p>
    <w:p w14:paraId="05552F51">
      <w:pPr>
        <w:pStyle w:val="2"/>
        <w:rPr>
          <w:rFonts w:hint="default"/>
          <w:b/>
          <w:bCs/>
          <w:color w:val="FF0000"/>
          <w:highlight w:val="none"/>
          <w:lang w:val="en-US" w:eastAsia="zh-CN"/>
        </w:rPr>
      </w:pPr>
    </w:p>
    <w:p w14:paraId="5FE30EF9">
      <w:pPr>
        <w:pStyle w:val="2"/>
        <w:numPr>
          <w:ilvl w:val="0"/>
          <w:numId w:val="5"/>
        </w:numPr>
        <w:ind w:left="0" w:leftChars="0" w:firstLine="482" w:firstLineChars="200"/>
        <w:rPr>
          <w:rFonts w:hint="eastAsia"/>
          <w:b/>
          <w:bCs/>
          <w:color w:val="FF0000"/>
          <w:highlight w:val="none"/>
          <w:lang w:val="en-US" w:eastAsia="zh-CN"/>
        </w:rPr>
      </w:pPr>
      <w:r>
        <w:rPr>
          <w:rFonts w:hint="eastAsia"/>
          <w:b/>
          <w:bCs/>
          <w:color w:val="FF0000"/>
          <w:highlight w:val="none"/>
          <w:lang w:val="en-US" w:eastAsia="zh-CN"/>
        </w:rPr>
        <w:t>设备保管</w:t>
      </w:r>
    </w:p>
    <w:p w14:paraId="07D456BF">
      <w:pPr>
        <w:pStyle w:val="2"/>
        <w:rPr>
          <w:rFonts w:hint="default"/>
          <w:b/>
          <w:bCs/>
          <w:color w:val="FF0000"/>
          <w:highlight w:val="none"/>
          <w:lang w:val="en-US" w:eastAsia="zh-CN"/>
        </w:rPr>
      </w:pPr>
      <w:r>
        <w:rPr>
          <w:rFonts w:hint="eastAsia"/>
          <w:b/>
          <w:bCs/>
          <w:color w:val="FF0000"/>
          <w:highlight w:val="none"/>
          <w:lang w:val="en-US" w:eastAsia="zh-CN"/>
        </w:rPr>
        <w:t>杆件及设备由专业分包统一进行保护性拆除后并对应登记成册，做好设备、杆件登记，分包需配合做好杆件吊运、设备打包封装封存，并统一做好出入库登记，确保出入库一致且拆一还一，以书面交接单形式交于项目部保管存放；项目部选择一处适宜场地进行杆件存放，另配单独集装箱存放设备。</w:t>
      </w:r>
    </w:p>
    <w:p w14:paraId="67875832">
      <w:pPr>
        <w:bidi w:val="0"/>
      </w:pPr>
      <w:r>
        <w:rPr>
          <w:rFonts w:hint="eastAsia"/>
          <w:lang w:val="en-US" w:eastAsia="zh-CN"/>
        </w:rPr>
        <w:t>3、</w:t>
      </w:r>
      <w:r>
        <w:t>线管敷设：</w:t>
      </w:r>
    </w:p>
    <w:p w14:paraId="3BF67393">
      <w:pPr>
        <w:bidi w:val="0"/>
        <w:rPr>
          <w:rFonts w:hint="eastAsia"/>
        </w:rPr>
      </w:pPr>
      <w:r>
        <w:t>室外地埋管路应采用热镀锌钢管或加厚HDPE管，埋深不小于0.7米，过路处须做混凝土包封加固。</w:t>
      </w:r>
    </w:p>
    <w:p w14:paraId="4E115FDA">
      <w:pPr>
        <w:bidi w:val="0"/>
        <w:rPr>
          <w:rFonts w:hint="eastAsia"/>
        </w:rPr>
      </w:pPr>
      <w:r>
        <w:t>线管连接处需做跨接接地处理（金属管），管口需加装护口以防割伤线缆。</w:t>
      </w:r>
    </w:p>
    <w:p w14:paraId="51A656E5">
      <w:pPr>
        <w:bidi w:val="0"/>
      </w:pPr>
      <w:r>
        <w:rPr>
          <w:rFonts w:hint="eastAsia"/>
          <w:lang w:val="en-US" w:eastAsia="zh-CN"/>
        </w:rPr>
        <w:t>4、</w:t>
      </w:r>
      <w:r>
        <w:t>标识管理：</w:t>
      </w:r>
    </w:p>
    <w:p w14:paraId="73F32B8A">
      <w:pPr>
        <w:bidi w:val="0"/>
      </w:pPr>
      <w:r>
        <w:rPr>
          <w:rFonts w:hint="eastAsia"/>
          <w:lang w:eastAsia="zh-CN"/>
        </w:rPr>
        <w:t>（</w:t>
      </w:r>
      <w:r>
        <w:rPr>
          <w:rFonts w:hint="eastAsia"/>
          <w:lang w:val="en-US" w:eastAsia="zh-CN"/>
        </w:rPr>
        <w:t>1</w:t>
      </w:r>
      <w:r>
        <w:rPr>
          <w:rFonts w:hint="eastAsia"/>
          <w:lang w:eastAsia="zh-CN"/>
        </w:rPr>
        <w:t>）</w:t>
      </w:r>
      <w:r>
        <w:t>所有线缆两端、配线架、交换机端口、设备箱均需粘贴永久性机打标签，标明去向及回路编号，与竣工图纸一致。</w:t>
      </w:r>
    </w:p>
    <w:p w14:paraId="485153CC">
      <w:pPr>
        <w:bidi w:val="0"/>
      </w:pPr>
      <w:r>
        <w:rPr>
          <w:rFonts w:hint="eastAsia"/>
          <w:lang w:val="en-US" w:eastAsia="zh-CN"/>
        </w:rPr>
        <w:t>5、</w:t>
      </w:r>
      <w:r>
        <w:t>调试与试运行：</w:t>
      </w:r>
    </w:p>
    <w:p w14:paraId="7A6F357D">
      <w:pPr>
        <w:bidi w:val="0"/>
        <w:rPr>
          <w:rFonts w:hint="default"/>
          <w:lang w:val="en-US" w:eastAsia="zh-CN"/>
        </w:rPr>
      </w:pPr>
      <w:r>
        <w:rPr>
          <w:rFonts w:hint="eastAsia"/>
          <w:lang w:eastAsia="zh-CN"/>
        </w:rPr>
        <w:t>（</w:t>
      </w:r>
      <w:r>
        <w:rPr>
          <w:rFonts w:hint="eastAsia"/>
          <w:lang w:val="en-US" w:eastAsia="zh-CN"/>
        </w:rPr>
        <w:t>1</w:t>
      </w:r>
      <w:r>
        <w:rPr>
          <w:rFonts w:hint="eastAsia"/>
          <w:lang w:eastAsia="zh-CN"/>
        </w:rPr>
        <w:t>）</w:t>
      </w:r>
      <w:r>
        <w:t>系统安装完成后，需进行不少于72小时的连续试运行，期间不得出现重大故障。</w:t>
      </w:r>
    </w:p>
    <w:p w14:paraId="7BBDF241">
      <w:pPr>
        <w:bidi w:val="0"/>
        <w:rPr>
          <w:rFonts w:hint="default"/>
          <w:b/>
          <w:bCs/>
        </w:rPr>
      </w:pPr>
      <w:r>
        <w:rPr>
          <w:rFonts w:hint="eastAsia"/>
          <w:b/>
          <w:bCs/>
          <w:lang w:val="en-US" w:eastAsia="zh-CN"/>
        </w:rPr>
        <w:t>七、</w:t>
      </w:r>
      <w:r>
        <w:rPr>
          <w:rFonts w:hint="default"/>
          <w:b/>
          <w:bCs/>
        </w:rPr>
        <w:t>工期要求</w:t>
      </w:r>
    </w:p>
    <w:p w14:paraId="711E470B">
      <w:pPr>
        <w:bidi w:val="0"/>
        <w:rPr>
          <w:rFonts w:hint="default"/>
        </w:rPr>
      </w:pPr>
      <w:r>
        <w:rPr>
          <w:rFonts w:hint="eastAsia"/>
          <w:lang w:val="en-US" w:eastAsia="zh-CN"/>
        </w:rPr>
        <w:t>1、</w:t>
      </w:r>
      <w:r>
        <w:rPr>
          <w:rFonts w:hint="default"/>
        </w:rPr>
        <w:t>总工期</w:t>
      </w:r>
    </w:p>
    <w:p w14:paraId="77C97699">
      <w:pPr>
        <w:bidi w:val="0"/>
      </w:pPr>
      <w:r>
        <w:rPr>
          <w:rFonts w:hint="eastAsia"/>
          <w:lang w:val="en-US" w:eastAsia="zh-CN"/>
        </w:rPr>
        <w:t>（1）详见总体进度计划中关于承保范围内工期安排</w:t>
      </w:r>
      <w:r>
        <w:rPr>
          <w:rFonts w:hint="default"/>
        </w:rPr>
        <w:t>（具体按招标文件约定，需配合整体项目进度）。</w:t>
      </w:r>
    </w:p>
    <w:p w14:paraId="71B0DAF2">
      <w:pPr>
        <w:bidi w:val="0"/>
        <w:rPr>
          <w:rFonts w:hint="default"/>
        </w:rPr>
      </w:pPr>
      <w:r>
        <w:rPr>
          <w:rFonts w:hint="eastAsia"/>
          <w:lang w:val="en-US" w:eastAsia="zh-CN"/>
        </w:rPr>
        <w:t>2、</w:t>
      </w:r>
      <w:r>
        <w:rPr>
          <w:rFonts w:hint="default"/>
        </w:rPr>
        <w:t>关键节点</w:t>
      </w:r>
    </w:p>
    <w:p w14:paraId="13D49F5E">
      <w:pPr>
        <w:bidi w:val="0"/>
        <w:rPr>
          <w:rFonts w:hint="default"/>
          <w:lang w:val="en-US" w:eastAsia="zh-CN"/>
        </w:rPr>
      </w:pPr>
      <w:r>
        <w:rPr>
          <w:rFonts w:hint="eastAsia"/>
          <w:lang w:val="en-US" w:eastAsia="zh-CN"/>
        </w:rPr>
        <w:t>（1）交通标识标牌≤30天</w:t>
      </w:r>
    </w:p>
    <w:p w14:paraId="17A6F894">
      <w:pPr>
        <w:bidi w:val="0"/>
        <w:rPr>
          <w:rFonts w:hint="default"/>
          <w:lang w:val="en-US" w:eastAsia="zh-CN"/>
        </w:rPr>
      </w:pPr>
      <w:r>
        <w:rPr>
          <w:rFonts w:hint="eastAsia"/>
          <w:lang w:val="en-US" w:eastAsia="zh-CN"/>
        </w:rPr>
        <w:t>（2）安监监控≤30天</w:t>
      </w:r>
    </w:p>
    <w:p w14:paraId="23E658BC">
      <w:pPr>
        <w:bidi w:val="0"/>
        <w:rPr>
          <w:rFonts w:hint="default"/>
          <w:lang w:val="en-US" w:eastAsia="zh-CN"/>
        </w:rPr>
      </w:pPr>
      <w:r>
        <w:rPr>
          <w:rFonts w:hint="eastAsia"/>
          <w:lang w:val="en-US" w:eastAsia="zh-CN"/>
        </w:rPr>
        <w:t>（3）交通标示标线≤15天</w:t>
      </w:r>
    </w:p>
    <w:p w14:paraId="14033451">
      <w:pPr>
        <w:bidi w:val="0"/>
        <w:rPr>
          <w:rFonts w:hint="default"/>
        </w:rPr>
      </w:pPr>
      <w:r>
        <w:rPr>
          <w:rFonts w:hint="eastAsia"/>
          <w:lang w:val="en-US" w:eastAsia="zh-CN"/>
        </w:rPr>
        <w:t>3、</w:t>
      </w:r>
      <w:r>
        <w:rPr>
          <w:rFonts w:hint="default"/>
        </w:rPr>
        <w:t>工期调整</w:t>
      </w:r>
    </w:p>
    <w:p w14:paraId="11EF021D">
      <w:pPr>
        <w:bidi w:val="0"/>
      </w:pPr>
      <w:r>
        <w:rPr>
          <w:rFonts w:hint="eastAsia"/>
          <w:lang w:eastAsia="zh-CN"/>
        </w:rPr>
        <w:t>（</w:t>
      </w:r>
      <w:r>
        <w:rPr>
          <w:rFonts w:hint="eastAsia"/>
          <w:lang w:val="en-US" w:eastAsia="zh-CN"/>
        </w:rPr>
        <w:t>1</w:t>
      </w:r>
      <w:r>
        <w:rPr>
          <w:rFonts w:hint="eastAsia"/>
          <w:lang w:eastAsia="zh-CN"/>
        </w:rPr>
        <w:t>）</w:t>
      </w:r>
      <w:r>
        <w:rPr>
          <w:rFonts w:hint="default"/>
        </w:rPr>
        <w:t>因不可抗力（如台风、暴雨）影响工期，需在 24 小时内上报发包单位，办理工期顺延手续。</w:t>
      </w:r>
    </w:p>
    <w:p w14:paraId="11D8BB37">
      <w:pPr>
        <w:bidi w:val="0"/>
        <w:rPr>
          <w:rFonts w:hint="eastAsia"/>
          <w:b/>
          <w:bCs/>
          <w:lang w:val="en-US" w:eastAsia="zh-CN"/>
        </w:rPr>
      </w:pPr>
      <w:r>
        <w:rPr>
          <w:rFonts w:hint="eastAsia"/>
          <w:b/>
          <w:bCs/>
          <w:lang w:val="en-US" w:eastAsia="zh-CN"/>
        </w:rPr>
        <w:t>八、项目团队与售后服务要求</w:t>
      </w:r>
    </w:p>
    <w:p w14:paraId="61602464">
      <w:pPr>
        <w:bidi w:val="0"/>
        <w:rPr>
          <w:b/>
          <w:bCs/>
          <w:color w:val="FF0000"/>
        </w:rPr>
      </w:pPr>
      <w:r>
        <w:rPr>
          <w:rFonts w:hint="eastAsia"/>
          <w:b/>
          <w:bCs/>
          <w:color w:val="FF0000"/>
          <w:lang w:val="en-US" w:eastAsia="zh-CN"/>
        </w:rPr>
        <w:t>1、</w:t>
      </w:r>
      <w:r>
        <w:rPr>
          <w:b/>
          <w:bCs/>
          <w:color w:val="FF0000"/>
        </w:rPr>
        <w:t>项目经理要求：</w:t>
      </w:r>
    </w:p>
    <w:p w14:paraId="22743277">
      <w:pPr>
        <w:numPr>
          <w:ilvl w:val="2"/>
          <w:numId w:val="3"/>
        </w:numPr>
        <w:bidi w:val="0"/>
        <w:rPr>
          <w:b/>
          <w:bCs/>
          <w:color w:val="FF0000"/>
        </w:rPr>
      </w:pPr>
      <w:r>
        <w:rPr>
          <w:b/>
          <w:bCs/>
          <w:color w:val="FF0000"/>
        </w:rPr>
        <w:t>拟派项目经理需具备机电工程或通信与广电工程专业二级及以上注册建造师执业资格，且持有有效的安全生产考核合格证书（B证）。</w:t>
      </w:r>
    </w:p>
    <w:p w14:paraId="102C298C">
      <w:pPr>
        <w:numPr>
          <w:ilvl w:val="2"/>
          <w:numId w:val="3"/>
        </w:numPr>
        <w:bidi w:val="0"/>
        <w:rPr>
          <w:b/>
          <w:bCs/>
          <w:color w:val="FF0000"/>
        </w:rPr>
      </w:pPr>
      <w:r>
        <w:rPr>
          <w:b/>
          <w:bCs/>
          <w:color w:val="FF0000"/>
        </w:rPr>
        <w:t>具有类似规模（合同额≥</w:t>
      </w:r>
      <w:r>
        <w:rPr>
          <w:rFonts w:hint="eastAsia"/>
          <w:b/>
          <w:bCs/>
          <w:color w:val="FF0000"/>
          <w:lang w:val="en-US" w:eastAsia="zh-CN"/>
        </w:rPr>
        <w:t>150</w:t>
      </w:r>
      <w:r>
        <w:rPr>
          <w:b/>
          <w:bCs/>
          <w:color w:val="FF0000"/>
        </w:rPr>
        <w:t>万元）的智能化或安防工程管理经验。</w:t>
      </w:r>
    </w:p>
    <w:p w14:paraId="008A385A">
      <w:pPr>
        <w:numPr>
          <w:ilvl w:val="2"/>
          <w:numId w:val="3"/>
        </w:numPr>
        <w:bidi w:val="0"/>
        <w:rPr>
          <w:b/>
          <w:bCs/>
          <w:color w:val="FF0000"/>
        </w:rPr>
      </w:pPr>
      <w:r>
        <w:rPr>
          <w:b/>
          <w:bCs/>
          <w:color w:val="FF0000"/>
        </w:rPr>
        <w:t>需提供近半年在本单位缴纳社保的证明。</w:t>
      </w:r>
    </w:p>
    <w:p w14:paraId="639EB589">
      <w:pPr>
        <w:bidi w:val="0"/>
        <w:rPr>
          <w:rFonts w:hint="eastAsia"/>
          <w:lang w:val="en-US" w:eastAsia="zh-CN"/>
        </w:rPr>
      </w:pPr>
      <w:r>
        <w:rPr>
          <w:rFonts w:hint="eastAsia"/>
          <w:lang w:val="en-US" w:eastAsia="zh-CN"/>
        </w:rPr>
        <w:t>2、团队稳定性：</w:t>
      </w:r>
    </w:p>
    <w:p w14:paraId="6EA3961C">
      <w:pPr>
        <w:pStyle w:val="10"/>
        <w:numPr>
          <w:ilvl w:val="0"/>
          <w:numId w:val="0"/>
        </w:numPr>
        <w:ind w:left="402" w:leftChars="0"/>
      </w:pPr>
      <w:r>
        <w:rPr>
          <w:rFonts w:hint="eastAsia"/>
          <w:lang w:eastAsia="zh-CN"/>
        </w:rPr>
        <w:t>（</w:t>
      </w:r>
      <w:r>
        <w:rPr>
          <w:rFonts w:hint="eastAsia"/>
          <w:lang w:val="en-US" w:eastAsia="zh-CN"/>
        </w:rPr>
        <w:t>1</w:t>
      </w:r>
      <w:r>
        <w:rPr>
          <w:rFonts w:hint="eastAsia"/>
          <w:lang w:eastAsia="zh-CN"/>
        </w:rPr>
        <w:t>）</w:t>
      </w:r>
      <w:r>
        <w:t>中标单位须承诺项目实施期间，项目经理及技术负责人原则上不得更换。确因不可抗力需更换的，新替补人员资质不得低于原投标人员，且须提前7个工作日向甲方提出书面申请并获得批准，否则甲方有权依据合同相关条款进行处罚。</w:t>
      </w:r>
    </w:p>
    <w:p w14:paraId="2368CC3A">
      <w:pPr>
        <w:bidi w:val="0"/>
        <w:rPr>
          <w:rFonts w:hint="eastAsia"/>
          <w:lang w:val="en-US" w:eastAsia="zh-CN"/>
        </w:rPr>
      </w:pPr>
      <w:r>
        <w:rPr>
          <w:rFonts w:hint="eastAsia"/>
          <w:lang w:val="en-US" w:eastAsia="zh-CN"/>
        </w:rPr>
        <w:t>3、质保与售后：</w:t>
      </w:r>
    </w:p>
    <w:p w14:paraId="40A9196E">
      <w:pPr>
        <w:pStyle w:val="10"/>
        <w:numPr>
          <w:ilvl w:val="0"/>
          <w:numId w:val="0"/>
        </w:numPr>
        <w:ind w:left="402" w:leftChars="0"/>
      </w:pPr>
      <w:r>
        <w:rPr>
          <w:rFonts w:hint="eastAsia"/>
          <w:lang w:eastAsia="zh-CN"/>
        </w:rPr>
        <w:t>（</w:t>
      </w:r>
      <w:r>
        <w:rPr>
          <w:rFonts w:hint="eastAsia"/>
          <w:lang w:val="en-US" w:eastAsia="zh-CN"/>
        </w:rPr>
        <w:t>1</w:t>
      </w:r>
      <w:r>
        <w:rPr>
          <w:rFonts w:hint="eastAsia"/>
          <w:lang w:eastAsia="zh-CN"/>
        </w:rPr>
        <w:t>）</w:t>
      </w:r>
      <w:r>
        <w:t>提供</w:t>
      </w:r>
      <w:r>
        <w:rPr>
          <w:rFonts w:hint="eastAsia"/>
          <w:b/>
          <w:lang w:val="en-US" w:eastAsia="zh-CN"/>
        </w:rPr>
        <w:t>2</w:t>
      </w:r>
      <w:r>
        <w:rPr>
          <w:b/>
        </w:rPr>
        <w:t>年</w:t>
      </w:r>
      <w:r>
        <w:t>免费质保服务（含设备及人工）。</w:t>
      </w:r>
    </w:p>
    <w:p w14:paraId="7EDE0CD0">
      <w:pPr>
        <w:pStyle w:val="10"/>
        <w:numPr>
          <w:ilvl w:val="0"/>
          <w:numId w:val="0"/>
        </w:numPr>
        <w:ind w:left="402" w:leftChars="0"/>
      </w:pPr>
      <w:r>
        <w:rPr>
          <w:rFonts w:hint="eastAsia"/>
          <w:lang w:eastAsia="zh-CN"/>
        </w:rPr>
        <w:t>（</w:t>
      </w:r>
      <w:r>
        <w:rPr>
          <w:rFonts w:hint="eastAsia"/>
          <w:lang w:val="en-US" w:eastAsia="zh-CN"/>
        </w:rPr>
        <w:t>2</w:t>
      </w:r>
      <w:r>
        <w:rPr>
          <w:rFonts w:hint="eastAsia"/>
          <w:lang w:eastAsia="zh-CN"/>
        </w:rPr>
        <w:t>）</w:t>
      </w:r>
      <w:r>
        <w:t>承诺在珠海本地设有服务网点，提供 7×24 小时响应，紧急故障</w:t>
      </w:r>
      <w:r>
        <w:rPr>
          <w:b/>
        </w:rPr>
        <w:t>2小时</w:t>
      </w:r>
      <w:r>
        <w:t>内到达现场，</w:t>
      </w:r>
      <w:r>
        <w:rPr>
          <w:b/>
        </w:rPr>
        <w:t>4小时</w:t>
      </w:r>
      <w:r>
        <w:t>内恢复系统运行（提供备机）。</w:t>
      </w:r>
    </w:p>
    <w:p w14:paraId="1F122556">
      <w:pPr>
        <w:pStyle w:val="10"/>
        <w:numPr>
          <w:ilvl w:val="0"/>
          <w:numId w:val="0"/>
        </w:numPr>
        <w:ind w:left="402" w:leftChars="0"/>
      </w:pPr>
      <w:r>
        <w:rPr>
          <w:rFonts w:hint="eastAsia"/>
          <w:lang w:eastAsia="zh-CN"/>
        </w:rPr>
        <w:t>（</w:t>
      </w:r>
      <w:r>
        <w:rPr>
          <w:rFonts w:hint="eastAsia"/>
          <w:lang w:val="en-US" w:eastAsia="zh-CN"/>
        </w:rPr>
        <w:t>3</w:t>
      </w:r>
      <w:r>
        <w:rPr>
          <w:rFonts w:hint="eastAsia"/>
          <w:lang w:eastAsia="zh-CN"/>
        </w:rPr>
        <w:t>）</w:t>
      </w:r>
      <w:r>
        <w:t>重大活动或台风期间，需提供驻场保障服务。</w:t>
      </w:r>
    </w:p>
    <w:p w14:paraId="7D9D46CD">
      <w:pPr>
        <w:bidi w:val="0"/>
        <w:rPr>
          <w:rFonts w:hint="default"/>
          <w:b/>
          <w:bCs/>
        </w:rPr>
      </w:pPr>
      <w:r>
        <w:rPr>
          <w:rFonts w:hint="eastAsia"/>
          <w:b/>
          <w:bCs/>
          <w:lang w:val="en-US" w:eastAsia="zh-CN"/>
        </w:rPr>
        <w:t>九、</w:t>
      </w:r>
      <w:r>
        <w:rPr>
          <w:rFonts w:hint="default"/>
          <w:b/>
          <w:bCs/>
        </w:rPr>
        <w:t>影像资料要求</w:t>
      </w:r>
    </w:p>
    <w:p w14:paraId="26588019">
      <w:pPr>
        <w:bidi w:val="0"/>
        <w:rPr>
          <w:rFonts w:hint="default"/>
        </w:rPr>
      </w:pPr>
      <w:r>
        <w:rPr>
          <w:rFonts w:hint="eastAsia"/>
          <w:lang w:val="en-US" w:eastAsia="zh-CN"/>
        </w:rPr>
        <w:t>1、</w:t>
      </w:r>
      <w:r>
        <w:rPr>
          <w:rFonts w:hint="default"/>
        </w:rPr>
        <w:t>影像资料五大核心要素</w:t>
      </w:r>
    </w:p>
    <w:p w14:paraId="5F223F6B">
      <w:pPr>
        <w:bidi w:val="0"/>
        <w:rPr>
          <w:rFonts w:hint="default"/>
        </w:rPr>
      </w:pPr>
      <w:r>
        <w:rPr>
          <w:rFonts w:hint="default"/>
          <w:lang w:val="en-US" w:eastAsia="zh-CN"/>
        </w:rPr>
        <w:t>所有影像资料需同时包含以下五大要素，水印清晰可见（分辨率≥1200 万像素，视频≥1080P）：</w:t>
      </w:r>
    </w:p>
    <w:p w14:paraId="6ED73A24">
      <w:pPr>
        <w:bidi w:val="0"/>
      </w:pPr>
      <w:r>
        <w:rPr>
          <w:rFonts w:hint="default"/>
        </w:rPr>
        <w:t>基础要素：项目名称（固定为 “广昌保障房配套基础设施项目 - 土石方工程”）；</w:t>
      </w:r>
    </w:p>
    <w:p w14:paraId="7E87347F">
      <w:pPr>
        <w:bidi w:val="0"/>
      </w:pPr>
      <w:r>
        <w:rPr>
          <w:rFonts w:hint="default"/>
        </w:rPr>
        <w:t>时空要素：拍摄时间（精确到秒，格式 “YYYY-MM-DD HH:MM:SS”）、经纬度（误差≤10 米，同步显示坐标值）；</w:t>
      </w:r>
    </w:p>
    <w:p w14:paraId="547B95EA">
      <w:pPr>
        <w:bidi w:val="0"/>
      </w:pPr>
      <w:r>
        <w:rPr>
          <w:rFonts w:hint="default"/>
        </w:rPr>
        <w:t>工序要素：分项工程名称 + 具体工序 + 施工部位（如 “路基回填 - 分层压实 - K0+300-K0+350”）；</w:t>
      </w:r>
    </w:p>
    <w:p w14:paraId="535EBE8F">
      <w:pPr>
        <w:bidi w:val="0"/>
      </w:pPr>
      <w:r>
        <w:rPr>
          <w:rFonts w:hint="default"/>
        </w:rPr>
        <w:t>责任要素：施工班组名称 + 班组长姓名（如 “路基班组 - 张三”）；</w:t>
      </w:r>
    </w:p>
    <w:p w14:paraId="5DB86049">
      <w:pPr>
        <w:bidi w:val="0"/>
      </w:pPr>
      <w:r>
        <w:rPr>
          <w:rFonts w:hint="default"/>
        </w:rPr>
        <w:t>监管要素：珠海地方要求的 “建管通” APP 水印（需接入珠海市建设工程质量安全监督管理平台，自动同步上传状态）。</w:t>
      </w:r>
    </w:p>
    <w:p w14:paraId="22AE6E27">
      <w:pPr>
        <w:bidi w:val="0"/>
        <w:rPr>
          <w:rFonts w:hint="default"/>
        </w:rPr>
      </w:pPr>
      <w:r>
        <w:rPr>
          <w:rFonts w:hint="eastAsia"/>
          <w:lang w:val="en-US" w:eastAsia="zh-CN"/>
        </w:rPr>
        <w:t>2、</w:t>
      </w:r>
      <w:r>
        <w:rPr>
          <w:rFonts w:hint="default"/>
        </w:rPr>
        <w:t>各分项工程影像拍摄专项要求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64"/>
        <w:gridCol w:w="1447"/>
        <w:gridCol w:w="3843"/>
        <w:gridCol w:w="3328"/>
      </w:tblGrid>
      <w:tr w14:paraId="543A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0" w:type="auto"/>
            <w:shd w:val="clear" w:color="auto" w:fill="F2F2F2"/>
            <w:tcMar>
              <w:top w:w="180" w:type="dxa"/>
              <w:left w:w="270" w:type="dxa"/>
              <w:bottom w:w="180" w:type="dxa"/>
              <w:right w:w="270" w:type="dxa"/>
            </w:tcMar>
            <w:vAlign w:val="center"/>
          </w:tcPr>
          <w:p w14:paraId="36F2BA6B">
            <w:pPr>
              <w:pStyle w:val="46"/>
              <w:bidi w:val="0"/>
            </w:pPr>
            <w:r>
              <w:rPr>
                <w:lang w:val="en-US" w:eastAsia="zh-CN"/>
              </w:rPr>
              <w:t>分项工程</w:t>
            </w:r>
          </w:p>
        </w:tc>
        <w:tc>
          <w:tcPr>
            <w:tcW w:w="0" w:type="auto"/>
            <w:shd w:val="clear" w:color="auto" w:fill="F2F2F2"/>
            <w:tcMar>
              <w:top w:w="180" w:type="dxa"/>
              <w:left w:w="270" w:type="dxa"/>
              <w:bottom w:w="180" w:type="dxa"/>
              <w:right w:w="270" w:type="dxa"/>
            </w:tcMar>
            <w:vAlign w:val="center"/>
          </w:tcPr>
          <w:p w14:paraId="3F001EFD">
            <w:pPr>
              <w:pStyle w:val="46"/>
              <w:bidi w:val="0"/>
            </w:pPr>
            <w:r>
              <w:rPr>
                <w:lang w:val="en-US" w:eastAsia="zh-CN"/>
              </w:rPr>
              <w:t>拍摄节点</w:t>
            </w:r>
          </w:p>
        </w:tc>
        <w:tc>
          <w:tcPr>
            <w:tcW w:w="0" w:type="auto"/>
            <w:shd w:val="clear" w:color="auto" w:fill="F2F2F2"/>
            <w:tcMar>
              <w:top w:w="180" w:type="dxa"/>
              <w:left w:w="270" w:type="dxa"/>
              <w:bottom w:w="180" w:type="dxa"/>
              <w:right w:w="270" w:type="dxa"/>
            </w:tcMar>
            <w:vAlign w:val="center"/>
          </w:tcPr>
          <w:p w14:paraId="0EA93246">
            <w:pPr>
              <w:pStyle w:val="46"/>
              <w:bidi w:val="0"/>
            </w:pPr>
            <w:r>
              <w:rPr>
                <w:lang w:val="en-US" w:eastAsia="zh-CN"/>
              </w:rPr>
              <w:t>核心拍摄内容（体现五大要素 + 专项要求）</w:t>
            </w:r>
          </w:p>
        </w:tc>
        <w:tc>
          <w:tcPr>
            <w:tcW w:w="0" w:type="auto"/>
            <w:shd w:val="clear" w:color="auto" w:fill="F2F2F2"/>
            <w:tcMar>
              <w:top w:w="180" w:type="dxa"/>
              <w:left w:w="270" w:type="dxa"/>
              <w:bottom w:w="180" w:type="dxa"/>
              <w:right w:w="270" w:type="dxa"/>
            </w:tcMar>
            <w:vAlign w:val="center"/>
          </w:tcPr>
          <w:p w14:paraId="364137B7">
            <w:pPr>
              <w:pStyle w:val="46"/>
              <w:bidi w:val="0"/>
            </w:pPr>
            <w:r>
              <w:rPr>
                <w:lang w:val="en-US" w:eastAsia="zh-CN"/>
              </w:rPr>
              <w:t>特殊要求（珠海地方监管 + 质量追溯）</w:t>
            </w:r>
          </w:p>
        </w:tc>
      </w:tr>
      <w:tr w14:paraId="6F59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23AF785E">
            <w:pPr>
              <w:pStyle w:val="46"/>
              <w:bidi w:val="0"/>
            </w:pPr>
            <w:r>
              <w:rPr>
                <w:lang w:val="en-US" w:eastAsia="zh-CN"/>
              </w:rPr>
              <w:t>一、交通工程 - 路面标线</w:t>
            </w:r>
          </w:p>
        </w:tc>
        <w:tc>
          <w:tcPr>
            <w:tcW w:w="0" w:type="auto"/>
            <w:shd w:val="clear" w:color="auto" w:fill="auto"/>
            <w:tcMar>
              <w:top w:w="180" w:type="dxa"/>
              <w:left w:w="270" w:type="dxa"/>
              <w:bottom w:w="180" w:type="dxa"/>
              <w:right w:w="270" w:type="dxa"/>
            </w:tcMar>
            <w:vAlign w:val="center"/>
          </w:tcPr>
          <w:p w14:paraId="5271EF3D">
            <w:pPr>
              <w:pStyle w:val="46"/>
              <w:bidi w:val="0"/>
            </w:pPr>
            <w:r>
              <w:rPr>
                <w:lang w:val="en-US" w:eastAsia="zh-CN"/>
              </w:rPr>
              <w:t>①材料进场验收；②基底清理；③标线施划；④厚度检测；⑤反光性能测试；⑥成品验收</w:t>
            </w:r>
          </w:p>
        </w:tc>
        <w:tc>
          <w:tcPr>
            <w:tcW w:w="0" w:type="auto"/>
            <w:shd w:val="clear" w:color="auto" w:fill="auto"/>
            <w:tcMar>
              <w:top w:w="180" w:type="dxa"/>
              <w:left w:w="270" w:type="dxa"/>
              <w:bottom w:w="180" w:type="dxa"/>
              <w:right w:w="270" w:type="dxa"/>
            </w:tcMar>
            <w:vAlign w:val="center"/>
          </w:tcPr>
          <w:p w14:paraId="3E45ED97">
            <w:pPr>
              <w:pStyle w:val="46"/>
              <w:bidi w:val="0"/>
            </w:pPr>
            <w:r>
              <w:rPr>
                <w:lang w:val="en-US" w:eastAsia="zh-CN"/>
              </w:rPr>
              <w:t>①材料进场：拍摄高亮干湿态反光标线涂料外观 + 质量证明文件 + 检测报告特写（标注 V 类反光标准），体现施工班组名称 + 班组长姓名；②基底清理：拍摄路面清扫 + 干燥状态（无积水油污），水印含经纬度、时间（精确到秒）及 “广昌保障房配套基础设施项目 - 交通工程 - 路面标线 - 基底清理 - 【具体桩号】”；③标线施划：拍摄施划设备操作 + 标线线型（流线型布置），显示线宽 15cm（行车道边缘线 / 分界线）、线长 400cm + 间隔 600cm（分界线），同步 “建管通” APP 水印；④厚度检测：拍摄厚度测量工具操作 + 数据（符合设计标准）；⑤反光性能测试：拍摄干湿态反光效果实测视频，标注 “≥2 年设计使用年限”；⑥成品验收：拍摄标线整体观感 + 桩号范围，体现监理在场见证。</w:t>
            </w:r>
          </w:p>
        </w:tc>
        <w:tc>
          <w:tcPr>
            <w:tcW w:w="0" w:type="auto"/>
            <w:shd w:val="clear" w:color="auto" w:fill="auto"/>
            <w:tcMar>
              <w:top w:w="180" w:type="dxa"/>
              <w:left w:w="270" w:type="dxa"/>
              <w:bottom w:w="180" w:type="dxa"/>
              <w:right w:w="270" w:type="dxa"/>
            </w:tcMar>
            <w:vAlign w:val="center"/>
          </w:tcPr>
          <w:p w14:paraId="1035F89B">
            <w:pPr>
              <w:pStyle w:val="46"/>
              <w:bidi w:val="0"/>
            </w:pPr>
            <w:r>
              <w:rPr>
                <w:lang w:val="en-US" w:eastAsia="zh-CN"/>
              </w:rPr>
              <w:t>1. 材料影像关联《标线涂料进场检验记录》，需显示生产批号；2. 施划过程视频时长≥3 分钟，包含施划前后对比；3. 反光性能测试需拍摄检测仪器读数，同步上传珠海市建设工程质量安全监督管理平台；4. 成品验收影像需体现无气泡、无脱落，边缘整齐。</w:t>
            </w:r>
          </w:p>
        </w:tc>
      </w:tr>
      <w:tr w14:paraId="684D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1233770E">
            <w:pPr>
              <w:pStyle w:val="46"/>
              <w:bidi w:val="0"/>
            </w:pPr>
            <w:r>
              <w:rPr>
                <w:lang w:val="en-US" w:eastAsia="zh-CN"/>
              </w:rPr>
              <w:t>二、交通工程 - 道路标志（标志板 + 杆件）</w:t>
            </w:r>
          </w:p>
        </w:tc>
        <w:tc>
          <w:tcPr>
            <w:tcW w:w="0" w:type="auto"/>
            <w:shd w:val="clear" w:color="auto" w:fill="auto"/>
            <w:tcMar>
              <w:top w:w="180" w:type="dxa"/>
              <w:left w:w="270" w:type="dxa"/>
              <w:bottom w:w="180" w:type="dxa"/>
              <w:right w:w="270" w:type="dxa"/>
            </w:tcMar>
            <w:vAlign w:val="center"/>
          </w:tcPr>
          <w:p w14:paraId="750D3B14">
            <w:pPr>
              <w:pStyle w:val="46"/>
              <w:bidi w:val="0"/>
            </w:pPr>
            <w:r>
              <w:rPr>
                <w:lang w:val="en-US" w:eastAsia="zh-CN"/>
              </w:rPr>
              <w:t>①材料进场验收；②标志板加工；③杆件制作 / 利旧检查；④基础施工；⑤吊装安装；⑥抗风性能复核；⑦成品验收</w:t>
            </w:r>
          </w:p>
        </w:tc>
        <w:tc>
          <w:tcPr>
            <w:tcW w:w="0" w:type="auto"/>
            <w:shd w:val="clear" w:color="auto" w:fill="auto"/>
            <w:tcMar>
              <w:top w:w="180" w:type="dxa"/>
              <w:left w:w="270" w:type="dxa"/>
              <w:bottom w:w="180" w:type="dxa"/>
              <w:right w:w="270" w:type="dxa"/>
            </w:tcMar>
            <w:vAlign w:val="center"/>
          </w:tcPr>
          <w:p w14:paraId="10F45A78">
            <w:pPr>
              <w:pStyle w:val="46"/>
              <w:bidi w:val="0"/>
            </w:pPr>
            <w:r>
              <w:rPr>
                <w:lang w:val="en-US" w:eastAsia="zh-CN"/>
              </w:rPr>
              <w:t>①材料进场：拍摄铝合金板（厚度≥3.0mm）、V 类（钻石级）反光膜外观 + 检测报告，水印含项目名称、时间、经纬度及施工班组；②标志板加工：拍摄裁剪 + 反光膜粘贴工艺，显示标志尺寸（警告标志 90cm 三角形 / 禁令标志 80cm 圆形等）；③杆件制作 / 利旧：新建杆件拍摄 Q235 钢材 + 热镀锌处理（镀锌层≥85μm），利旧杆件拍摄翻新前后对比，标注 “抗风等级 14 级”；④基础施工：拍摄基坑开挖 + 混凝土浇筑 + 承载力检测（≥90kpa），显示检测数据；⑤吊装安装：拍摄吊装过程 + 立杆垂直度校正，体现施工人员资质；⑥抗风性能复核：拍摄结构强度验算文件 + 监理签字；⑦成品验收：拍摄标志安装位置 + 角度，水印含 “广昌保障房配套基础设施项目 - 交通工程 - 道路标志 - 【具体位置】”。</w:t>
            </w:r>
          </w:p>
        </w:tc>
        <w:tc>
          <w:tcPr>
            <w:tcW w:w="0" w:type="auto"/>
            <w:shd w:val="clear" w:color="auto" w:fill="auto"/>
            <w:tcMar>
              <w:top w:w="180" w:type="dxa"/>
              <w:left w:w="270" w:type="dxa"/>
              <w:bottom w:w="180" w:type="dxa"/>
              <w:right w:w="270" w:type="dxa"/>
            </w:tcMar>
            <w:vAlign w:val="center"/>
          </w:tcPr>
          <w:p w14:paraId="15B63ABE">
            <w:pPr>
              <w:pStyle w:val="46"/>
              <w:bidi w:val="0"/>
            </w:pPr>
            <w:r>
              <w:rPr>
                <w:lang w:val="en-US" w:eastAsia="zh-CN"/>
              </w:rPr>
              <w:t>1. 反光膜需拍摄产品标识（V 类）及第三方盐雾试验报告（≥96 小时无锈蚀）；2. 基础施工影像关联《标志杆基础验收记录》，标注经纬度坐标；3. 吊装过程全程视频拍摄，时长≥5 分钟，包含安装前后环境；4. 成品验收需拍摄标志无歪斜、反光膜无起翘，同步关联《道路标志安装检验记录》。</w:t>
            </w:r>
          </w:p>
        </w:tc>
      </w:tr>
      <w:tr w14:paraId="1993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23D08374">
            <w:pPr>
              <w:pStyle w:val="46"/>
              <w:bidi w:val="0"/>
            </w:pPr>
            <w:r>
              <w:rPr>
                <w:lang w:val="en-US" w:eastAsia="zh-CN"/>
              </w:rPr>
              <w:t>三、交通工程 - 示警桩安装</w:t>
            </w:r>
          </w:p>
        </w:tc>
        <w:tc>
          <w:tcPr>
            <w:tcW w:w="0" w:type="auto"/>
            <w:shd w:val="clear" w:color="auto" w:fill="auto"/>
            <w:tcMar>
              <w:top w:w="180" w:type="dxa"/>
              <w:left w:w="270" w:type="dxa"/>
              <w:bottom w:w="180" w:type="dxa"/>
              <w:right w:w="270" w:type="dxa"/>
            </w:tcMar>
            <w:vAlign w:val="center"/>
          </w:tcPr>
          <w:p w14:paraId="5234176C">
            <w:pPr>
              <w:pStyle w:val="46"/>
              <w:bidi w:val="0"/>
            </w:pPr>
            <w:r>
              <w:rPr>
                <w:lang w:val="en-US" w:eastAsia="zh-CN"/>
              </w:rPr>
              <w:t>①材料进场验收；②基坑开挖；③桩体安装；④反光膜粘贴；⑤成品验收</w:t>
            </w:r>
          </w:p>
        </w:tc>
        <w:tc>
          <w:tcPr>
            <w:tcW w:w="0" w:type="auto"/>
            <w:shd w:val="clear" w:color="auto" w:fill="auto"/>
            <w:tcMar>
              <w:top w:w="180" w:type="dxa"/>
              <w:left w:w="270" w:type="dxa"/>
              <w:bottom w:w="180" w:type="dxa"/>
              <w:right w:w="270" w:type="dxa"/>
            </w:tcMar>
            <w:vAlign w:val="center"/>
          </w:tcPr>
          <w:p w14:paraId="2C12D738">
            <w:pPr>
              <w:pStyle w:val="46"/>
              <w:bidi w:val="0"/>
            </w:pPr>
            <w:r>
              <w:rPr>
                <w:lang w:val="en-US" w:eastAsia="zh-CN"/>
              </w:rPr>
              <w:t>①材料进场：拍摄 Φ140mm 钢管（壁厚≥2.5mm）+C25 水泥砼（内腔灌注）+V 类反光膜，显示质量证明文件，水印含施工班组及时空信息；②基坑开挖：拍摄开挖尺寸 + 基底平整状态，标注安装位置（地块开口两侧 / 无信号交叉口人行横道入口）；③桩体安装：拍摄垂直度校正 + 固定工艺，体现 “顶端弧面” 设计；④反光膜粘贴：拍摄红白反光膜粘贴过程，确保无气泡、拼接整齐；⑤成品验收：拍摄示警桩整体观感 + 间距，水印含 “广昌保障房配套基础设施项目 - 交通工程 - 示警桩安装 - 【具体路段】”。</w:t>
            </w:r>
          </w:p>
        </w:tc>
        <w:tc>
          <w:tcPr>
            <w:tcW w:w="0" w:type="auto"/>
            <w:shd w:val="clear" w:color="auto" w:fill="auto"/>
            <w:tcMar>
              <w:top w:w="180" w:type="dxa"/>
              <w:left w:w="270" w:type="dxa"/>
              <w:bottom w:w="180" w:type="dxa"/>
              <w:right w:w="270" w:type="dxa"/>
            </w:tcMar>
            <w:vAlign w:val="center"/>
          </w:tcPr>
          <w:p w14:paraId="33B8E1F7">
            <w:pPr>
              <w:pStyle w:val="46"/>
              <w:bidi w:val="0"/>
            </w:pPr>
            <w:r>
              <w:rPr>
                <w:lang w:val="en-US" w:eastAsia="zh-CN"/>
              </w:rPr>
              <w:t>1. 材料影像需拍摄钢管壁厚实测数据（工具测量特写）；2. 安装影像关联《示警桩安装验收记录》，标注桩体间距符合规范；3. 反光膜粘贴需拍摄压实操作，确保反光效果达标；4. 成品需拍摄无变形、无锈蚀，同步上传平台。</w:t>
            </w:r>
          </w:p>
        </w:tc>
      </w:tr>
      <w:tr w14:paraId="31FA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39AB0399">
            <w:pPr>
              <w:pStyle w:val="46"/>
              <w:bidi w:val="0"/>
            </w:pPr>
            <w:r>
              <w:rPr>
                <w:lang w:val="en-US" w:eastAsia="zh-CN"/>
              </w:rPr>
              <w:t>四、交通工程 - 轮廓标安装</w:t>
            </w:r>
          </w:p>
        </w:tc>
        <w:tc>
          <w:tcPr>
            <w:tcW w:w="0" w:type="auto"/>
            <w:shd w:val="clear" w:color="auto" w:fill="auto"/>
            <w:tcMar>
              <w:top w:w="180" w:type="dxa"/>
              <w:left w:w="270" w:type="dxa"/>
              <w:bottom w:w="180" w:type="dxa"/>
              <w:right w:w="270" w:type="dxa"/>
            </w:tcMar>
            <w:vAlign w:val="center"/>
          </w:tcPr>
          <w:p w14:paraId="7BB82A76">
            <w:pPr>
              <w:pStyle w:val="46"/>
              <w:bidi w:val="0"/>
            </w:pPr>
            <w:r>
              <w:rPr>
                <w:lang w:val="en-US" w:eastAsia="zh-CN"/>
              </w:rPr>
              <w:t>①材料进场验收；②基础施工；③柱体安装；④反射器镶嵌；⑤成品验收</w:t>
            </w:r>
          </w:p>
        </w:tc>
        <w:tc>
          <w:tcPr>
            <w:tcW w:w="0" w:type="auto"/>
            <w:shd w:val="clear" w:color="auto" w:fill="auto"/>
            <w:tcMar>
              <w:top w:w="180" w:type="dxa"/>
              <w:left w:w="270" w:type="dxa"/>
              <w:bottom w:w="180" w:type="dxa"/>
              <w:right w:w="270" w:type="dxa"/>
            </w:tcMar>
            <w:vAlign w:val="center"/>
          </w:tcPr>
          <w:p w14:paraId="1A2F7A55">
            <w:pPr>
              <w:pStyle w:val="46"/>
              <w:bidi w:val="0"/>
            </w:pPr>
            <w:r>
              <w:rPr>
                <w:lang w:val="en-US" w:eastAsia="zh-CN"/>
              </w:rPr>
              <w:t>①材料进场：拍摄混凝土基础构件 + 白色柱体 + 反射器（180mm×40mm），显示质量证明文件，水印含施工班组及时间；②基础施工：拍摄基坑浇筑 + 养护状态，标注急弯路段位置；③柱体安装：拍摄装配式连接工艺 + 垂直度校正，体现 “上部 250mm 黑色标记”；④反射器镶嵌：拍摄白色（道路右侧）/ 黄色（道路左侧）反射器安装，确保牢固无松动；⑤成品验收：拍摄轮廓标整体布置 + 反射效果，水印含 “广昌保障房配套基础设施项目 - 交通工程 - 轮廓标安装 - 【具体弯道桩号】”。</w:t>
            </w:r>
          </w:p>
        </w:tc>
        <w:tc>
          <w:tcPr>
            <w:tcW w:w="0" w:type="auto"/>
            <w:shd w:val="clear" w:color="auto" w:fill="auto"/>
            <w:tcMar>
              <w:top w:w="180" w:type="dxa"/>
              <w:left w:w="270" w:type="dxa"/>
              <w:bottom w:w="180" w:type="dxa"/>
              <w:right w:w="270" w:type="dxa"/>
            </w:tcMar>
            <w:vAlign w:val="center"/>
          </w:tcPr>
          <w:p w14:paraId="18BC3481">
            <w:pPr>
              <w:pStyle w:val="46"/>
              <w:bidi w:val="0"/>
            </w:pPr>
            <w:r>
              <w:rPr>
                <w:lang w:val="en-US" w:eastAsia="zh-CN"/>
              </w:rPr>
              <w:t>1. 基础施工影像需体现埋深符合规范，关联《轮廓标基础验收记录》；2. 反射器安装需拍摄朝向校正，确保反光角度准确；3. 成品验收需拍摄无遮挡、无损坏，同步拍摄夜间反光测试视频；4. 影像需标注急弯路段名称及桩号范围。</w:t>
            </w:r>
          </w:p>
        </w:tc>
      </w:tr>
      <w:tr w14:paraId="1C11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6660B0B7">
            <w:pPr>
              <w:pStyle w:val="46"/>
              <w:bidi w:val="0"/>
            </w:pPr>
            <w:r>
              <w:rPr>
                <w:lang w:val="en-US" w:eastAsia="zh-CN"/>
              </w:rPr>
              <w:t>五、安监工程 - 监控立杆安装（新建 / 利旧）</w:t>
            </w:r>
          </w:p>
        </w:tc>
        <w:tc>
          <w:tcPr>
            <w:tcW w:w="0" w:type="auto"/>
            <w:shd w:val="clear" w:color="auto" w:fill="auto"/>
            <w:tcMar>
              <w:top w:w="180" w:type="dxa"/>
              <w:left w:w="270" w:type="dxa"/>
              <w:bottom w:w="180" w:type="dxa"/>
              <w:right w:w="270" w:type="dxa"/>
            </w:tcMar>
            <w:vAlign w:val="center"/>
          </w:tcPr>
          <w:p w14:paraId="5A17ACDC">
            <w:pPr>
              <w:pStyle w:val="46"/>
              <w:bidi w:val="0"/>
            </w:pPr>
            <w:r>
              <w:rPr>
                <w:lang w:val="en-US" w:eastAsia="zh-CN"/>
              </w:rPr>
              <w:t>①材料进场 / 利旧检查；②基础施工；③立杆吊装；④防雷接地安装；⑤成品验收</w:t>
            </w:r>
          </w:p>
        </w:tc>
        <w:tc>
          <w:tcPr>
            <w:tcW w:w="0" w:type="auto"/>
            <w:shd w:val="clear" w:color="auto" w:fill="auto"/>
            <w:tcMar>
              <w:top w:w="180" w:type="dxa"/>
              <w:left w:w="270" w:type="dxa"/>
              <w:bottom w:w="180" w:type="dxa"/>
              <w:right w:w="270" w:type="dxa"/>
            </w:tcMar>
            <w:vAlign w:val="center"/>
          </w:tcPr>
          <w:p w14:paraId="751B9FF2">
            <w:pPr>
              <w:pStyle w:val="46"/>
              <w:bidi w:val="0"/>
            </w:pPr>
            <w:r>
              <w:rPr>
                <w:lang w:val="en-US" w:eastAsia="zh-CN"/>
              </w:rPr>
              <w:t>①材料进场 / 利旧：新建立杆拍摄 Q235 钢材 + 热镀锌喷塑（镀锌层≥85μm）+ 尺寸（高度 6.5m、横杆 3m），利旧立杆拍摄翻新检查（杆件无锈蚀、结构完好），水印含项目名称、施工班组及时空信息；②基础施工：拍摄基坑开挖 + 素混凝土包裹（厚度≥100mm）+ 承载力检测，显示检测数据；③立杆吊装：拍摄吊装过程 + 垂直度校正，体现 “抗 12 级台风” 设计，监理在场见证；④防雷接地：拍摄接地极安装 + 电阻测试（独立接地≤4Ω/ 联合接地≤1Ω），显示测试仪器读数；⑤成品验收：拍摄立杆整体状态 + 避雷针安装，水印含 “广昌保障房配套基础设施项目 - 安监工程 - 监控立杆安装 - 【具体点位】”。</w:t>
            </w:r>
          </w:p>
        </w:tc>
        <w:tc>
          <w:tcPr>
            <w:tcW w:w="0" w:type="auto"/>
            <w:shd w:val="clear" w:color="auto" w:fill="auto"/>
            <w:tcMar>
              <w:top w:w="180" w:type="dxa"/>
              <w:left w:w="270" w:type="dxa"/>
              <w:bottom w:w="180" w:type="dxa"/>
              <w:right w:w="270" w:type="dxa"/>
            </w:tcMar>
            <w:vAlign w:val="center"/>
          </w:tcPr>
          <w:p w14:paraId="2C8D4388">
            <w:pPr>
              <w:pStyle w:val="46"/>
              <w:bidi w:val="0"/>
            </w:pPr>
            <w:r>
              <w:rPr>
                <w:lang w:val="en-US" w:eastAsia="zh-CN"/>
              </w:rPr>
              <w:t>1. 新建立杆影像关联《监控立杆基础验收记录》，需提供抗风设计计算书；2. 利旧立杆需拍摄翻新前后对比照，关联《利旧设备检测记录》；3. 防雷接地测试需拍摄完整操作过程，同步上传检测报告；4. 基础素混凝土包裹需拍摄厚度实测（≥100mm），标注经纬度坐标。</w:t>
            </w:r>
          </w:p>
        </w:tc>
      </w:tr>
      <w:tr w14:paraId="438F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1A6539D6">
            <w:pPr>
              <w:pStyle w:val="46"/>
              <w:bidi w:val="0"/>
            </w:pPr>
            <w:r>
              <w:rPr>
                <w:lang w:val="en-US" w:eastAsia="zh-CN"/>
              </w:rPr>
              <w:t>六、安监工程 - 智能监控箱安装</w:t>
            </w:r>
          </w:p>
        </w:tc>
        <w:tc>
          <w:tcPr>
            <w:tcW w:w="0" w:type="auto"/>
            <w:shd w:val="clear" w:color="auto" w:fill="auto"/>
            <w:tcMar>
              <w:top w:w="180" w:type="dxa"/>
              <w:left w:w="270" w:type="dxa"/>
              <w:bottom w:w="180" w:type="dxa"/>
              <w:right w:w="270" w:type="dxa"/>
            </w:tcMar>
            <w:vAlign w:val="center"/>
          </w:tcPr>
          <w:p w14:paraId="612F5E4B">
            <w:pPr>
              <w:pStyle w:val="46"/>
              <w:bidi w:val="0"/>
            </w:pPr>
            <w:r>
              <w:rPr>
                <w:lang w:val="en-US" w:eastAsia="zh-CN"/>
              </w:rPr>
              <w:t>①材料进场验收；②箱体固定；③内部设备集成；④通电测试；⑤成品验收</w:t>
            </w:r>
          </w:p>
        </w:tc>
        <w:tc>
          <w:tcPr>
            <w:tcW w:w="0" w:type="auto"/>
            <w:shd w:val="clear" w:color="auto" w:fill="auto"/>
            <w:tcMar>
              <w:top w:w="180" w:type="dxa"/>
              <w:left w:w="270" w:type="dxa"/>
              <w:bottom w:w="180" w:type="dxa"/>
              <w:right w:w="270" w:type="dxa"/>
            </w:tcMar>
            <w:vAlign w:val="center"/>
          </w:tcPr>
          <w:p w14:paraId="114D7479">
            <w:pPr>
              <w:pStyle w:val="46"/>
              <w:bidi w:val="0"/>
            </w:pPr>
            <w:r>
              <w:rPr>
                <w:lang w:val="en-US" w:eastAsia="zh-CN"/>
              </w:rPr>
              <w:t>①材料进场：拍摄 304 不锈钢箱体（厚度 &gt; 1.2mm）+ 防雷器、熔纤单元等配件，显示 IP66 防护等级标识 + 质量证明文件，水印含施工班组及时空信息；②箱体固定：拍摄安装位置 + 固定工艺，体现防盐雾腐蚀处理；③内部设备集成：拍摄电源插排、保护地排、以太网端口（≥4 个）等安装，显示 “一机一档” 信息录入；④通电测试：拍摄在线检测 + 回路远程控制功能演示，标注 “7×24 小时运行”；⑤成品验收：拍摄箱体密封状态 + 温控风扇运行，水印含 “广昌保障房配套基础设施项目 - 安监工程 - 智能监控箱安装 - 【具体点位】”。</w:t>
            </w:r>
          </w:p>
        </w:tc>
        <w:tc>
          <w:tcPr>
            <w:tcW w:w="0" w:type="auto"/>
            <w:shd w:val="clear" w:color="auto" w:fill="auto"/>
            <w:tcMar>
              <w:top w:w="180" w:type="dxa"/>
              <w:left w:w="270" w:type="dxa"/>
              <w:bottom w:w="180" w:type="dxa"/>
              <w:right w:w="270" w:type="dxa"/>
            </w:tcMar>
            <w:vAlign w:val="center"/>
          </w:tcPr>
          <w:p w14:paraId="6740978F">
            <w:pPr>
              <w:pStyle w:val="46"/>
              <w:bidi w:val="0"/>
            </w:pPr>
            <w:r>
              <w:rPr>
                <w:lang w:val="en-US" w:eastAsia="zh-CN"/>
              </w:rPr>
              <w:t>1. 箱体材料需拍摄第三方盐雾试验报告（≥96 小时无锈蚀）；2. 内部设备集成影像需标注各部件型号，关联《智能监控箱安装调试记录》；3. 通电测试需拍摄 72 小时试运行无故障记录；4. 影像需体现箱体防水防尘措施，无松动部件。</w:t>
            </w:r>
          </w:p>
        </w:tc>
      </w:tr>
      <w:tr w14:paraId="1067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0DF1F763">
            <w:pPr>
              <w:pStyle w:val="46"/>
              <w:bidi w:val="0"/>
            </w:pPr>
            <w:r>
              <w:rPr>
                <w:lang w:val="en-US" w:eastAsia="zh-CN"/>
              </w:rPr>
              <w:t>七、安监工程 - 前端设备（枪机 / 球机）安装调试</w:t>
            </w:r>
          </w:p>
        </w:tc>
        <w:tc>
          <w:tcPr>
            <w:tcW w:w="0" w:type="auto"/>
            <w:shd w:val="clear" w:color="auto" w:fill="auto"/>
            <w:tcMar>
              <w:top w:w="180" w:type="dxa"/>
              <w:left w:w="270" w:type="dxa"/>
              <w:bottom w:w="180" w:type="dxa"/>
              <w:right w:w="270" w:type="dxa"/>
            </w:tcMar>
            <w:vAlign w:val="center"/>
          </w:tcPr>
          <w:p w14:paraId="7DD9C177">
            <w:pPr>
              <w:pStyle w:val="46"/>
              <w:bidi w:val="0"/>
            </w:pPr>
            <w:r>
              <w:rPr>
                <w:lang w:val="en-US" w:eastAsia="zh-CN"/>
              </w:rPr>
              <w:t>①设备进场验收；②设备固定；③接线调试；④功能测试；⑤试运行验收</w:t>
            </w:r>
          </w:p>
        </w:tc>
        <w:tc>
          <w:tcPr>
            <w:tcW w:w="0" w:type="auto"/>
            <w:shd w:val="clear" w:color="auto" w:fill="auto"/>
            <w:tcMar>
              <w:top w:w="180" w:type="dxa"/>
              <w:left w:w="270" w:type="dxa"/>
              <w:bottom w:w="180" w:type="dxa"/>
              <w:right w:w="270" w:type="dxa"/>
            </w:tcMar>
            <w:vAlign w:val="center"/>
          </w:tcPr>
          <w:p w14:paraId="65BBC8CF">
            <w:pPr>
              <w:pStyle w:val="46"/>
              <w:bidi w:val="0"/>
            </w:pPr>
            <w:r>
              <w:rPr>
                <w:lang w:val="en-US" w:eastAsia="zh-CN"/>
              </w:rPr>
              <w:t>①设备进场：拍摄枪机 / 球机外观 + 传感器（≥1/2.8 英寸 CMOS）+ 分辨率（≥400 万像素）证明，显示 IP67 防护、IK10 防暴标识，水印含项目名称、施工班组及时空信息；②设备固定：拍摄安装角度调整 + 牢固固定，体现防盐雾腐蚀处理；③接线调试：拍摄 PoE 供电（若有）+ 网络连接，显示 RJ45 接口操作；④功能测试：拍摄人脸抓拍、超宽动态（≥120dB）、红外补光（≥50 米）等功能演示，标注视频编码（H.265/H.264）；⑤试运行验收：拍摄 72 小时连续运行记录 + 无卡顿、无掉帧测试，水印含 “广昌保障房配套基础设施项目 - 安监工程 - 前端设备安装 - 【具体点位】”。</w:t>
            </w:r>
          </w:p>
        </w:tc>
        <w:tc>
          <w:tcPr>
            <w:tcW w:w="0" w:type="auto"/>
            <w:shd w:val="clear" w:color="auto" w:fill="auto"/>
            <w:tcMar>
              <w:top w:w="180" w:type="dxa"/>
              <w:left w:w="270" w:type="dxa"/>
              <w:bottom w:w="180" w:type="dxa"/>
              <w:right w:w="270" w:type="dxa"/>
            </w:tcMar>
            <w:vAlign w:val="center"/>
          </w:tcPr>
          <w:p w14:paraId="2F1BD83D">
            <w:pPr>
              <w:pStyle w:val="46"/>
              <w:bidi w:val="0"/>
            </w:pPr>
            <w:r>
              <w:rPr>
                <w:lang w:val="en-US" w:eastAsia="zh-CN"/>
              </w:rPr>
              <w:t>1. 设备进场影像关联《前端设备进场检验记录》，需提供第三方检测报告（盐雾试验、防护等级）；2. 功能测试需拍摄 50 次场景模拟测试，准确率达标记录；3. 利旧设备更换（广湾街）需拍摄新旧设备对比，关联《设备更换记录》；4. 试运行影像需同步上传珠海市建设工程质量安全监督管理平台，标注 “GB/T 28181-2022 国标协议” 兼容证明。</w:t>
            </w:r>
          </w:p>
        </w:tc>
      </w:tr>
      <w:tr w14:paraId="23EA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5D76B13B">
            <w:pPr>
              <w:pStyle w:val="46"/>
              <w:bidi w:val="0"/>
            </w:pPr>
            <w:r>
              <w:rPr>
                <w:lang w:val="en-US" w:eastAsia="zh-CN"/>
              </w:rPr>
              <w:t>八、安监工程 - 传输线缆与管井施工</w:t>
            </w:r>
          </w:p>
        </w:tc>
        <w:tc>
          <w:tcPr>
            <w:tcW w:w="0" w:type="auto"/>
            <w:shd w:val="clear" w:color="auto" w:fill="auto"/>
            <w:tcMar>
              <w:top w:w="180" w:type="dxa"/>
              <w:left w:w="270" w:type="dxa"/>
              <w:bottom w:w="180" w:type="dxa"/>
              <w:right w:w="270" w:type="dxa"/>
            </w:tcMar>
            <w:vAlign w:val="center"/>
          </w:tcPr>
          <w:p w14:paraId="14B88AD8">
            <w:pPr>
              <w:pStyle w:val="46"/>
              <w:bidi w:val="0"/>
            </w:pPr>
            <w:r>
              <w:rPr>
                <w:lang w:val="en-US" w:eastAsia="zh-CN"/>
              </w:rPr>
              <w:t>①材料进场验收；②线管敷设；③线缆穿管；④管井施工；⑤连接测试</w:t>
            </w:r>
          </w:p>
        </w:tc>
        <w:tc>
          <w:tcPr>
            <w:tcW w:w="0" w:type="auto"/>
            <w:shd w:val="clear" w:color="auto" w:fill="auto"/>
            <w:tcMar>
              <w:top w:w="180" w:type="dxa"/>
              <w:left w:w="270" w:type="dxa"/>
              <w:bottom w:w="180" w:type="dxa"/>
              <w:right w:w="270" w:type="dxa"/>
            </w:tcMar>
            <w:vAlign w:val="center"/>
          </w:tcPr>
          <w:p w14:paraId="468D0998">
            <w:pPr>
              <w:pStyle w:val="46"/>
              <w:bidi w:val="0"/>
            </w:pPr>
            <w:r>
              <w:rPr>
                <w:lang w:val="en-US" w:eastAsia="zh-CN"/>
              </w:rPr>
              <w:t>①材料进场：拍摄六类网线（无氧铜）+ 室外铠装光缆 + 热镀锌钢管（DN100）/PVC 管（Φ110），显示质量证明文件，水印含施工班组及时空信息；②线管敷设：拍摄人行道 PVC 管（2-Ф110）/ 过路热镀锌钢管（2 根）安装，显示埋深≥80cm + 混凝土包封（过路处），标注 “跨接接地处理”（金属管）；③线缆穿管：拍摄线缆牵引过程 + 管口护口安装，避免割伤线缆；④管井施工：拍摄检查井砌筑 + 防水处理，标注间距符合规范；⑤连接测试：拍摄网线通断测试 + 光缆熔接损耗测试，显示数据达标，水印含 “广昌保障房配套基础设施项目 - 安监工程 - 传输系统施工 - 【具体路段】”。</w:t>
            </w:r>
          </w:p>
        </w:tc>
        <w:tc>
          <w:tcPr>
            <w:tcW w:w="0" w:type="auto"/>
            <w:shd w:val="clear" w:color="auto" w:fill="auto"/>
            <w:tcMar>
              <w:top w:w="180" w:type="dxa"/>
              <w:left w:w="270" w:type="dxa"/>
              <w:bottom w:w="180" w:type="dxa"/>
              <w:right w:w="270" w:type="dxa"/>
            </w:tcMar>
            <w:vAlign w:val="center"/>
          </w:tcPr>
          <w:p w14:paraId="5F83BA74">
            <w:pPr>
              <w:pStyle w:val="46"/>
              <w:bidi w:val="0"/>
            </w:pPr>
            <w:r>
              <w:rPr>
                <w:lang w:val="en-US" w:eastAsia="zh-CN"/>
              </w:rPr>
              <w:t>1. 材料影像需标注品牌（知名品牌）+ 材质（无氧铜 / 铠装），关联《线缆进场检验记录》；2. 线管埋深需拍摄标尺测量特写（≥80cm），过路管包封需拍摄混凝土浇筑过程；3. 线缆两端需拍摄永久性机打标签，标注去向及回路编号，与台账一致；4. 测试数据需同步录入 “建管通” APP，关联《传输系统测试记录》。</w:t>
            </w:r>
          </w:p>
        </w:tc>
      </w:tr>
      <w:tr w14:paraId="5E19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6068F614">
            <w:pPr>
              <w:pStyle w:val="46"/>
              <w:bidi w:val="0"/>
            </w:pPr>
            <w:r>
              <w:rPr>
                <w:lang w:val="en-US" w:eastAsia="zh-CN"/>
              </w:rPr>
              <w:t>九、安监工程 - 存储与后端管理系统部署</w:t>
            </w:r>
          </w:p>
        </w:tc>
        <w:tc>
          <w:tcPr>
            <w:tcW w:w="0" w:type="auto"/>
            <w:shd w:val="clear" w:color="auto" w:fill="auto"/>
            <w:tcMar>
              <w:top w:w="180" w:type="dxa"/>
              <w:left w:w="270" w:type="dxa"/>
              <w:bottom w:w="180" w:type="dxa"/>
              <w:right w:w="270" w:type="dxa"/>
            </w:tcMar>
            <w:vAlign w:val="center"/>
          </w:tcPr>
          <w:p w14:paraId="2277FC68">
            <w:pPr>
              <w:pStyle w:val="46"/>
              <w:bidi w:val="0"/>
            </w:pPr>
            <w:r>
              <w:rPr>
                <w:lang w:val="en-US" w:eastAsia="zh-CN"/>
              </w:rPr>
              <w:t>①设备进场验收；②设备安装；③系统调试；④数据存储测试；⑤平台对接验收</w:t>
            </w:r>
          </w:p>
        </w:tc>
        <w:tc>
          <w:tcPr>
            <w:tcW w:w="0" w:type="auto"/>
            <w:shd w:val="clear" w:color="auto" w:fill="auto"/>
            <w:tcMar>
              <w:top w:w="180" w:type="dxa"/>
              <w:left w:w="270" w:type="dxa"/>
              <w:bottom w:w="180" w:type="dxa"/>
              <w:right w:w="270" w:type="dxa"/>
            </w:tcMar>
            <w:vAlign w:val="center"/>
          </w:tcPr>
          <w:p w14:paraId="5D48D0DC">
            <w:pPr>
              <w:pStyle w:val="46"/>
              <w:bidi w:val="0"/>
            </w:pPr>
            <w:r>
              <w:rPr>
                <w:lang w:val="en-US" w:eastAsia="zh-CN"/>
              </w:rPr>
              <w:t>①设备进场：拍摄 NVR/CVR 存储服务器 + 企业级硬盘（MTBF≥200 万小时），显示接入带宽、存储容量证明，水印含施工班组及时空信息；②设备安装：拍摄服务器上架 + RAID 阵列配置（RAID5/6）+ 热备盘安装，体现规范布线；③系统调试：拍摄视频预览、回放（4K/1080P 解码）+ 画面分割、轮巡功能演示；④数据存储测试：拍摄 30 天连续存储测试 + 数据保护功能（单盘故障不丢数据）；⑤平台对接验收：拍摄与政府监管平台（智慧工地、公安视频云）对接测试，显示 GB/T 28181-2022 协议兼容，水印含 “广昌保障房配套基础设施项目 - 安监工程 - 后端系统部署 - 机房”。</w:t>
            </w:r>
          </w:p>
        </w:tc>
        <w:tc>
          <w:tcPr>
            <w:tcW w:w="0" w:type="auto"/>
            <w:shd w:val="clear" w:color="auto" w:fill="auto"/>
            <w:tcMar>
              <w:top w:w="180" w:type="dxa"/>
              <w:left w:w="270" w:type="dxa"/>
              <w:bottom w:w="180" w:type="dxa"/>
              <w:right w:w="270" w:type="dxa"/>
            </w:tcMar>
            <w:vAlign w:val="center"/>
          </w:tcPr>
          <w:p w14:paraId="043FD649">
            <w:pPr>
              <w:pStyle w:val="46"/>
              <w:bidi w:val="0"/>
            </w:pPr>
            <w:r>
              <w:rPr>
                <w:lang w:val="en-US" w:eastAsia="zh-CN"/>
              </w:rPr>
              <w:t>1. 设备进场影像关联《存储设备进场检验记录》，需提供硬盘检测报告；2. RAID 配置需拍摄操作界面特写，标注热备盘数量（每 16 块盘配 1 块）；3. 存储测试需拍摄最早录像时间，确保≥30 天存储；4. 平台对接需拍摄 API/SDK 接口调用成功记录，同步上传对接测试报告至发包单位指定平台。</w:t>
            </w:r>
          </w:p>
        </w:tc>
      </w:tr>
    </w:tbl>
    <w:p w14:paraId="22D15A3C">
      <w:pPr>
        <w:bidi w:val="0"/>
      </w:pPr>
      <w:r>
        <w:rPr>
          <w:rFonts w:hint="eastAsia"/>
          <w:lang w:val="en-US" w:eastAsia="zh-CN"/>
        </w:rPr>
        <w:t>3、</w:t>
      </w:r>
      <w:r>
        <w:rPr>
          <w:rFonts w:hint="default"/>
        </w:rPr>
        <w:t>通用补充要求</w:t>
      </w:r>
    </w:p>
    <w:p w14:paraId="487801BF">
      <w:pPr>
        <w:bidi w:val="0"/>
      </w:pPr>
      <w:r>
        <w:rPr>
          <w:rFonts w:hint="default"/>
        </w:rPr>
        <w:t>所有影像资料需满足分辨率≥1200 万像素（照片）、≥1080P（视频），水印包含五大核心要素（项目名称、精确到秒的时间、误差≤10 米的经纬度、工序 + 部位、施工班组 + 班组长、“建管通” APP 水印），无模糊、无遮挡。</w:t>
      </w:r>
    </w:p>
    <w:p w14:paraId="474D7BCA">
      <w:pPr>
        <w:bidi w:val="0"/>
      </w:pPr>
      <w:r>
        <w:rPr>
          <w:rFonts w:hint="default"/>
        </w:rPr>
        <w:t>视频拍摄时长：关键工序（如吊装、爆破类类比）≥5 分钟，包含施工前准备、施工过程、施工后状态完整流程；常规工序视频≥3 分钟。</w:t>
      </w:r>
    </w:p>
    <w:p w14:paraId="180C14B0">
      <w:pPr>
        <w:bidi w:val="0"/>
      </w:pPr>
      <w:r>
        <w:rPr>
          <w:rFonts w:hint="default"/>
        </w:rPr>
        <w:t>关联资料要求：所有影像需关联对应验收记录、检测报告、资质证明等，编号一致，便于质量追溯。</w:t>
      </w:r>
    </w:p>
    <w:p w14:paraId="0020C9F3">
      <w:pPr>
        <w:bidi w:val="0"/>
      </w:pPr>
      <w:r>
        <w:rPr>
          <w:rFonts w:hint="default"/>
        </w:rPr>
        <w:t>存储与提交：按 “项目 - 分项工程 - 工序 - 部位 - 日期 - 班组” 命名文件，每日 18:00 前上传至指定平台，每周五提交纸质台账（施工负责人、监理签字），归档期限≥10 年（电子文件双备份加密存储）。</w:t>
      </w:r>
    </w:p>
    <w:p w14:paraId="179524C9">
      <w:pPr>
        <w:bidi w:val="0"/>
        <w:rPr>
          <w:rFonts w:hint="default"/>
        </w:rPr>
      </w:pPr>
      <w:r>
        <w:rPr>
          <w:rFonts w:hint="default"/>
        </w:rPr>
        <w:t>珠海本地化特殊要求：所有室外设备影像需体现防盐雾腐蚀处理（关联检测报告）、抗台风设计（≥12 级 / 14 级，按分项要求），台风期间驻场保障需拍摄现场值守影像，紧急故障处理需拍摄 2 小时到场、4 小时恢复记录。</w:t>
      </w:r>
    </w:p>
    <w:p w14:paraId="0E739EA6">
      <w:pPr>
        <w:bidi w:val="0"/>
        <w:rPr>
          <w:rFonts w:hint="eastAsia"/>
          <w:b/>
          <w:bCs/>
          <w:lang w:val="en-US" w:eastAsia="zh-CN"/>
        </w:rPr>
      </w:pPr>
      <w:r>
        <w:rPr>
          <w:rFonts w:hint="eastAsia"/>
          <w:b/>
          <w:bCs/>
          <w:lang w:val="en-US" w:eastAsia="zh-CN"/>
        </w:rPr>
        <w:t>十、验收与移交</w:t>
      </w:r>
    </w:p>
    <w:p w14:paraId="36F44282">
      <w:pPr>
        <w:pStyle w:val="10"/>
        <w:numPr>
          <w:ilvl w:val="0"/>
          <w:numId w:val="0"/>
        </w:numPr>
        <w:ind w:left="400" w:leftChars="0"/>
      </w:pPr>
      <w:r>
        <w:t>验收将依据前述国家标准及招标文件技术要求进行，重点验收内容包括但不限于：</w:t>
      </w:r>
    </w:p>
    <w:p w14:paraId="05DC002C">
      <w:pPr>
        <w:pStyle w:val="10"/>
        <w:numPr>
          <w:ilvl w:val="0"/>
          <w:numId w:val="0"/>
        </w:numPr>
        <w:ind w:left="400" w:leftChars="0"/>
        <w:rPr>
          <w:b/>
          <w:bCs w:val="0"/>
          <w:color w:val="FF0000"/>
        </w:rPr>
      </w:pPr>
      <w:r>
        <w:rPr>
          <w:rFonts w:hint="eastAsia"/>
          <w:b/>
          <w:bCs w:val="0"/>
          <w:color w:val="FF0000"/>
          <w:lang w:eastAsia="zh-CN"/>
        </w:rPr>
        <w:t>（</w:t>
      </w:r>
      <w:r>
        <w:rPr>
          <w:rFonts w:hint="eastAsia"/>
          <w:b/>
          <w:bCs w:val="0"/>
          <w:color w:val="FF0000"/>
          <w:lang w:val="en-US" w:eastAsia="zh-CN"/>
        </w:rPr>
        <w:t>1</w:t>
      </w:r>
      <w:r>
        <w:rPr>
          <w:rFonts w:hint="eastAsia"/>
          <w:b/>
          <w:bCs w:val="0"/>
          <w:color w:val="FF0000"/>
          <w:lang w:eastAsia="zh-CN"/>
        </w:rPr>
        <w:t>）</w:t>
      </w:r>
      <w:r>
        <w:rPr>
          <w:b/>
          <w:bCs w:val="0"/>
          <w:color w:val="FF0000"/>
        </w:rPr>
        <w:t>功能测试：逐一测试视频预览、回放、智能分析报警（需提供不少于50次场景模拟测试，准确率达标）、夜视效果等。</w:t>
      </w:r>
    </w:p>
    <w:p w14:paraId="40CA283E">
      <w:pPr>
        <w:pStyle w:val="10"/>
        <w:numPr>
          <w:ilvl w:val="0"/>
          <w:numId w:val="0"/>
        </w:numPr>
        <w:ind w:left="400" w:leftChars="0"/>
        <w:rPr>
          <w:b/>
          <w:bCs w:val="0"/>
          <w:color w:val="FF0000"/>
        </w:rPr>
      </w:pPr>
      <w:r>
        <w:rPr>
          <w:rFonts w:hint="eastAsia"/>
          <w:b/>
          <w:bCs w:val="0"/>
          <w:color w:val="FF0000"/>
          <w:lang w:eastAsia="zh-CN"/>
        </w:rPr>
        <w:t>（</w:t>
      </w:r>
      <w:r>
        <w:rPr>
          <w:rFonts w:hint="eastAsia"/>
          <w:b/>
          <w:bCs w:val="0"/>
          <w:color w:val="FF0000"/>
          <w:lang w:val="en-US" w:eastAsia="zh-CN"/>
        </w:rPr>
        <w:t>2</w:t>
      </w:r>
      <w:r>
        <w:rPr>
          <w:rFonts w:hint="eastAsia"/>
          <w:b/>
          <w:bCs w:val="0"/>
          <w:color w:val="FF0000"/>
          <w:lang w:eastAsia="zh-CN"/>
        </w:rPr>
        <w:t>）</w:t>
      </w:r>
      <w:r>
        <w:rPr>
          <w:b/>
          <w:bCs w:val="0"/>
          <w:color w:val="FF0000"/>
        </w:rPr>
        <w:t>性能测试：存储天数核查（查看最早录像时间）、网络传输无卡顿、掉帧。</w:t>
      </w:r>
    </w:p>
    <w:p w14:paraId="1F4FBF65">
      <w:pPr>
        <w:pStyle w:val="10"/>
        <w:numPr>
          <w:ilvl w:val="0"/>
          <w:numId w:val="0"/>
        </w:numPr>
        <w:ind w:left="400" w:leftChars="0"/>
        <w:rPr>
          <w:b/>
          <w:bCs w:val="0"/>
          <w:color w:val="FF0000"/>
        </w:rPr>
      </w:pPr>
      <w:r>
        <w:rPr>
          <w:rFonts w:hint="eastAsia"/>
          <w:b/>
          <w:bCs w:val="0"/>
          <w:color w:val="FF0000"/>
          <w:lang w:eastAsia="zh-CN"/>
        </w:rPr>
        <w:t>（</w:t>
      </w:r>
      <w:r>
        <w:rPr>
          <w:rFonts w:hint="eastAsia"/>
          <w:b/>
          <w:bCs w:val="0"/>
          <w:color w:val="FF0000"/>
          <w:lang w:val="en-US" w:eastAsia="zh-CN"/>
        </w:rPr>
        <w:t>3</w:t>
      </w:r>
      <w:r>
        <w:rPr>
          <w:rFonts w:hint="eastAsia"/>
          <w:b/>
          <w:bCs w:val="0"/>
          <w:color w:val="FF0000"/>
          <w:lang w:eastAsia="zh-CN"/>
        </w:rPr>
        <w:t>）</w:t>
      </w:r>
      <w:r>
        <w:rPr>
          <w:b/>
          <w:bCs w:val="0"/>
          <w:color w:val="FF0000"/>
        </w:rPr>
        <w:t>工艺验收：检查立杆垂直度、箱体防锈处理、接地电阻测试报告、线缆整理及标识情况。</w:t>
      </w:r>
    </w:p>
    <w:p w14:paraId="15C9ACCD">
      <w:pPr>
        <w:pStyle w:val="10"/>
        <w:numPr>
          <w:ilvl w:val="0"/>
          <w:numId w:val="0"/>
        </w:numPr>
        <w:ind w:left="400" w:leftChars="0"/>
        <w:rPr>
          <w:rFonts w:hint="default"/>
          <w:b/>
          <w:color w:val="FF0000"/>
          <w:lang w:val="en-US" w:eastAsia="zh-CN"/>
        </w:rPr>
      </w:pPr>
      <w:r>
        <w:rPr>
          <w:rFonts w:hint="eastAsia"/>
          <w:b/>
          <w:color w:val="FF0000"/>
          <w:lang w:eastAsia="zh-CN"/>
        </w:rPr>
        <w:t>（</w:t>
      </w:r>
      <w:r>
        <w:rPr>
          <w:rFonts w:hint="eastAsia"/>
          <w:b/>
          <w:color w:val="FF0000"/>
          <w:lang w:val="en-US" w:eastAsia="zh-CN"/>
        </w:rPr>
        <w:t>4</w:t>
      </w:r>
      <w:r>
        <w:rPr>
          <w:rFonts w:hint="eastAsia"/>
          <w:b/>
          <w:color w:val="FF0000"/>
          <w:lang w:eastAsia="zh-CN"/>
        </w:rPr>
        <w:t>）</w:t>
      </w:r>
      <w:r>
        <w:rPr>
          <w:rFonts w:hint="eastAsia"/>
          <w:b/>
          <w:color w:val="FF0000"/>
          <w:lang w:val="en-US" w:eastAsia="zh-CN"/>
        </w:rPr>
        <w:t>第三方检测：项目验收移交所需的第三方检测，包括不限于：标线检测、标牌检测、技防第三方检测等，上述均由专业分包负责；</w:t>
      </w:r>
    </w:p>
    <w:p w14:paraId="55EA0629">
      <w:pPr>
        <w:pStyle w:val="10"/>
        <w:numPr>
          <w:ilvl w:val="0"/>
          <w:numId w:val="0"/>
        </w:numPr>
        <w:ind w:left="400" w:leftChars="0"/>
        <w:rPr>
          <w:b/>
          <w:bCs w:val="0"/>
          <w:color w:val="FF0000"/>
        </w:rPr>
      </w:pPr>
      <w:r>
        <w:rPr>
          <w:rFonts w:hint="eastAsia"/>
          <w:b/>
          <w:bCs w:val="0"/>
          <w:color w:val="FF0000"/>
          <w:lang w:eastAsia="zh-CN"/>
        </w:rPr>
        <w:t>（</w:t>
      </w:r>
      <w:r>
        <w:rPr>
          <w:rFonts w:hint="eastAsia"/>
          <w:b/>
          <w:bCs w:val="0"/>
          <w:color w:val="FF0000"/>
          <w:lang w:val="en-US" w:eastAsia="zh-CN"/>
        </w:rPr>
        <w:t>5</w:t>
      </w:r>
      <w:r>
        <w:rPr>
          <w:rFonts w:hint="eastAsia"/>
          <w:b/>
          <w:bCs w:val="0"/>
          <w:color w:val="FF0000"/>
          <w:lang w:eastAsia="zh-CN"/>
        </w:rPr>
        <w:t>）</w:t>
      </w:r>
      <w:r>
        <w:rPr>
          <w:b/>
          <w:bCs w:val="0"/>
          <w:color w:val="FF0000"/>
        </w:rPr>
        <w:t>资料移交：完整的竣工图纸（CAD版及PDF版）、设备说明书、检测报告、操作维护手册等。</w:t>
      </w:r>
    </w:p>
    <w:p w14:paraId="08BE6DE5">
      <w:pPr>
        <w:pStyle w:val="10"/>
        <w:numPr>
          <w:ilvl w:val="0"/>
          <w:numId w:val="0"/>
        </w:numPr>
        <w:ind w:left="400" w:leftChars="0"/>
        <w:rPr>
          <w:rFonts w:hint="default" w:eastAsia="宋体"/>
          <w:lang w:val="en-US" w:eastAsia="zh-CN"/>
        </w:rPr>
      </w:pPr>
      <w:r>
        <w:rPr>
          <w:rFonts w:hint="eastAsia"/>
          <w:b/>
          <w:bCs/>
          <w:color w:val="FF0000"/>
          <w:lang w:eastAsia="zh-CN"/>
        </w:rPr>
        <w:t>（</w:t>
      </w:r>
      <w:r>
        <w:rPr>
          <w:rFonts w:hint="eastAsia"/>
          <w:b/>
          <w:bCs/>
          <w:color w:val="FF0000"/>
          <w:lang w:val="en-US" w:eastAsia="zh-CN"/>
        </w:rPr>
        <w:t>6</w:t>
      </w:r>
      <w:r>
        <w:rPr>
          <w:rFonts w:hint="eastAsia"/>
          <w:b/>
          <w:bCs/>
          <w:color w:val="FF0000"/>
          <w:lang w:eastAsia="zh-CN"/>
        </w:rPr>
        <w:t>）</w:t>
      </w:r>
      <w:r>
        <w:rPr>
          <w:rFonts w:hint="eastAsia"/>
          <w:b/>
          <w:bCs/>
          <w:color w:val="FF0000"/>
          <w:lang w:val="en-US" w:eastAsia="zh-CN"/>
        </w:rPr>
        <w:t>验收移交前，对于公安交警提出的相关整改要求和变更需积极配合，直至拿到移交书为止，若因整改不及时导致验收滞后，我方有权追究相应责任</w:t>
      </w:r>
      <w:r>
        <w:rPr>
          <w:rFonts w:hint="eastAsia"/>
          <w:lang w:val="en-US" w:eastAsia="zh-CN"/>
        </w:rPr>
        <w:t>。</w:t>
      </w:r>
    </w:p>
    <w:p w14:paraId="47F079B7">
      <w:pPr>
        <w:bidi w:val="0"/>
        <w:ind w:left="0" w:leftChars="0" w:firstLine="240" w:firstLineChars="100"/>
        <w:rPr>
          <w:rFonts w:hint="default"/>
          <w:lang w:val="en-US" w:eastAsia="zh-CN"/>
        </w:rPr>
      </w:pPr>
      <w:r>
        <w:rPr>
          <w:rFonts w:hint="eastAsia"/>
          <w:lang w:val="en-US" w:eastAsia="zh-CN"/>
        </w:rPr>
        <w:t xml:space="preserve">以下无正文 </w:t>
      </w:r>
    </w:p>
    <w:sectPr>
      <w:headerReference r:id="rId5" w:type="default"/>
      <w:footerReference r:id="rId6" w:type="default"/>
      <w:pgSz w:w="11906" w:h="16838"/>
      <w:pgMar w:top="1247" w:right="1247" w:bottom="1247" w:left="1247" w:header="680" w:footer="680" w:gutter="17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222E">
    <w:pPr>
      <w:pStyle w:val="14"/>
      <w:spacing w:line="200" w:lineRule="exact"/>
      <w:ind w:firstLine="0" w:firstLineChars="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113D0">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561113D0">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79</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C1A7">
    <w:pPr>
      <w:pStyle w:val="15"/>
      <w:ind w:left="0" w:leftChars="0" w:firstLine="0" w:firstLineChars="0"/>
      <w:jc w:val="both"/>
      <w:rPr>
        <w:rFonts w:hint="default"/>
        <w:lang w:val="en-US"/>
      </w:rPr>
    </w:pPr>
    <w:r>
      <w:rPr>
        <w:rFonts w:hint="eastAsia"/>
        <w:b/>
        <w:bCs/>
        <w:sz w:val="44"/>
        <w:szCs w:val="52"/>
      </w:rPr>
      <w:drawing>
        <wp:inline distT="0" distB="0" distL="114300" distR="114300">
          <wp:extent cx="1126490" cy="256540"/>
          <wp:effectExtent l="0" t="0" r="1270" b="2540"/>
          <wp:docPr id="112" name="图片 2" descr="南粤建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 descr="南粤建筑"/>
                  <pic:cNvPicPr>
                    <a:picLocks noChangeAspect="1"/>
                  </pic:cNvPicPr>
                </pic:nvPicPr>
                <pic:blipFill>
                  <a:blip r:embed="rId1"/>
                  <a:stretch>
                    <a:fillRect/>
                  </a:stretch>
                </pic:blipFill>
                <pic:spPr>
                  <a:xfrm>
                    <a:off x="0" y="0"/>
                    <a:ext cx="1126490" cy="256540"/>
                  </a:xfrm>
                  <a:prstGeom prst="rect">
                    <a:avLst/>
                  </a:prstGeom>
                  <a:noFill/>
                  <a:ln>
                    <a:noFill/>
                  </a:ln>
                </pic:spPr>
              </pic:pic>
            </a:graphicData>
          </a:graphic>
        </wp:inline>
      </w:drawing>
    </w:r>
    <w:r>
      <w:rPr>
        <w:rFonts w:hint="eastAsia"/>
        <w:lang w:val="en-US" w:eastAsia="zh-CN"/>
      </w:rPr>
      <w:t xml:space="preserve">                                广昌保障房配套基础设施项目交通安监工程招标技术要求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F2BC"/>
    <w:multiLevelType w:val="multilevel"/>
    <w:tmpl w:val="A8FBF2B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4C802EC"/>
    <w:multiLevelType w:val="singleLevel"/>
    <w:tmpl w:val="D4C802EC"/>
    <w:lvl w:ilvl="0" w:tentative="0">
      <w:start w:val="2"/>
      <w:numFmt w:val="decimal"/>
      <w:suff w:val="nothing"/>
      <w:lvlText w:val="（%1）"/>
      <w:lvlJc w:val="left"/>
    </w:lvl>
  </w:abstractNum>
  <w:abstractNum w:abstractNumId="2">
    <w:nsid w:val="14EF50CD"/>
    <w:multiLevelType w:val="singleLevel"/>
    <w:tmpl w:val="14EF50CD"/>
    <w:lvl w:ilvl="0" w:tentative="0">
      <w:start w:val="1"/>
      <w:numFmt w:val="decimal"/>
      <w:suff w:val="nothing"/>
      <w:lvlText w:val="%1、"/>
      <w:lvlJc w:val="left"/>
    </w:lvl>
  </w:abstractNum>
  <w:abstractNum w:abstractNumId="3">
    <w:nsid w:val="24620CDA"/>
    <w:multiLevelType w:val="multilevel"/>
    <w:tmpl w:val="24620CDA"/>
    <w:lvl w:ilvl="0" w:tentative="0">
      <w:start w:val="1"/>
      <w:numFmt w:val="chineseCountingThousand"/>
      <w:pStyle w:val="3"/>
      <w:suff w:val="space"/>
      <w:lvlText w:val="第 %1 章"/>
      <w:lvlJc w:val="left"/>
      <w:pPr>
        <w:ind w:left="0" w:firstLine="0"/>
      </w:pPr>
      <w:rPr>
        <w:rFonts w:hint="default" w:ascii="Times New Roman" w:hAnsi="Times New Roman" w:eastAsia="宋体"/>
        <w:b/>
        <w:i w:val="0"/>
        <w:color w:val="auto"/>
        <w:sz w:val="32"/>
        <w:u w:val="none"/>
      </w:rPr>
    </w:lvl>
    <w:lvl w:ilvl="1" w:tentative="0">
      <w:start w:val="1"/>
      <w:numFmt w:val="decimal"/>
      <w:pStyle w:val="4"/>
      <w:suff w:val="space"/>
      <w:lvlText w:val="第 %2 节"/>
      <w:lvlJc w:val="left"/>
      <w:pPr>
        <w:ind w:left="0" w:firstLine="57"/>
      </w:pPr>
      <w:rPr>
        <w:rFonts w:hint="default" w:ascii="Times New Roman" w:hAnsi="Times New Roman" w:eastAsia="宋体"/>
        <w:b/>
        <w:bCs w:val="0"/>
        <w:i w:val="0"/>
        <w:iCs w:val="0"/>
        <w:caps w:val="0"/>
        <w:smallCaps w:val="0"/>
        <w:strike w:val="0"/>
        <w:dstrike w:val="0"/>
        <w:outline w:val="0"/>
        <w:shadow w:val="0"/>
        <w:emboss w:val="0"/>
        <w:imprint w:val="0"/>
        <w:vanish w:val="0"/>
        <w:spacing w:val="0"/>
        <w:position w:val="0"/>
        <w:sz w:val="3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5"/>
      <w:suff w:val="space"/>
      <w:lvlText w:val="%2.%3"/>
      <w:lvlJc w:val="left"/>
      <w:pPr>
        <w:ind w:left="0" w:firstLine="0"/>
      </w:pPr>
      <w:rPr>
        <w:rFonts w:hint="default" w:ascii="Times New Roman" w:hAnsi="Times New Roman" w:eastAsia="宋体"/>
        <w:b/>
        <w:i w:val="0"/>
        <w:sz w:val="28"/>
        <w:u w:val="none"/>
      </w:rPr>
    </w:lvl>
    <w:lvl w:ilvl="3" w:tentative="0">
      <w:start w:val="1"/>
      <w:numFmt w:val="decimal"/>
      <w:pStyle w:val="6"/>
      <w:suff w:val="space"/>
      <w:lvlText w:val="%2.%3.%4"/>
      <w:lvlJc w:val="left"/>
      <w:pPr>
        <w:ind w:left="0" w:firstLine="0"/>
      </w:pPr>
      <w:rPr>
        <w:rFonts w:hint="default" w:ascii="Times New Roman" w:hAnsi="Times New Roman" w:eastAsia="宋体"/>
        <w:b w:val="0"/>
        <w:i w:val="0"/>
        <w:sz w:val="24"/>
        <w:u w:val="none"/>
      </w:rPr>
    </w:lvl>
    <w:lvl w:ilvl="4" w:tentative="0">
      <w:start w:val="1"/>
      <w:numFmt w:val="decimal"/>
      <w:pStyle w:val="7"/>
      <w:suff w:val="space"/>
      <w:lvlText w:val="%2.%3.%4.%5"/>
      <w:lvlJc w:val="left"/>
      <w:pPr>
        <w:ind w:left="0" w:firstLine="0"/>
      </w:pPr>
      <w:rPr>
        <w:rFonts w:hint="default" w:ascii="Times New Roman" w:hAnsi="Times New Roman" w:eastAsia="宋体"/>
        <w:b w:val="0"/>
        <w:i w:val="0"/>
        <w:sz w:val="24"/>
        <w:u w:val="none"/>
      </w:rPr>
    </w:lvl>
    <w:lvl w:ilvl="5" w:tentative="0">
      <w:start w:val="1"/>
      <w:numFmt w:val="decimal"/>
      <w:pStyle w:val="33"/>
      <w:suff w:val="space"/>
      <w:lvlText w:val="(%6)"/>
      <w:lvlJc w:val="left"/>
      <w:pPr>
        <w:ind w:left="0" w:firstLine="284"/>
      </w:pPr>
      <w:rPr>
        <w:rFonts w:hint="default" w:ascii="Times New Roman" w:hAnsi="Times New Roman" w:eastAsia="宋体"/>
        <w:b w:val="0"/>
        <w:i w:val="0"/>
        <w:sz w:val="24"/>
        <w:u w:val="none"/>
      </w:rPr>
    </w:lvl>
    <w:lvl w:ilvl="6" w:tentative="0">
      <w:start w:val="1"/>
      <w:numFmt w:val="decimal"/>
      <w:pStyle w:val="44"/>
      <w:suff w:val="space"/>
      <w:lvlText w:val="%7)"/>
      <w:lvlJc w:val="left"/>
      <w:pPr>
        <w:ind w:left="0" w:firstLine="454"/>
      </w:pPr>
      <w:rPr>
        <w:rFonts w:hint="default" w:ascii="Times New Roman" w:hAnsi="Times New Roman" w:eastAsia="宋体"/>
        <w:b w:val="0"/>
        <w:i w:val="0"/>
        <w:sz w:val="24"/>
        <w:u w:val="none"/>
      </w:rPr>
    </w:lvl>
    <w:lvl w:ilvl="7" w:tentative="0">
      <w:start w:val="1"/>
      <w:numFmt w:val="decimal"/>
      <w:lvlRestart w:val="5"/>
      <w:pStyle w:val="40"/>
      <w:suff w:val="space"/>
      <w:lvlText w:val="表%1.%2.%3.%4-%8"/>
      <w:lvlJc w:val="left"/>
      <w:pPr>
        <w:ind w:left="0" w:firstLine="0"/>
      </w:pPr>
      <w:rPr>
        <w:rFonts w:hint="default" w:ascii="Times New Roman" w:hAnsi="Times New Roman" w:eastAsia="黑体"/>
        <w:b w:val="0"/>
        <w:i w:val="0"/>
        <w:sz w:val="24"/>
        <w:u w:val="none"/>
      </w:rPr>
    </w:lvl>
    <w:lvl w:ilvl="8" w:tentative="0">
      <w:start w:val="1"/>
      <w:numFmt w:val="decimal"/>
      <w:pStyle w:val="43"/>
      <w:suff w:val="space"/>
      <w:lvlText w:val="图%1.%2.%3.%4-%9"/>
      <w:lvlJc w:val="left"/>
      <w:pPr>
        <w:ind w:left="0" w:firstLine="0"/>
      </w:pPr>
      <w:rPr>
        <w:rFonts w:hint="default" w:ascii="Times New Roman" w:hAnsi="Times New Roman" w:eastAsia="黑体"/>
        <w:b w:val="0"/>
        <w:i w:val="0"/>
        <w:sz w:val="24"/>
        <w:u w:val="none"/>
      </w:rPr>
    </w:lvl>
  </w:abstractNum>
  <w:abstractNum w:abstractNumId="4">
    <w:nsid w:val="25197EC0"/>
    <w:multiLevelType w:val="singleLevel"/>
    <w:tmpl w:val="25197EC0"/>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4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JlYWQ3MTZkZGNmOTEwM2YzN2RkNTcyMmE4N2QifQ=="/>
  </w:docVars>
  <w:rsids>
    <w:rsidRoot w:val="007E76A6"/>
    <w:rsid w:val="00062C39"/>
    <w:rsid w:val="000F7EFD"/>
    <w:rsid w:val="002A31A6"/>
    <w:rsid w:val="003659BD"/>
    <w:rsid w:val="003875B7"/>
    <w:rsid w:val="0039587D"/>
    <w:rsid w:val="00475311"/>
    <w:rsid w:val="00491F62"/>
    <w:rsid w:val="004A37ED"/>
    <w:rsid w:val="004D3401"/>
    <w:rsid w:val="004E4275"/>
    <w:rsid w:val="00573F18"/>
    <w:rsid w:val="00596E56"/>
    <w:rsid w:val="00631A7F"/>
    <w:rsid w:val="006F7098"/>
    <w:rsid w:val="00706778"/>
    <w:rsid w:val="00766659"/>
    <w:rsid w:val="007A447F"/>
    <w:rsid w:val="007E76A6"/>
    <w:rsid w:val="00890361"/>
    <w:rsid w:val="008B5E37"/>
    <w:rsid w:val="009037C6"/>
    <w:rsid w:val="009359BD"/>
    <w:rsid w:val="00A0634B"/>
    <w:rsid w:val="00A54DEB"/>
    <w:rsid w:val="00AA00B2"/>
    <w:rsid w:val="00AD18CF"/>
    <w:rsid w:val="00B2475E"/>
    <w:rsid w:val="00BE1CF5"/>
    <w:rsid w:val="00C90730"/>
    <w:rsid w:val="00CA6AD3"/>
    <w:rsid w:val="00CB371B"/>
    <w:rsid w:val="00EC5A47"/>
    <w:rsid w:val="00F16177"/>
    <w:rsid w:val="00F85266"/>
    <w:rsid w:val="01F26BAD"/>
    <w:rsid w:val="02F92940"/>
    <w:rsid w:val="03177CCA"/>
    <w:rsid w:val="07B920EB"/>
    <w:rsid w:val="09C63C16"/>
    <w:rsid w:val="0C175FAD"/>
    <w:rsid w:val="0C637573"/>
    <w:rsid w:val="0DCE08EE"/>
    <w:rsid w:val="107867F5"/>
    <w:rsid w:val="11073F01"/>
    <w:rsid w:val="115D327C"/>
    <w:rsid w:val="124A5078"/>
    <w:rsid w:val="15467A5C"/>
    <w:rsid w:val="157802C2"/>
    <w:rsid w:val="15D078F9"/>
    <w:rsid w:val="186C5148"/>
    <w:rsid w:val="18E203A4"/>
    <w:rsid w:val="1AA53669"/>
    <w:rsid w:val="1EE07079"/>
    <w:rsid w:val="1FC5059E"/>
    <w:rsid w:val="1FFC578E"/>
    <w:rsid w:val="20956557"/>
    <w:rsid w:val="20A01862"/>
    <w:rsid w:val="21B56957"/>
    <w:rsid w:val="22621030"/>
    <w:rsid w:val="27A134A1"/>
    <w:rsid w:val="285A6902"/>
    <w:rsid w:val="294D2BB7"/>
    <w:rsid w:val="2D022974"/>
    <w:rsid w:val="2DE061AE"/>
    <w:rsid w:val="327E5DDD"/>
    <w:rsid w:val="32894C60"/>
    <w:rsid w:val="34E832AD"/>
    <w:rsid w:val="38EF2E70"/>
    <w:rsid w:val="3EBE3EE3"/>
    <w:rsid w:val="3F4113C6"/>
    <w:rsid w:val="40315EAD"/>
    <w:rsid w:val="406D3E12"/>
    <w:rsid w:val="49DA3B9B"/>
    <w:rsid w:val="4E0A479A"/>
    <w:rsid w:val="56AA7874"/>
    <w:rsid w:val="57D328E6"/>
    <w:rsid w:val="589E1050"/>
    <w:rsid w:val="5A79450D"/>
    <w:rsid w:val="5B264887"/>
    <w:rsid w:val="5BB97AB4"/>
    <w:rsid w:val="5DF9645B"/>
    <w:rsid w:val="5E33115F"/>
    <w:rsid w:val="5EE9751D"/>
    <w:rsid w:val="622D3B44"/>
    <w:rsid w:val="64C47E01"/>
    <w:rsid w:val="67D22CAA"/>
    <w:rsid w:val="68831B76"/>
    <w:rsid w:val="6A3938D4"/>
    <w:rsid w:val="70621277"/>
    <w:rsid w:val="7203784C"/>
    <w:rsid w:val="721712AB"/>
    <w:rsid w:val="74485A21"/>
    <w:rsid w:val="752B162A"/>
    <w:rsid w:val="77A74ED7"/>
    <w:rsid w:val="7977136F"/>
    <w:rsid w:val="7A8E6B87"/>
    <w:rsid w:val="7BE803EB"/>
    <w:rsid w:val="7D2F3C22"/>
    <w:rsid w:val="7D490E06"/>
    <w:rsid w:val="7EEC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eastAsia="宋体" w:asciiTheme="minorHAnsi" w:hAnsiTheme="minorHAnsi" w:cstheme="minorBidi"/>
      <w:kern w:val="2"/>
      <w:sz w:val="24"/>
      <w:szCs w:val="21"/>
      <w:lang w:val="en-US" w:eastAsia="zh-CN" w:bidi="ar-SA"/>
    </w:rPr>
  </w:style>
  <w:style w:type="paragraph" w:styleId="3">
    <w:name w:val="heading 1"/>
    <w:basedOn w:val="1"/>
    <w:next w:val="1"/>
    <w:link w:val="34"/>
    <w:qFormat/>
    <w:uiPriority w:val="9"/>
    <w:pPr>
      <w:keepNext/>
      <w:keepLines/>
      <w:numPr>
        <w:ilvl w:val="0"/>
        <w:numId w:val="1"/>
      </w:numPr>
      <w:suppressLineNumbers/>
      <w:ind w:firstLineChars="0"/>
      <w:jc w:val="center"/>
      <w:outlineLvl w:val="0"/>
    </w:pPr>
    <w:rPr>
      <w:rFonts w:ascii="Times New Roman" w:hAnsi="Times New Roman"/>
      <w:b/>
      <w:bCs/>
      <w:kern w:val="44"/>
      <w:sz w:val="32"/>
      <w:szCs w:val="44"/>
    </w:rPr>
  </w:style>
  <w:style w:type="paragraph" w:styleId="4">
    <w:name w:val="heading 2"/>
    <w:basedOn w:val="1"/>
    <w:next w:val="1"/>
    <w:link w:val="35"/>
    <w:unhideWhenUsed/>
    <w:qFormat/>
    <w:uiPriority w:val="9"/>
    <w:pPr>
      <w:keepNext/>
      <w:keepLines/>
      <w:numPr>
        <w:ilvl w:val="1"/>
        <w:numId w:val="1"/>
      </w:numPr>
      <w:ind w:firstLineChars="0"/>
      <w:jc w:val="center"/>
      <w:outlineLvl w:val="1"/>
    </w:pPr>
    <w:rPr>
      <w:rFonts w:ascii="Times New Roman" w:hAnsi="Times New Roman" w:cstheme="majorBidi"/>
      <w:b/>
      <w:bCs/>
      <w:sz w:val="30"/>
      <w:szCs w:val="32"/>
    </w:rPr>
  </w:style>
  <w:style w:type="paragraph" w:styleId="5">
    <w:name w:val="heading 3"/>
    <w:basedOn w:val="1"/>
    <w:next w:val="1"/>
    <w:link w:val="37"/>
    <w:unhideWhenUsed/>
    <w:qFormat/>
    <w:uiPriority w:val="9"/>
    <w:pPr>
      <w:keepNext/>
      <w:keepLines/>
      <w:numPr>
        <w:ilvl w:val="2"/>
        <w:numId w:val="1"/>
      </w:numPr>
      <w:ind w:firstLineChars="0"/>
      <w:outlineLvl w:val="2"/>
    </w:pPr>
    <w:rPr>
      <w:rFonts w:ascii="Times New Roman" w:hAnsi="Times New Roman"/>
      <w:b/>
      <w:bCs/>
      <w:sz w:val="28"/>
      <w:szCs w:val="32"/>
    </w:rPr>
  </w:style>
  <w:style w:type="paragraph" w:styleId="6">
    <w:name w:val="heading 4"/>
    <w:basedOn w:val="1"/>
    <w:next w:val="1"/>
    <w:link w:val="36"/>
    <w:unhideWhenUsed/>
    <w:qFormat/>
    <w:uiPriority w:val="9"/>
    <w:pPr>
      <w:keepNext/>
      <w:keepLines/>
      <w:numPr>
        <w:ilvl w:val="3"/>
        <w:numId w:val="1"/>
      </w:numPr>
      <w:ind w:firstLineChars="0"/>
      <w:outlineLvl w:val="3"/>
    </w:pPr>
    <w:rPr>
      <w:rFonts w:ascii="Times New Roman" w:hAnsi="Times New Roman" w:cstheme="majorBidi"/>
      <w:bCs/>
      <w:szCs w:val="28"/>
    </w:rPr>
  </w:style>
  <w:style w:type="paragraph" w:styleId="7">
    <w:name w:val="heading 5"/>
    <w:basedOn w:val="1"/>
    <w:next w:val="1"/>
    <w:link w:val="41"/>
    <w:unhideWhenUsed/>
    <w:qFormat/>
    <w:uiPriority w:val="9"/>
    <w:pPr>
      <w:keepNext/>
      <w:keepLines/>
      <w:numPr>
        <w:ilvl w:val="4"/>
        <w:numId w:val="1"/>
      </w:numPr>
      <w:ind w:firstLineChars="0"/>
      <w:outlineLvl w:val="4"/>
    </w:pPr>
    <w:rPr>
      <w:rFonts w:ascii="Times New Roman" w:hAnsi="Times New Roman"/>
      <w:bCs/>
      <w:szCs w:val="28"/>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2 磅"/>
    <w:basedOn w:val="1"/>
    <w:qFormat/>
    <w:uiPriority w:val="0"/>
    <w:pPr>
      <w:widowControl/>
      <w:spacing w:line="440" w:lineRule="exact"/>
    </w:pPr>
    <w:rPr>
      <w:rFonts w:ascii="Calibri" w:hAnsi="Calibri"/>
      <w:sz w:val="24"/>
      <w:szCs w:val="20"/>
    </w:rPr>
  </w:style>
  <w:style w:type="paragraph" w:styleId="8">
    <w:name w:val="Normal Indent"/>
    <w:basedOn w:val="1"/>
    <w:next w:val="1"/>
    <w:qFormat/>
    <w:uiPriority w:val="0"/>
    <w:pPr>
      <w:spacing w:line="240" w:lineRule="auto"/>
      <w:ind w:firstLine="0" w:firstLineChars="0"/>
      <w:jc w:val="center"/>
    </w:pPr>
    <w:rPr>
      <w:rFonts w:ascii="Times New Roman" w:hAnsi="Times New Roman"/>
    </w:rPr>
  </w:style>
  <w:style w:type="paragraph" w:styleId="9">
    <w:name w:val="Body Text 3"/>
    <w:basedOn w:val="1"/>
    <w:link w:val="42"/>
    <w:semiHidden/>
    <w:unhideWhenUsed/>
    <w:qFormat/>
    <w:uiPriority w:val="99"/>
    <w:pPr>
      <w:spacing w:after="120"/>
    </w:pPr>
    <w:rPr>
      <w:sz w:val="16"/>
      <w:szCs w:val="16"/>
    </w:rPr>
  </w:style>
  <w:style w:type="paragraph" w:styleId="10">
    <w:name w:val="Body Text"/>
    <w:basedOn w:val="1"/>
    <w:qFormat/>
    <w:uiPriority w:val="1"/>
    <w:pPr>
      <w:spacing w:before="1"/>
      <w:ind w:left="437"/>
    </w:pPr>
    <w:rPr>
      <w:sz w:val="24"/>
      <w:szCs w:val="24"/>
    </w:rPr>
  </w:style>
  <w:style w:type="paragraph" w:styleId="11">
    <w:name w:val="Body Text Indent"/>
    <w:basedOn w:val="1"/>
    <w:link w:val="45"/>
    <w:semiHidden/>
    <w:unhideWhenUsed/>
    <w:qFormat/>
    <w:uiPriority w:val="99"/>
    <w:pPr>
      <w:spacing w:after="120"/>
      <w:ind w:left="420" w:leftChars="200"/>
    </w:pPr>
  </w:style>
  <w:style w:type="paragraph" w:styleId="12">
    <w:name w:val="toc 3"/>
    <w:basedOn w:val="1"/>
    <w:next w:val="1"/>
    <w:semiHidden/>
    <w:unhideWhenUsed/>
    <w:qFormat/>
    <w:uiPriority w:val="39"/>
    <w:pPr>
      <w:ind w:left="840" w:leftChars="400"/>
    </w:pPr>
  </w:style>
  <w:style w:type="paragraph" w:styleId="13">
    <w:name w:val="Balloon Text"/>
    <w:basedOn w:val="1"/>
    <w:link w:val="50"/>
    <w:semiHidden/>
    <w:unhideWhenUsed/>
    <w:qFormat/>
    <w:uiPriority w:val="99"/>
    <w:pPr>
      <w:spacing w:line="240" w:lineRule="auto"/>
    </w:pPr>
    <w:rPr>
      <w:sz w:val="18"/>
      <w:szCs w:val="18"/>
    </w:rPr>
  </w:style>
  <w:style w:type="paragraph" w:styleId="14">
    <w:name w:val="footer"/>
    <w:basedOn w:val="1"/>
    <w:link w:val="32"/>
    <w:unhideWhenUsed/>
    <w:qFormat/>
    <w:uiPriority w:val="99"/>
    <w:pPr>
      <w:tabs>
        <w:tab w:val="center" w:pos="4153"/>
        <w:tab w:val="right" w:pos="8306"/>
      </w:tabs>
      <w:snapToGrid w:val="0"/>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4"/>
    <w:basedOn w:val="1"/>
    <w:next w:val="1"/>
    <w:qFormat/>
    <w:uiPriority w:val="39"/>
    <w:pPr>
      <w:ind w:left="1260" w:leftChars="600"/>
    </w:pPr>
  </w:style>
  <w:style w:type="paragraph" w:styleId="18">
    <w:name w:val="Subtitle"/>
    <w:basedOn w:val="1"/>
    <w:next w:val="1"/>
    <w:qFormat/>
    <w:uiPriority w:val="11"/>
    <w:pPr>
      <w:spacing w:after="60"/>
      <w:jc w:val="center"/>
      <w:outlineLvl w:val="1"/>
    </w:pPr>
    <w:rPr>
      <w:rFonts w:ascii="Cambria" w:hAnsi="Cambria"/>
    </w:rPr>
  </w:style>
  <w:style w:type="paragraph" w:styleId="19">
    <w:name w:val="toc 2"/>
    <w:basedOn w:val="1"/>
    <w:next w:val="1"/>
    <w:semiHidden/>
    <w:unhideWhenUsed/>
    <w:qFormat/>
    <w:uiPriority w:val="39"/>
    <w:pPr>
      <w:ind w:left="420" w:leftChars="200"/>
    </w:pPr>
  </w:style>
  <w:style w:type="paragraph" w:styleId="20">
    <w:name w:val="Body Text 2"/>
    <w:basedOn w:val="1"/>
    <w:link w:val="39"/>
    <w:semiHidden/>
    <w:unhideWhenUsed/>
    <w:qFormat/>
    <w:uiPriority w:val="99"/>
    <w:pPr>
      <w:spacing w:after="120" w:line="480" w:lineRule="auto"/>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8"/>
    <w:qFormat/>
    <w:uiPriority w:val="10"/>
    <w:pPr>
      <w:spacing w:before="240" w:after="60"/>
      <w:jc w:val="center"/>
      <w:outlineLvl w:val="0"/>
    </w:pPr>
    <w:rPr>
      <w:rFonts w:asciiTheme="majorHAnsi" w:hAnsiTheme="majorHAnsi" w:cstheme="majorBidi"/>
      <w:b/>
      <w:bCs/>
      <w:sz w:val="32"/>
      <w:szCs w:val="32"/>
    </w:rPr>
  </w:style>
  <w:style w:type="paragraph" w:styleId="23">
    <w:name w:val="Body Text First Indent"/>
    <w:basedOn w:val="10"/>
    <w:qFormat/>
    <w:uiPriority w:val="0"/>
    <w:pPr>
      <w:ind w:firstLine="420" w:firstLineChars="100"/>
    </w:pPr>
  </w:style>
  <w:style w:type="paragraph" w:styleId="24">
    <w:name w:val="Body Text First Indent 2"/>
    <w:basedOn w:val="11"/>
    <w:unhideWhenUsed/>
    <w:qFormat/>
    <w:uiPriority w:val="99"/>
    <w:pPr>
      <w:ind w:firstLine="420"/>
    </w:pPr>
    <w:rPr>
      <w:rFonts w:asciiTheme="minorHAnsi" w:hAnsiTheme="minorHAnsi"/>
    </w:rPr>
  </w:style>
  <w:style w:type="table" w:styleId="26">
    <w:name w:val="Table Grid"/>
    <w:basedOn w:val="25"/>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styleId="27">
    <w:name w:val="Colorful List Accent 6"/>
    <w:basedOn w:val="25"/>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character" w:styleId="29">
    <w:name w:val="Strong"/>
    <w:qFormat/>
    <w:uiPriority w:val="0"/>
    <w:rPr>
      <w:rFonts w:eastAsia="宋体"/>
      <w:bCs/>
      <w:sz w:val="24"/>
    </w:rPr>
  </w:style>
  <w:style w:type="character" w:styleId="30">
    <w:name w:val="Hyperlink"/>
    <w:qFormat/>
    <w:uiPriority w:val="99"/>
    <w:rPr>
      <w:color w:val="000000"/>
      <w:u w:val="none"/>
    </w:rPr>
  </w:style>
  <w:style w:type="character" w:customStyle="1" w:styleId="31">
    <w:name w:val="页眉 Char"/>
    <w:basedOn w:val="28"/>
    <w:link w:val="15"/>
    <w:qFormat/>
    <w:uiPriority w:val="99"/>
    <w:rPr>
      <w:sz w:val="18"/>
      <w:szCs w:val="18"/>
    </w:rPr>
  </w:style>
  <w:style w:type="character" w:customStyle="1" w:styleId="32">
    <w:name w:val="页脚 Char"/>
    <w:basedOn w:val="28"/>
    <w:link w:val="14"/>
    <w:qFormat/>
    <w:uiPriority w:val="99"/>
    <w:rPr>
      <w:sz w:val="18"/>
      <w:szCs w:val="18"/>
    </w:rPr>
  </w:style>
  <w:style w:type="paragraph" w:customStyle="1" w:styleId="33">
    <w:name w:val="正文1(1)"/>
    <w:basedOn w:val="1"/>
    <w:qFormat/>
    <w:uiPriority w:val="0"/>
    <w:pPr>
      <w:numPr>
        <w:ilvl w:val="5"/>
        <w:numId w:val="1"/>
      </w:numPr>
      <w:ind w:firstLineChars="0"/>
    </w:pPr>
    <w:rPr>
      <w:rFonts w:ascii="Times New Roman" w:hAnsi="Times New Roman"/>
    </w:rPr>
  </w:style>
  <w:style w:type="character" w:customStyle="1" w:styleId="34">
    <w:name w:val="标题 1 Char"/>
    <w:basedOn w:val="28"/>
    <w:link w:val="3"/>
    <w:qFormat/>
    <w:uiPriority w:val="9"/>
    <w:rPr>
      <w:rFonts w:ascii="Times New Roman" w:hAnsi="Times New Roman" w:eastAsia="宋体"/>
      <w:b/>
      <w:bCs/>
      <w:kern w:val="44"/>
      <w:sz w:val="32"/>
      <w:szCs w:val="44"/>
    </w:rPr>
  </w:style>
  <w:style w:type="character" w:customStyle="1" w:styleId="35">
    <w:name w:val="标题 2 Char"/>
    <w:basedOn w:val="28"/>
    <w:link w:val="4"/>
    <w:qFormat/>
    <w:uiPriority w:val="9"/>
    <w:rPr>
      <w:rFonts w:ascii="Times New Roman" w:hAnsi="Times New Roman" w:eastAsia="宋体" w:cstheme="majorBidi"/>
      <w:b/>
      <w:bCs/>
      <w:sz w:val="30"/>
      <w:szCs w:val="32"/>
    </w:rPr>
  </w:style>
  <w:style w:type="character" w:customStyle="1" w:styleId="36">
    <w:name w:val="标题 4 Char"/>
    <w:basedOn w:val="28"/>
    <w:link w:val="6"/>
    <w:qFormat/>
    <w:uiPriority w:val="9"/>
    <w:rPr>
      <w:rFonts w:ascii="Times New Roman" w:hAnsi="Times New Roman" w:eastAsia="宋体" w:cstheme="majorBidi"/>
      <w:bCs/>
      <w:sz w:val="24"/>
      <w:szCs w:val="28"/>
    </w:rPr>
  </w:style>
  <w:style w:type="character" w:customStyle="1" w:styleId="37">
    <w:name w:val="标题 3 Char"/>
    <w:basedOn w:val="28"/>
    <w:link w:val="5"/>
    <w:qFormat/>
    <w:uiPriority w:val="9"/>
    <w:rPr>
      <w:rFonts w:ascii="Times New Roman" w:hAnsi="Times New Roman" w:eastAsia="宋体"/>
      <w:b/>
      <w:bCs/>
      <w:sz w:val="28"/>
      <w:szCs w:val="32"/>
    </w:rPr>
  </w:style>
  <w:style w:type="character" w:customStyle="1" w:styleId="38">
    <w:name w:val="标题 Char"/>
    <w:basedOn w:val="28"/>
    <w:link w:val="22"/>
    <w:qFormat/>
    <w:uiPriority w:val="10"/>
    <w:rPr>
      <w:rFonts w:eastAsia="宋体" w:asciiTheme="majorHAnsi" w:hAnsiTheme="majorHAnsi" w:cstheme="majorBidi"/>
      <w:b/>
      <w:bCs/>
      <w:sz w:val="32"/>
      <w:szCs w:val="32"/>
    </w:rPr>
  </w:style>
  <w:style w:type="character" w:customStyle="1" w:styleId="39">
    <w:name w:val="正文文本 2 Char"/>
    <w:basedOn w:val="28"/>
    <w:link w:val="20"/>
    <w:semiHidden/>
    <w:qFormat/>
    <w:uiPriority w:val="99"/>
  </w:style>
  <w:style w:type="paragraph" w:customStyle="1" w:styleId="40">
    <w:name w:val="(表格)"/>
    <w:basedOn w:val="1"/>
    <w:qFormat/>
    <w:uiPriority w:val="0"/>
    <w:pPr>
      <w:numPr>
        <w:ilvl w:val="7"/>
        <w:numId w:val="1"/>
      </w:numPr>
      <w:spacing w:line="240" w:lineRule="auto"/>
      <w:ind w:firstLineChars="0"/>
      <w:jc w:val="center"/>
    </w:pPr>
    <w:rPr>
      <w:rFonts w:ascii="Times New Roman" w:hAnsi="Times New Roman" w:eastAsia="黑体"/>
    </w:rPr>
  </w:style>
  <w:style w:type="character" w:customStyle="1" w:styleId="41">
    <w:name w:val="标题 5 Char"/>
    <w:basedOn w:val="28"/>
    <w:link w:val="7"/>
    <w:qFormat/>
    <w:uiPriority w:val="9"/>
    <w:rPr>
      <w:rFonts w:ascii="Times New Roman" w:hAnsi="Times New Roman" w:eastAsia="宋体"/>
      <w:bCs/>
      <w:sz w:val="24"/>
      <w:szCs w:val="28"/>
    </w:rPr>
  </w:style>
  <w:style w:type="character" w:customStyle="1" w:styleId="42">
    <w:name w:val="正文文本 3 Char"/>
    <w:basedOn w:val="28"/>
    <w:link w:val="9"/>
    <w:semiHidden/>
    <w:qFormat/>
    <w:uiPriority w:val="99"/>
    <w:rPr>
      <w:sz w:val="16"/>
      <w:szCs w:val="16"/>
    </w:rPr>
  </w:style>
  <w:style w:type="paragraph" w:customStyle="1" w:styleId="43">
    <w:name w:val="（图片）"/>
    <w:basedOn w:val="1"/>
    <w:qFormat/>
    <w:uiPriority w:val="0"/>
    <w:pPr>
      <w:numPr>
        <w:ilvl w:val="8"/>
        <w:numId w:val="1"/>
      </w:numPr>
      <w:spacing w:line="240" w:lineRule="auto"/>
      <w:ind w:firstLineChars="0"/>
      <w:jc w:val="center"/>
    </w:pPr>
    <w:rPr>
      <w:rFonts w:eastAsia="黑体"/>
    </w:rPr>
  </w:style>
  <w:style w:type="paragraph" w:customStyle="1" w:styleId="44">
    <w:name w:val="正文 1)"/>
    <w:basedOn w:val="1"/>
    <w:qFormat/>
    <w:uiPriority w:val="0"/>
    <w:pPr>
      <w:numPr>
        <w:ilvl w:val="6"/>
        <w:numId w:val="1"/>
      </w:numPr>
      <w:ind w:firstLineChars="0"/>
    </w:pPr>
  </w:style>
  <w:style w:type="character" w:customStyle="1" w:styleId="45">
    <w:name w:val="正文文本缩进 Char"/>
    <w:basedOn w:val="28"/>
    <w:link w:val="11"/>
    <w:semiHidden/>
    <w:qFormat/>
    <w:uiPriority w:val="99"/>
    <w:rPr>
      <w:rFonts w:eastAsia="宋体"/>
      <w:sz w:val="24"/>
    </w:rPr>
  </w:style>
  <w:style w:type="paragraph" w:customStyle="1" w:styleId="46">
    <w:name w:val="表格内容居中"/>
    <w:basedOn w:val="1"/>
    <w:link w:val="48"/>
    <w:qFormat/>
    <w:uiPriority w:val="0"/>
    <w:pPr>
      <w:spacing w:line="360" w:lineRule="exact"/>
      <w:ind w:firstLine="0" w:firstLineChars="0"/>
      <w:jc w:val="center"/>
    </w:pPr>
    <w:rPr>
      <w:rFonts w:ascii="Times New Roman" w:hAnsi="Times New Roman"/>
      <w:sz w:val="21"/>
    </w:rPr>
  </w:style>
  <w:style w:type="paragraph" w:customStyle="1" w:styleId="47">
    <w:name w:val="表格内容左对齐"/>
    <w:basedOn w:val="1"/>
    <w:next w:val="1"/>
    <w:link w:val="49"/>
    <w:qFormat/>
    <w:uiPriority w:val="0"/>
    <w:pPr>
      <w:spacing w:line="240" w:lineRule="auto"/>
    </w:pPr>
    <w:rPr>
      <w:sz w:val="21"/>
    </w:rPr>
  </w:style>
  <w:style w:type="character" w:customStyle="1" w:styleId="48">
    <w:name w:val="表格内容居中 Char"/>
    <w:basedOn w:val="28"/>
    <w:link w:val="46"/>
    <w:qFormat/>
    <w:uiPriority w:val="0"/>
    <w:rPr>
      <w:rFonts w:ascii="Times New Roman" w:hAnsi="Times New Roman" w:eastAsia="宋体"/>
    </w:rPr>
  </w:style>
  <w:style w:type="character" w:customStyle="1" w:styleId="49">
    <w:name w:val="表格内容左对齐 Char"/>
    <w:basedOn w:val="28"/>
    <w:link w:val="47"/>
    <w:qFormat/>
    <w:uiPriority w:val="0"/>
    <w:rPr>
      <w:rFonts w:eastAsia="宋体"/>
    </w:rPr>
  </w:style>
  <w:style w:type="character" w:customStyle="1" w:styleId="50">
    <w:name w:val="批注框文本 Char"/>
    <w:basedOn w:val="28"/>
    <w:link w:val="13"/>
    <w:semiHidden/>
    <w:qFormat/>
    <w:uiPriority w:val="99"/>
    <w:rPr>
      <w:rFonts w:eastAsia="宋体"/>
      <w:sz w:val="18"/>
      <w:szCs w:val="18"/>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paragraph" w:customStyle="1" w:styleId="52">
    <w:name w:val="WPSOffice手动目录 2"/>
    <w:qFormat/>
    <w:uiPriority w:val="0"/>
    <w:pPr>
      <w:ind w:leftChars="200"/>
    </w:pPr>
    <w:rPr>
      <w:rFonts w:ascii="Times New Roman" w:hAnsi="Times New Roman" w:eastAsia="宋体" w:cs="Times New Roman"/>
      <w:sz w:val="20"/>
      <w:szCs w:val="20"/>
    </w:rPr>
  </w:style>
  <w:style w:type="paragraph" w:customStyle="1" w:styleId="53">
    <w:name w:val="WPSOffice手动目录 3"/>
    <w:qFormat/>
    <w:uiPriority w:val="0"/>
    <w:pPr>
      <w:ind w:leftChars="400"/>
    </w:pPr>
    <w:rPr>
      <w:rFonts w:ascii="Times New Roman" w:hAnsi="Times New Roman" w:eastAsia="宋体" w:cs="Times New Roman"/>
      <w:sz w:val="20"/>
      <w:szCs w:val="20"/>
    </w:rPr>
  </w:style>
  <w:style w:type="paragraph" w:customStyle="1" w:styleId="54">
    <w:name w:val="TOC Heading"/>
    <w:basedOn w:val="3"/>
    <w:next w:val="1"/>
    <w:unhideWhenUsed/>
    <w:qFormat/>
    <w:uiPriority w:val="39"/>
    <w:pPr>
      <w:keepNext/>
      <w:keepLines/>
      <w:widowControl/>
      <w:autoSpaceDE/>
      <w:autoSpaceDN/>
      <w:spacing w:before="240" w:line="259" w:lineRule="auto"/>
      <w:ind w:left="0" w:leftChars="0" w:right="0" w:rightChars="0"/>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55">
    <w:name w:val="正文，A正文"/>
    <w:next w:val="1"/>
    <w:qFormat/>
    <w:uiPriority w:val="0"/>
    <w:pPr>
      <w:spacing w:line="360" w:lineRule="auto"/>
      <w:ind w:firstLine="200" w:firstLineChars="200"/>
      <w:jc w:val="both"/>
    </w:pPr>
    <w:rPr>
      <w:rFonts w:ascii="Calibri" w:hAnsi="Calibri" w:eastAsia="宋体" w:cs="Times New Roman"/>
      <w:bCs/>
      <w:kern w:val="2"/>
      <w:sz w:val="24"/>
      <w:szCs w:val="32"/>
      <w:lang w:val="en-US" w:eastAsia="zh-CN" w:bidi="ar-SA"/>
    </w:rPr>
  </w:style>
  <w:style w:type="paragraph" w:customStyle="1" w:styleId="56">
    <w:name w:val="111正文"/>
    <w:basedOn w:val="1"/>
    <w:qFormat/>
    <w:uiPriority w:val="0"/>
    <w:pPr>
      <w:spacing w:line="360" w:lineRule="auto"/>
      <w:ind w:firstLine="480" w:firstLineChars="200"/>
    </w:pPr>
    <w:rPr>
      <w:rFonts w:ascii="仿宋_GB2312" w:hAnsi="Calibri" w:eastAsia="仿宋_GB2312" w:cs="黑体"/>
      <w:sz w:val="24"/>
      <w:szCs w:val="24"/>
    </w:rPr>
  </w:style>
  <w:style w:type="paragraph" w:customStyle="1" w:styleId="57">
    <w:name w:val="红土地正文"/>
    <w:basedOn w:val="1"/>
    <w:qFormat/>
    <w:uiPriority w:val="0"/>
    <w:pPr>
      <w:spacing w:line="360" w:lineRule="auto"/>
      <w:ind w:firstLine="200" w:firstLineChars="200"/>
      <w:textAlignment w:val="baseline"/>
    </w:pPr>
    <w:rPr>
      <w:rFonts w:ascii="仿宋_GB2312" w:hAnsi="Times New Roman" w:eastAsia="仿宋_GB2312"/>
      <w:kern w:val="0"/>
      <w:sz w:val="28"/>
      <w:szCs w:val="28"/>
    </w:rPr>
  </w:style>
  <w:style w:type="paragraph" w:styleId="58">
    <w:name w:val="List Paragraph"/>
    <w:basedOn w:val="1"/>
    <w:qFormat/>
    <w:uiPriority w:val="34"/>
    <w:pPr>
      <w:spacing w:line="360" w:lineRule="auto"/>
      <w:ind w:firstLine="420" w:firstLineChars="200"/>
    </w:pPr>
    <w:rPr>
      <w:rFonts w:ascii="Calibri" w:hAnsi="Calibri"/>
      <w:sz w:val="24"/>
      <w:szCs w:val="24"/>
    </w:rPr>
  </w:style>
  <w:style w:type="paragraph" w:customStyle="1" w:styleId="59">
    <w:name w:val="样式 宋体 左 行距: 固定值 22 磅"/>
    <w:basedOn w:val="1"/>
    <w:qFormat/>
    <w:uiPriority w:val="0"/>
    <w:pPr>
      <w:spacing w:line="440" w:lineRule="exact"/>
      <w:ind w:firstLine="480" w:firstLineChars="200"/>
      <w:jc w:val="left"/>
    </w:pPr>
    <w:rPr>
      <w:rFonts w:ascii="宋体" w:hAnsi="宋体" w:cs="宋体"/>
      <w:sz w:val="24"/>
      <w:szCs w:val="20"/>
    </w:rPr>
  </w:style>
  <w:style w:type="paragraph" w:customStyle="1" w:styleId="60">
    <w:name w:val="左对齐首行缩进"/>
    <w:basedOn w:val="46"/>
    <w:qFormat/>
    <w:uiPriority w:val="0"/>
    <w:pPr>
      <w:spacing w:line="240" w:lineRule="auto"/>
      <w:ind w:firstLine="420" w:firstLineChars="200"/>
      <w:jc w:val="left"/>
    </w:pPr>
    <w:rPr>
      <w:szCs w:val="22"/>
    </w:rPr>
  </w:style>
  <w:style w:type="paragraph" w:customStyle="1" w:styleId="6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样式 表格文字 + 加粗"/>
    <w:basedOn w:val="1"/>
    <w:qFormat/>
    <w:uiPriority w:val="0"/>
    <w:pPr>
      <w:adjustRightInd w:val="0"/>
      <w:spacing w:before="0" w:after="0" w:line="240" w:lineRule="auto"/>
      <w:jc w:val="center"/>
    </w:pPr>
    <w:rPr>
      <w:rFonts w:ascii="宋体" w:hAnsi="宋体" w:eastAsia="黑体" w:cs="Times New Roman"/>
      <w:b/>
      <w:bCs/>
      <w:snapToGrid w:val="0"/>
      <w:kern w:val="0"/>
      <w:szCs w:val="21"/>
    </w:rPr>
  </w:style>
  <w:style w:type="paragraph" w:customStyle="1" w:styleId="63">
    <w:name w:val="CM126"/>
    <w:basedOn w:val="64"/>
    <w:next w:val="64"/>
    <w:unhideWhenUsed/>
    <w:qFormat/>
    <w:uiPriority w:val="99"/>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font41"/>
    <w:basedOn w:val="28"/>
    <w:qFormat/>
    <w:uiPriority w:val="0"/>
    <w:rPr>
      <w:rFonts w:hint="eastAsia" w:ascii="宋体" w:hAnsi="宋体" w:eastAsia="宋体" w:cs="宋体"/>
      <w:b/>
      <w:bCs/>
      <w:color w:val="FF0000"/>
      <w:sz w:val="18"/>
      <w:szCs w:val="18"/>
      <w:u w:val="none"/>
    </w:rPr>
  </w:style>
  <w:style w:type="character" w:customStyle="1" w:styleId="66">
    <w:name w:val="font31"/>
    <w:basedOn w:val="28"/>
    <w:qFormat/>
    <w:uiPriority w:val="0"/>
    <w:rPr>
      <w:rFonts w:hint="eastAsia" w:ascii="宋体" w:hAnsi="宋体" w:eastAsia="宋体" w:cs="宋体"/>
      <w:color w:val="000000"/>
      <w:sz w:val="18"/>
      <w:szCs w:val="18"/>
      <w:u w:val="none"/>
    </w:rPr>
  </w:style>
  <w:style w:type="character" w:customStyle="1" w:styleId="67">
    <w:name w:val="font51"/>
    <w:basedOn w:val="28"/>
    <w:qFormat/>
    <w:uiPriority w:val="0"/>
    <w:rPr>
      <w:rFonts w:hint="eastAsia" w:ascii="宋体" w:hAnsi="宋体" w:eastAsia="宋体" w:cs="宋体"/>
      <w:color w:val="FF0000"/>
      <w:sz w:val="18"/>
      <w:szCs w:val="18"/>
      <w:u w:val="none"/>
    </w:rPr>
  </w:style>
  <w:style w:type="paragraph" w:customStyle="1" w:styleId="68">
    <w:name w:val="_Style 13"/>
    <w:qFormat/>
    <w:uiPriority w:val="0"/>
    <w:pPr>
      <w:spacing w:before="120" w:after="120" w:line="288" w:lineRule="auto"/>
      <w:ind w:left="0"/>
      <w:jc w:val="left"/>
    </w:pPr>
    <w:rPr>
      <w:rFonts w:ascii="Arial" w:hAnsi="Arial" w:eastAsia="等线" w:cs="Arial"/>
      <w:sz w:val="22"/>
      <w:szCs w:val="22"/>
    </w:rPr>
  </w:style>
  <w:style w:type="table" w:customStyle="1" w:styleId="69">
    <w:name w:val="标书表格"/>
    <w:basedOn w:val="25"/>
    <w:qFormat/>
    <w:uiPriority w:val="0"/>
    <w:pPr>
      <w:jc w:val="center"/>
    </w:pPr>
    <w:rPr>
      <w:rFonts w:cs="Times New Roma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
    <w:tcPr>
      <w:tcBorders>
        <w:top w:val="double" w:color="auto" w:sz="4" w:space="0"/>
        <w:left w:val="double" w:color="auto" w:sz="4" w:space="0"/>
        <w:bottom w:val="double" w:color="auto" w:sz="4" w:space="0"/>
        <w:right w:val="double" w:color="auto" w:sz="4" w:space="0"/>
      </w:tcBorders>
      <w:vAlign w:val="center"/>
    </w:tcPr>
    <w:tblStylePr w:type="firstRow">
      <w:rPr>
        <w:rFonts w:hint="default" w:ascii="Calibri" w:hAnsi="Calibri" w:eastAsia="宋体" w:cs="Calibri"/>
        <w:b/>
        <w:sz w:val="21"/>
        <w:szCs w:val="21"/>
      </w:rPr>
      <w:tcPr>
        <w:shd w:val="clear" w:color="auto" w:fill="CFAE78"/>
      </w:tcPr>
    </w:tblStylePr>
  </w:style>
  <w:style w:type="paragraph" w:customStyle="1" w:styleId="70">
    <w:name w:val="表格内容左对齐1"/>
    <w:basedOn w:val="46"/>
    <w:qFormat/>
    <w:uiPriority w:val="0"/>
    <w:pPr>
      <w:widowControl/>
      <w:spacing w:line="240" w:lineRule="auto"/>
      <w:ind w:firstLine="420" w:firstLineChars="200"/>
      <w:jc w:val="left"/>
    </w:pPr>
    <w:rPr>
      <w:rFonts w:hint="eastAsia" w:ascii="宋体" w:hAnsi="宋体"/>
      <w:szCs w:val="24"/>
    </w:rPr>
  </w:style>
  <w:style w:type="character" w:customStyle="1" w:styleId="71">
    <w:name w:val="font11"/>
    <w:basedOn w:val="28"/>
    <w:qFormat/>
    <w:uiPriority w:val="0"/>
    <w:rPr>
      <w:rFonts w:hint="eastAsia" w:ascii="宋体" w:hAnsi="宋体" w:eastAsia="宋体" w:cs="宋体"/>
      <w:color w:val="000000"/>
      <w:sz w:val="20"/>
      <w:szCs w:val="20"/>
      <w:u w:val="none"/>
    </w:rPr>
  </w:style>
  <w:style w:type="character" w:customStyle="1" w:styleId="72">
    <w:name w:val="font21"/>
    <w:basedOn w:val="28"/>
    <w:qFormat/>
    <w:uiPriority w:val="0"/>
    <w:rPr>
      <w:rFonts w:hint="default" w:ascii="Times New Roman" w:hAnsi="Times New Roman" w:cs="Times New Roman"/>
      <w:color w:val="000000"/>
      <w:sz w:val="20"/>
      <w:szCs w:val="20"/>
      <w:u w:val="none"/>
    </w:rPr>
  </w:style>
  <w:style w:type="paragraph" w:customStyle="1" w:styleId="73">
    <w:name w:val="正文样式1"/>
    <w:basedOn w:val="1"/>
    <w:qFormat/>
    <w:uiPriority w:val="0"/>
    <w:pPr>
      <w:spacing w:line="360" w:lineRule="auto"/>
      <w:ind w:firstLine="480" w:firstLineChars="200"/>
    </w:pPr>
    <w:rPr>
      <w:sz w:val="24"/>
    </w:rPr>
  </w:style>
  <w:style w:type="paragraph" w:customStyle="1" w:styleId="74">
    <w:name w:val="A-正文"/>
    <w:basedOn w:val="1"/>
    <w:qFormat/>
    <w:uiPriority w:val="99"/>
    <w:pPr>
      <w:spacing w:line="360" w:lineRule="auto"/>
      <w:ind w:firstLine="200" w:firstLineChars="200"/>
      <w:jc w:val="left"/>
    </w:pPr>
    <w:rPr>
      <w:rFonts w:ascii="Calibri" w:hAnsi="Calibri" w:eastAsia="宋体" w:cs="Times New Roman"/>
    </w:rPr>
  </w:style>
  <w:style w:type="paragraph" w:customStyle="1" w:styleId="75">
    <w:name w:val="标题5"/>
    <w:basedOn w:val="7"/>
    <w:qFormat/>
    <w:uiPriority w:val="0"/>
    <w:pPr>
      <w:spacing w:before="120" w:beforeLines="50" w:after="120" w:afterLines="50" w:line="360" w:lineRule="auto"/>
    </w:pPr>
    <w:rPr>
      <w:sz w:val="24"/>
    </w:rPr>
  </w:style>
  <w:style w:type="paragraph" w:customStyle="1" w:styleId="76">
    <w:name w:val="投标正文"/>
    <w:basedOn w:val="1"/>
    <w:qFormat/>
    <w:uiPriority w:val="0"/>
    <w:pPr>
      <w:snapToGrid w:val="0"/>
      <w:spacing w:line="360" w:lineRule="auto"/>
      <w:ind w:firstLine="480" w:firstLineChars="200"/>
      <w:jc w:val="left"/>
    </w:pPr>
    <w:rPr>
      <w:sz w:val="24"/>
      <w:szCs w:val="20"/>
    </w:rPr>
  </w:style>
  <w:style w:type="paragraph" w:customStyle="1" w:styleId="77">
    <w:name w:val="表格11"/>
    <w:basedOn w:val="1"/>
    <w:qFormat/>
    <w:uiPriority w:val="0"/>
    <w:pPr>
      <w:autoSpaceDE w:val="0"/>
      <w:autoSpaceDN w:val="0"/>
      <w:adjustRightInd w:val="0"/>
      <w:spacing w:line="360" w:lineRule="auto"/>
      <w:ind w:firstLine="0" w:firstLineChars="0"/>
      <w:jc w:val="center"/>
      <w:outlineLvl w:val="3"/>
    </w:pPr>
    <w:rPr>
      <w:rFonts w:hint="eastAsia" w:ascii="宋体" w:hAnsi="宋体" w:cs="宋体"/>
      <w:color w:val="000000"/>
      <w:sz w:val="21"/>
      <w:szCs w:val="24"/>
    </w:rPr>
  </w:style>
  <w:style w:type="paragraph" w:customStyle="1" w:styleId="78">
    <w:name w:val="图"/>
    <w:basedOn w:val="1"/>
    <w:qFormat/>
    <w:uiPriority w:val="0"/>
    <w:pPr>
      <w:spacing w:line="276" w:lineRule="auto"/>
      <w:jc w:val="center"/>
    </w:pPr>
    <w:rPr>
      <w:rFonts w:cs="Arial"/>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3191</Words>
  <Characters>3602</Characters>
  <Lines>1</Lines>
  <Paragraphs>1</Paragraphs>
  <TotalTime>33</TotalTime>
  <ScaleCrop>false</ScaleCrop>
  <LinksUpToDate>false</LinksUpToDate>
  <CharactersWithSpaces>3650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2020-03-31T01:27:00Z</dcterms:created>
  <dc:creator>坤</dc:creator>
  <cp:lastModifiedBy>何国栋</cp:lastModifiedBy>
  <dcterms:modified xsi:type="dcterms:W3CDTF">2025-12-29T02:09:53Z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C82C3F7CDE36497698A50BEB57A8A142_13</vt:lpwstr>
  </property>
  <property fmtid="{D5CDD505-2E9C-101B-9397-08002B2CF9AE}" pid="4" name="KSOTemplateDocerSaveRecord">
    <vt:lpwstr>eyJoZGlkIjoiY2RkOWJjZjZiOGYyYTBmNWI0YmI1Njg4NmI0ZjhmN2YiLCJ1c2VySWQiOiIxNTQwMTMzIn0=</vt:lpwstr>
  </property>
</Properties>
</file>