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B42D8">
      <w:pPr>
        <w:bidi w:val="0"/>
        <w:jc w:val="center"/>
        <w:rPr>
          <w:rFonts w:hint="default"/>
          <w:b/>
          <w:bCs/>
          <w:sz w:val="32"/>
          <w:szCs w:val="24"/>
          <w:lang w:val="en-US" w:eastAsia="zh-CN"/>
        </w:rPr>
      </w:pPr>
      <w:r>
        <w:rPr>
          <w:rFonts w:hint="eastAsia"/>
          <w:b/>
          <w:bCs/>
          <w:sz w:val="32"/>
          <w:szCs w:val="24"/>
          <w:lang w:val="en-US" w:eastAsia="zh-CN"/>
        </w:rPr>
        <w:t>土石方工程招标技术要求</w:t>
      </w:r>
    </w:p>
    <w:p w14:paraId="359BCB24">
      <w:pPr>
        <w:bidi w:val="0"/>
        <w:rPr>
          <w:rFonts w:hint="eastAsia"/>
          <w:b/>
          <w:bCs/>
          <w:lang w:val="en-US" w:eastAsia="zh-CN"/>
        </w:rPr>
      </w:pPr>
      <w:r>
        <w:rPr>
          <w:rFonts w:hint="eastAsia"/>
          <w:b/>
          <w:bCs/>
          <w:lang w:val="en-US" w:eastAsia="zh-CN"/>
        </w:rPr>
        <w:t>一、项目概况</w:t>
      </w:r>
    </w:p>
    <w:p w14:paraId="56B53AE6">
      <w:pPr>
        <w:bidi w:val="0"/>
        <w:rPr>
          <w:rFonts w:hint="eastAsia"/>
          <w:lang w:val="en-US" w:eastAsia="zh-CN"/>
        </w:rPr>
      </w:pPr>
      <w:r>
        <w:rPr>
          <w:rFonts w:hint="eastAsia"/>
          <w:lang w:val="en-US" w:eastAsia="zh-CN"/>
        </w:rPr>
        <w:t>本项目包含三条道路，为均昌路、广湾街、新翠路。其中均昌路北起珠海大道辅道，东接广南路，全长468.167m，道路等级为城市支路，设计速度30km/h；广湾街西接广南路，东接安民街，全长549.210m，道路等级为城市支路，设计速度30km/h；新翠路西接拟建洪湾大道，东北接广昌保障房处，全长966.762m，道路等级为城市支路，设计速度20km/h。</w:t>
      </w:r>
    </w:p>
    <w:p w14:paraId="7421B3E7">
      <w:pPr>
        <w:bidi w:val="0"/>
        <w:rPr>
          <w:rFonts w:hint="eastAsia"/>
        </w:rPr>
      </w:pPr>
      <w:r>
        <w:rPr>
          <w:rFonts w:hint="eastAsia"/>
        </w:rPr>
        <w:t>工程建设内容包括：道路工程、软基工程、交通工程、安监工程、照明工程、绿化工程、管线工程（给水、雨水、污水、缆线管廊）及排洪渠工程等。</w:t>
      </w:r>
    </w:p>
    <w:p w14:paraId="296F1050">
      <w:pPr>
        <w:bidi w:val="0"/>
        <w:rPr>
          <w:rFonts w:hint="eastAsia"/>
          <w:b/>
          <w:bCs/>
          <w:lang w:val="en-US" w:eastAsia="zh-CN"/>
        </w:rPr>
      </w:pPr>
      <w:r>
        <w:rPr>
          <w:rFonts w:hint="eastAsia"/>
          <w:b/>
          <w:bCs/>
          <w:lang w:val="en-US" w:eastAsia="zh-CN"/>
        </w:rPr>
        <w:t>二、土石方工程概况</w:t>
      </w:r>
    </w:p>
    <w:p w14:paraId="7B1D4DB0">
      <w:pPr>
        <w:bidi w:val="0"/>
      </w:pPr>
      <w:r>
        <w:rPr>
          <w:rFonts w:hint="default"/>
        </w:rPr>
        <w:t>项目地点：珠海市广昌保障房周边（均昌路、广湾街、新翠路沿线）</w:t>
      </w:r>
    </w:p>
    <w:p w14:paraId="1FAC37C5">
      <w:pPr>
        <w:bidi w:val="0"/>
      </w:pPr>
      <w:r>
        <w:rPr>
          <w:rFonts w:hint="default"/>
        </w:rPr>
        <w:t>工程性质：民生工程配套基础设施，核心为路基基础施工、边坡治理、场地平整及鱼塘换填，为后续道路、管网等工程提供作业条件。</w:t>
      </w:r>
    </w:p>
    <w:p w14:paraId="203C30B6">
      <w:pPr>
        <w:bidi w:val="0"/>
      </w:pPr>
      <w:r>
        <w:rPr>
          <w:rFonts w:hint="default"/>
        </w:rPr>
        <w:t>地质与环境特点：项目区域涉及鱼塘软基、石方边坡（新翠路）、桩基密集区（均昌路、新翠路），临近保障房居民区</w:t>
      </w:r>
      <w:r>
        <w:rPr>
          <w:rFonts w:hint="eastAsia"/>
          <w:lang w:val="en-US" w:eastAsia="zh-CN"/>
        </w:rPr>
        <w:t>和塞纳、汇威工业园区</w:t>
      </w:r>
      <w:r>
        <w:rPr>
          <w:rFonts w:hint="default"/>
        </w:rPr>
        <w:t>，需严格控制施工噪声、扬尘及爆破安全；珠海地区雨季集中（5-10 月），需做好排水、防坍塌措施，适配沿海地区地质稳定性要求。</w:t>
      </w:r>
    </w:p>
    <w:p w14:paraId="2056673A">
      <w:pPr>
        <w:bidi w:val="0"/>
        <w:rPr>
          <w:rFonts w:hint="default"/>
          <w:b/>
          <w:bCs/>
        </w:rPr>
      </w:pPr>
      <w:r>
        <w:rPr>
          <w:rFonts w:hint="eastAsia"/>
          <w:b/>
          <w:bCs/>
          <w:lang w:val="en-US" w:eastAsia="zh-CN"/>
        </w:rPr>
        <w:t>三、</w:t>
      </w:r>
      <w:r>
        <w:rPr>
          <w:rFonts w:hint="default"/>
          <w:b/>
          <w:bCs/>
        </w:rPr>
        <w:t>施工范围</w:t>
      </w:r>
    </w:p>
    <w:p w14:paraId="74035DDB">
      <w:pPr>
        <w:bidi w:val="0"/>
      </w:pPr>
      <w:r>
        <w:rPr>
          <w:rFonts w:hint="default"/>
        </w:rPr>
        <w:t>路基土方回填、整平压实：均昌路、广湾街、新翠路全线路基，采用现场可利用土方回填（优先利用边坡破除石方、开挖土方），不足部分外购合格土方补充；回填后按设计要求整平压实，满足路基承载力要求。</w:t>
      </w:r>
    </w:p>
    <w:p w14:paraId="4E9369DF">
      <w:pPr>
        <w:bidi w:val="0"/>
      </w:pPr>
      <w:r>
        <w:rPr>
          <w:rFonts w:hint="default"/>
        </w:rPr>
        <w:t>石方边坡爆破：新翠路石方边坡采用静爆或机械爆破（优先静爆，减少扰民），爆破后破除土方用于鱼塘换填；爆破需符合珠海爆破作业管理规定，控制块度及边坡稳定性。</w:t>
      </w:r>
    </w:p>
    <w:p w14:paraId="7FD2B9E3">
      <w:pPr>
        <w:bidi w:val="0"/>
      </w:pPr>
      <w:r>
        <w:rPr>
          <w:rFonts w:hint="default"/>
        </w:rPr>
        <w:t>鱼塘石方换填：新翠路沿线鱼塘区域，先清淤后采用边坡破除的合格石方分层换填，换填厚度按设计要求执行，确保地基承载力</w:t>
      </w:r>
      <w:r>
        <w:rPr>
          <w:rFonts w:hint="eastAsia"/>
          <w:lang w:val="en-US" w:eastAsia="zh-CN"/>
        </w:rPr>
        <w:t>符合设计要求</w:t>
      </w:r>
      <w:r>
        <w:rPr>
          <w:rFonts w:hint="default"/>
        </w:rPr>
        <w:t>。</w:t>
      </w:r>
    </w:p>
    <w:p w14:paraId="10174178">
      <w:pPr>
        <w:bidi w:val="0"/>
      </w:pPr>
      <w:r>
        <w:rPr>
          <w:rFonts w:hint="default"/>
        </w:rPr>
        <w:t>桩间土开挖：均昌路、新翠路桩基密集区，采用机械配合人工开挖桩间土，避免扰动桩身及基底原状土，开挖后及时清运或按指定位置堆放。</w:t>
      </w:r>
    </w:p>
    <w:p w14:paraId="5915D92A">
      <w:pPr>
        <w:bidi w:val="0"/>
        <w:rPr>
          <w:rFonts w:hint="default"/>
        </w:rPr>
      </w:pPr>
      <w:r>
        <w:rPr>
          <w:rFonts w:hint="default"/>
        </w:rPr>
        <w:t>土方 / 石方堆放与处置：可利用土方、石方按发包单位指定场地分类堆放（设标识牌）；不可利用土方、石方（含鱼塘淤泥）需委托珠海备案的余方处置单位，按《珠海市余方弃置管理办法》合规处置，提供处置备案证明及回执</w:t>
      </w:r>
      <w:r>
        <w:rPr>
          <w:rFonts w:hint="eastAsia"/>
          <w:lang w:eastAsia="zh-CN"/>
        </w:rPr>
        <w:t>，</w:t>
      </w:r>
      <w:r>
        <w:rPr>
          <w:rFonts w:hint="eastAsia"/>
          <w:lang w:val="en-US" w:eastAsia="zh-CN"/>
        </w:rPr>
        <w:t>由分包单位负责办理相关手续，总包单位配合提供相关资料</w:t>
      </w:r>
      <w:r>
        <w:rPr>
          <w:rFonts w:hint="default"/>
        </w:rPr>
        <w:t>。</w:t>
      </w:r>
    </w:p>
    <w:p w14:paraId="26DECCDD">
      <w:pPr>
        <w:bidi w:val="0"/>
        <w:rPr>
          <w:rFonts w:hint="default"/>
          <w:b/>
          <w:bCs/>
        </w:rPr>
      </w:pPr>
      <w:r>
        <w:rPr>
          <w:rFonts w:hint="eastAsia"/>
          <w:b/>
          <w:bCs/>
          <w:lang w:val="en-US" w:eastAsia="zh-CN"/>
        </w:rPr>
        <w:t>四、</w:t>
      </w:r>
      <w:r>
        <w:rPr>
          <w:rFonts w:hint="default"/>
          <w:b/>
          <w:bCs/>
        </w:rPr>
        <w:t>施工技术要求</w:t>
      </w:r>
    </w:p>
    <w:p w14:paraId="489FEA2B">
      <w:pPr>
        <w:bidi w:val="0"/>
        <w:rPr>
          <w:rFonts w:hint="default"/>
          <w:b/>
          <w:bCs/>
        </w:rPr>
      </w:pPr>
      <w:r>
        <w:rPr>
          <w:rFonts w:hint="eastAsia"/>
          <w:b/>
          <w:bCs/>
          <w:lang w:val="en-US" w:eastAsia="zh-CN"/>
        </w:rPr>
        <w:t>4.</w:t>
      </w:r>
      <w:r>
        <w:rPr>
          <w:rFonts w:hint="default"/>
          <w:b/>
          <w:bCs/>
        </w:rPr>
        <w:t>1. 路基土方回填技术要求</w:t>
      </w:r>
    </w:p>
    <w:p w14:paraId="7F2953DA">
      <w:pPr>
        <w:bidi w:val="0"/>
        <w:rPr>
          <w:rFonts w:hint="default"/>
          <w:b/>
          <w:bCs/>
        </w:rPr>
      </w:pPr>
      <w:r>
        <w:rPr>
          <w:rFonts w:hint="eastAsia"/>
          <w:b/>
          <w:bCs/>
          <w:lang w:val="en-US" w:eastAsia="zh-CN"/>
        </w:rPr>
        <w:t>4.</w:t>
      </w:r>
      <w:r>
        <w:rPr>
          <w:rFonts w:hint="default"/>
          <w:b/>
          <w:bCs/>
        </w:rPr>
        <w:t>1.1 施工测量</w:t>
      </w:r>
    </w:p>
    <w:p w14:paraId="1FBC9CB3">
      <w:pPr>
        <w:bidi w:val="0"/>
      </w:pPr>
      <w:r>
        <w:rPr>
          <w:rFonts w:hint="eastAsia"/>
          <w:lang w:val="en-US" w:eastAsia="zh-CN"/>
        </w:rPr>
        <w:t>1）</w:t>
      </w:r>
      <w:r>
        <w:rPr>
          <w:rFonts w:hint="default"/>
        </w:rPr>
        <w:t>测量准备：</w:t>
      </w:r>
    </w:p>
    <w:p w14:paraId="6338D3D4">
      <w:pPr>
        <w:bidi w:val="0"/>
      </w:pPr>
      <w:r>
        <w:rPr>
          <w:rFonts w:hint="default"/>
        </w:rPr>
        <w:t>采用全站仪（测角精度≤2″，测距精度≤2mm+2ppm）、DS05 级水准仪进行测量，测量前需对仪器进行标定（提供珠海检测机构标定证书），并复核设计控制点（平面控制点、高程控制点），签署《测量控制点复核记录》。</w:t>
      </w:r>
    </w:p>
    <w:p w14:paraId="7070AE4D">
      <w:pPr>
        <w:bidi w:val="0"/>
      </w:pPr>
      <w:r>
        <w:rPr>
          <w:rFonts w:hint="eastAsia"/>
          <w:lang w:val="en-US" w:eastAsia="zh-CN"/>
        </w:rPr>
        <w:t>2）</w:t>
      </w:r>
      <w:r>
        <w:rPr>
          <w:rFonts w:hint="default"/>
        </w:rPr>
        <w:t>中线测量：</w:t>
      </w:r>
    </w:p>
    <w:p w14:paraId="6B5B29CE">
      <w:pPr>
        <w:bidi w:val="0"/>
      </w:pPr>
      <w:r>
        <w:rPr>
          <w:rFonts w:hint="default"/>
        </w:rPr>
        <w:t>按设计线路每隔 20m（曲线段每隔 10m）设置中线桩，桩身标注桩号、设计高程；采用全站仪极坐标法测设，中线偏差≤10mm，每 50m 复核 1 次，复核结果需监理见证。</w:t>
      </w:r>
    </w:p>
    <w:p w14:paraId="2E595BF8">
      <w:pPr>
        <w:bidi w:val="0"/>
      </w:pPr>
      <w:r>
        <w:rPr>
          <w:rFonts w:hint="default"/>
        </w:rPr>
        <w:t>关键节点（如交叉口、超高加宽起点 / 终点）增设加密桩（间距 5m），确保中线顺直度。</w:t>
      </w:r>
    </w:p>
    <w:p w14:paraId="2E0569B9">
      <w:pPr>
        <w:bidi w:val="0"/>
      </w:pPr>
      <w:r>
        <w:rPr>
          <w:rFonts w:hint="eastAsia"/>
          <w:lang w:val="en-US" w:eastAsia="zh-CN"/>
        </w:rPr>
        <w:t>3）</w:t>
      </w:r>
      <w:r>
        <w:rPr>
          <w:rFonts w:hint="default"/>
        </w:rPr>
        <w:t>边线测量：</w:t>
      </w:r>
    </w:p>
    <w:p w14:paraId="000EA9DB">
      <w:pPr>
        <w:bidi w:val="0"/>
      </w:pPr>
      <w:r>
        <w:rPr>
          <w:rFonts w:hint="default"/>
        </w:rPr>
        <w:t>依据中线桩及设计路基宽度（含超高加宽富余量），测设路基两侧边线桩，边线桩间距 20m，标注路基设计高程及加宽值；边线偏差≤15mm，测设后用白灰撒出边线轮廓。</w:t>
      </w:r>
    </w:p>
    <w:p w14:paraId="1B875AE0">
      <w:pPr>
        <w:bidi w:val="0"/>
      </w:pPr>
      <w:r>
        <w:rPr>
          <w:rFonts w:hint="default"/>
        </w:rPr>
        <w:t>临近保障房侧边线需预留≥1.5m 安全距离，避免施工扰动房屋基础，安全距离内回填需采用小型机械作业。</w:t>
      </w:r>
    </w:p>
    <w:p w14:paraId="5278CBF7">
      <w:pPr>
        <w:bidi w:val="0"/>
      </w:pPr>
      <w:r>
        <w:rPr>
          <w:rFonts w:hint="eastAsia"/>
          <w:lang w:val="en-US" w:eastAsia="zh-CN"/>
        </w:rPr>
        <w:t>4）</w:t>
      </w:r>
      <w:r>
        <w:rPr>
          <w:rFonts w:hint="default"/>
        </w:rPr>
        <w:t>土方方格网测量</w:t>
      </w:r>
    </w:p>
    <w:p w14:paraId="13951AF5">
      <w:pPr>
        <w:bidi w:val="0"/>
      </w:pPr>
      <w:r>
        <w:rPr>
          <w:rFonts w:hint="default"/>
        </w:rPr>
        <w:t>回填区域按 20m×20m（复杂地形 10m×10m）布设土方方格网，测量每个方格角点的原始地面高程，绘制方格网高程图，计算回填工程量（经发包单位、监理单位复核确认）。</w:t>
      </w:r>
    </w:p>
    <w:p w14:paraId="68E06FFB">
      <w:pPr>
        <w:bidi w:val="0"/>
      </w:pPr>
      <w:r>
        <w:rPr>
          <w:rFonts w:hint="default"/>
        </w:rPr>
        <w:t>回填过程中，每完成一层压实后，测量该层方格网角点高程，计算层厚及压实沉降量，确保分层厚度符合要求。</w:t>
      </w:r>
    </w:p>
    <w:p w14:paraId="15ACB56F">
      <w:pPr>
        <w:bidi w:val="0"/>
        <w:rPr>
          <w:rFonts w:hint="default"/>
          <w:b/>
          <w:bCs/>
        </w:rPr>
      </w:pPr>
      <w:r>
        <w:rPr>
          <w:rFonts w:hint="eastAsia"/>
          <w:b/>
          <w:bCs/>
          <w:lang w:val="en-US" w:eastAsia="zh-CN"/>
        </w:rPr>
        <w:t>4.</w:t>
      </w:r>
      <w:r>
        <w:rPr>
          <w:rFonts w:hint="default"/>
          <w:b/>
          <w:bCs/>
        </w:rPr>
        <w:t>1.2 回填材料要求</w:t>
      </w:r>
    </w:p>
    <w:p w14:paraId="3AE62E12">
      <w:pPr>
        <w:bidi w:val="0"/>
        <w:rPr>
          <w:rFonts w:hint="default"/>
        </w:rPr>
      </w:pPr>
      <w:r>
        <w:rPr>
          <w:rFonts w:hint="default"/>
        </w:rPr>
        <w:t>可利用土方：含泥量≤5%，有机质含量≤1%，粒径≤100mm，无建筑垃圾、腐殖土、冻土、膨胀土、盐渍土；需经土样检测合格后方可使用。</w:t>
      </w:r>
    </w:p>
    <w:p w14:paraId="70C13A40">
      <w:pPr>
        <w:bidi w:val="0"/>
      </w:pPr>
      <w:r>
        <w:rPr>
          <w:rFonts w:hint="eastAsia"/>
          <w:sz w:val="24"/>
          <w:szCs w:val="20"/>
        </w:rPr>
        <w:t>液限大于50%、塑性指数大于26的细粒土，不得直接作为路堤填料</w:t>
      </w:r>
    </w:p>
    <w:p w14:paraId="11BC10DE">
      <w:pPr>
        <w:bidi w:val="0"/>
      </w:pPr>
      <w:r>
        <w:rPr>
          <w:rFonts w:hint="default"/>
        </w:rPr>
        <w:t>外购土方：选用珠海本地备案合格土源（提供 “珠建材备 - 2025-XX” 备案证），颗粒级配连续，采用粉质黏土或砂壤土（塑性指数 12-20），严禁使用淤泥、沼泽土、生活垃圾等不合格土类。</w:t>
      </w:r>
    </w:p>
    <w:p w14:paraId="406258A3">
      <w:pPr>
        <w:bidi w:val="0"/>
        <w:rPr>
          <w:rFonts w:hint="default"/>
          <w:b/>
          <w:bCs/>
        </w:rPr>
      </w:pPr>
      <w:r>
        <w:rPr>
          <w:rFonts w:hint="eastAsia"/>
          <w:b/>
          <w:bCs/>
          <w:lang w:val="en-US" w:eastAsia="zh-CN"/>
        </w:rPr>
        <w:t>4.</w:t>
      </w:r>
      <w:r>
        <w:rPr>
          <w:rFonts w:hint="default"/>
          <w:b/>
          <w:bCs/>
        </w:rPr>
        <w:t>1.3 施工工艺</w:t>
      </w:r>
    </w:p>
    <w:p w14:paraId="3F9A223D">
      <w:pPr>
        <w:bidi w:val="0"/>
      </w:pPr>
      <w:r>
        <w:rPr>
          <w:rFonts w:hint="eastAsia"/>
          <w:lang w:val="en-US" w:eastAsia="zh-CN"/>
        </w:rPr>
        <w:t>1）</w:t>
      </w:r>
      <w:r>
        <w:rPr>
          <w:rFonts w:hint="default"/>
        </w:rPr>
        <w:t>土方回填</w:t>
      </w:r>
    </w:p>
    <w:p w14:paraId="1E151F74">
      <w:pPr>
        <w:bidi w:val="0"/>
      </w:pPr>
      <w:r>
        <w:rPr>
          <w:rFonts w:hint="default"/>
        </w:rPr>
        <w:t>回填顺序：按 “从低到高、对称回填” 原则，路基横断面从两侧向中间回填，纵向从起点向终点推进，避免单侧回填高差≥50cm，防止路基偏移。</w:t>
      </w:r>
    </w:p>
    <w:p w14:paraId="50967817">
      <w:pPr>
        <w:bidi w:val="0"/>
      </w:pPr>
      <w:r>
        <w:rPr>
          <w:rFonts w:hint="default"/>
        </w:rPr>
        <w:t>回填方式：可利用土方采用挖掘机配合装载机转运至回填区域，外购土方采用密闭式运输车运输，按方格网定量卸料（每方格卸料量根据设计层厚计算），避免超量或不足。</w:t>
      </w:r>
    </w:p>
    <w:p w14:paraId="210F2014">
      <w:pPr>
        <w:bidi w:val="0"/>
      </w:pPr>
      <w:r>
        <w:rPr>
          <w:rFonts w:hint="default"/>
        </w:rPr>
        <w:t>卸料控制：卸料点间距≤5m，车辆行驶路线沿路基边线外侧设置的临时便道，严禁直接在未压实土层上行驶，避免碾压扰动基底。</w:t>
      </w:r>
    </w:p>
    <w:p w14:paraId="165A8405">
      <w:pPr>
        <w:bidi w:val="0"/>
      </w:pPr>
      <w:r>
        <w:rPr>
          <w:rFonts w:hint="eastAsia"/>
          <w:lang w:val="en-US" w:eastAsia="zh-CN"/>
        </w:rPr>
        <w:t>2）</w:t>
      </w:r>
      <w:r>
        <w:rPr>
          <w:rFonts w:hint="default"/>
        </w:rPr>
        <w:t>土方摊</w:t>
      </w:r>
      <w:r>
        <w:rPr>
          <w:rFonts w:hint="eastAsia"/>
          <w:lang w:val="en-US" w:eastAsia="zh-CN"/>
        </w:rPr>
        <w:t>铺</w:t>
      </w:r>
      <w:r>
        <w:rPr>
          <w:rFonts w:hint="default"/>
        </w:rPr>
        <w:t>：</w:t>
      </w:r>
    </w:p>
    <w:p w14:paraId="7811D505">
      <w:pPr>
        <w:bidi w:val="0"/>
      </w:pPr>
      <w:r>
        <w:rPr>
          <w:rFonts w:hint="default"/>
        </w:rPr>
        <w:t>采用推土机粗平、平地机精平，摊平方向与路基中线平行，确保土层均匀分布；摊平过程中人工捡除粒径＞100mm 的石块、杂物。</w:t>
      </w:r>
    </w:p>
    <w:p w14:paraId="39E5415B">
      <w:pPr>
        <w:bidi w:val="0"/>
      </w:pPr>
      <w:r>
        <w:rPr>
          <w:rFonts w:hint="default"/>
        </w:rPr>
        <w:t>摊平厚度：按设计分层厚度控制（机械压实≤30cm，人工夯实≤20cm），最后一层回填厚度</w:t>
      </w:r>
      <w:r>
        <w:rPr>
          <w:rFonts w:hint="eastAsia"/>
          <w:lang w:val="en-US" w:eastAsia="zh-CN"/>
        </w:rPr>
        <w:t>不小于</w:t>
      </w:r>
      <w:r>
        <w:rPr>
          <w:rFonts w:hint="default"/>
        </w:rPr>
        <w:t>1</w:t>
      </w:r>
      <w:r>
        <w:rPr>
          <w:rFonts w:hint="eastAsia"/>
          <w:lang w:val="en-US" w:eastAsia="zh-CN"/>
        </w:rPr>
        <w:t>0</w:t>
      </w:r>
      <w:r>
        <w:rPr>
          <w:rFonts w:hint="default"/>
        </w:rPr>
        <w:t>cm（确保顶面压实度达标），摊平后用钢尺检测层厚，偏差 ±2cm。</w:t>
      </w:r>
    </w:p>
    <w:p w14:paraId="739D80D0">
      <w:pPr>
        <w:bidi w:val="0"/>
      </w:pPr>
      <w:r>
        <w:rPr>
          <w:rFonts w:hint="eastAsia"/>
          <w:lang w:val="en-US" w:eastAsia="zh-CN"/>
        </w:rPr>
        <w:t>3）</w:t>
      </w:r>
      <w:r>
        <w:rPr>
          <w:rFonts w:hint="default"/>
        </w:rPr>
        <w:t>分层压实：</w:t>
      </w:r>
    </w:p>
    <w:p w14:paraId="101FE3D7">
      <w:pPr>
        <w:bidi w:val="0"/>
      </w:pPr>
      <w:r>
        <w:rPr>
          <w:rFonts w:hint="default"/>
        </w:rPr>
        <w:t>压实设备：采用 15t 振动压路机（激振力≥250kN），临近保障房侧或狭窄区域采用小型振动压路机（吨位≤5t）或电动冲击夯。</w:t>
      </w:r>
    </w:p>
    <w:p w14:paraId="028980FF">
      <w:pPr>
        <w:bidi w:val="0"/>
      </w:pPr>
      <w:r>
        <w:rPr>
          <w:rFonts w:hint="default"/>
        </w:rPr>
        <w:t>压实顺序：“先慢后快、先边后中、先轻后重”，碾压速度初压≤2km/h，复压≤3km/h，终压≤4km/h；碾压遍数≥6 遍，直至表面无明显轮迹，轮迹重叠宽度≥1/3 轮宽。</w:t>
      </w:r>
    </w:p>
    <w:p w14:paraId="03F928F4">
      <w:pPr>
        <w:bidi w:val="0"/>
      </w:pPr>
      <w:r>
        <w:rPr>
          <w:rFonts w:hint="default"/>
        </w:rPr>
        <w:t>特殊区域压实：路基边坡（距边线 50cm 范围内）采用斜向碾压（与边线成 45° 角），超高加宽段需按设计横坡分层调整压实方向，确保压实均匀。</w:t>
      </w:r>
    </w:p>
    <w:p w14:paraId="49CE6AB3">
      <w:pPr>
        <w:bidi w:val="0"/>
      </w:pPr>
      <w:r>
        <w:rPr>
          <w:rFonts w:hint="eastAsia"/>
          <w:lang w:val="en-US" w:eastAsia="zh-CN"/>
        </w:rPr>
        <w:t>4）</w:t>
      </w:r>
      <w:r>
        <w:rPr>
          <w:rFonts w:hint="default"/>
        </w:rPr>
        <w:t>土工试验（压实度检测）：</w:t>
      </w:r>
    </w:p>
    <w:p w14:paraId="1F5D7F3E">
      <w:pPr>
        <w:bidi w:val="0"/>
      </w:pPr>
      <w:r>
        <w:rPr>
          <w:rFonts w:hint="default"/>
        </w:rPr>
        <w:t>检测时机：每层压实完成后，及时进行压实度检测，检测合格后方可进行下一层回填；若检测不合格，需重新碾压（增加 2-3 遍）后复检，直至达标。</w:t>
      </w:r>
    </w:p>
    <w:p w14:paraId="2F4CD369">
      <w:pPr>
        <w:bidi w:val="0"/>
      </w:pPr>
      <w:r>
        <w:rPr>
          <w:rFonts w:hint="default"/>
        </w:rPr>
        <w:t>检测方法：采用环刀法（黏性土）或灌砂法（砂性土、石方换填层），检测点随机分布，避开压路机轮迹中心，每 1000㎡≥3 点（珠海监理见证），不足 1000㎡按 1000㎡计。</w:t>
      </w:r>
    </w:p>
    <w:p w14:paraId="35F0937F">
      <w:pPr>
        <w:bidi w:val="0"/>
      </w:pPr>
      <w:r>
        <w:rPr>
          <w:rFonts w:hint="default"/>
        </w:rPr>
        <w:t>试验报告：检测由</w:t>
      </w:r>
      <w:r>
        <w:rPr>
          <w:rFonts w:hint="eastAsia"/>
          <w:lang w:val="en-US" w:eastAsia="zh-CN"/>
        </w:rPr>
        <w:t>珠海市质量监督检测站</w:t>
      </w:r>
      <w:r>
        <w:rPr>
          <w:rFonts w:hint="default"/>
        </w:rPr>
        <w:t>完成，出具 CMA 认证检测报告，报告需注明检测部位、桩号、层厚、压实度值，同步拍摄检测过程影像（含检测人员、设备、数据）。</w:t>
      </w:r>
    </w:p>
    <w:p w14:paraId="014380B7">
      <w:pPr>
        <w:bidi w:val="0"/>
        <w:rPr>
          <w:b/>
          <w:bCs/>
        </w:rPr>
      </w:pPr>
      <w:r>
        <w:rPr>
          <w:rFonts w:hint="eastAsia"/>
          <w:b/>
          <w:bCs/>
          <w:lang w:val="en-US" w:eastAsia="zh-CN"/>
        </w:rPr>
        <w:t>4.2</w:t>
      </w:r>
      <w:r>
        <w:rPr>
          <w:rFonts w:hint="default"/>
          <w:b/>
          <w:bCs/>
        </w:rPr>
        <w:t>石方边坡爆破技术要求</w:t>
      </w:r>
    </w:p>
    <w:p w14:paraId="50CD4883">
      <w:pPr>
        <w:bidi w:val="0"/>
        <w:rPr>
          <w:b/>
          <w:bCs/>
        </w:rPr>
      </w:pPr>
      <w:r>
        <w:rPr>
          <w:rFonts w:hint="eastAsia"/>
          <w:b/>
          <w:bCs/>
          <w:lang w:val="en-US" w:eastAsia="zh-CN"/>
        </w:rPr>
        <w:t>4.2.1</w:t>
      </w:r>
      <w:r>
        <w:rPr>
          <w:rFonts w:hint="default"/>
          <w:b/>
          <w:bCs/>
          <w:lang w:val="en-US" w:eastAsia="zh-CN"/>
        </w:rPr>
        <w:t>爆破方式选择</w:t>
      </w:r>
    </w:p>
    <w:p w14:paraId="710FF06B">
      <w:pPr>
        <w:bidi w:val="0"/>
        <w:rPr>
          <w:rFonts w:hint="default" w:eastAsia="宋体"/>
          <w:lang w:val="en-US" w:eastAsia="zh-CN"/>
        </w:rPr>
      </w:pPr>
      <w:r>
        <w:rPr>
          <w:rFonts w:hint="default"/>
        </w:rPr>
        <w:t>优先采用静态爆破（液压劈裂机）</w:t>
      </w:r>
      <w:r>
        <w:rPr>
          <w:rFonts w:hint="eastAsia"/>
          <w:lang w:val="en-US" w:eastAsia="zh-CN"/>
        </w:rPr>
        <w:t>或静力爆破</w:t>
      </w:r>
      <w:r>
        <w:rPr>
          <w:rFonts w:hint="default"/>
        </w:rPr>
        <w:t>，适用于临近</w:t>
      </w:r>
      <w:r>
        <w:rPr>
          <w:rFonts w:hint="eastAsia"/>
          <w:lang w:val="en-US" w:eastAsia="zh-CN"/>
        </w:rPr>
        <w:t>厂区、工业园或民宅</w:t>
      </w:r>
      <w:r>
        <w:rPr>
          <w:rFonts w:hint="default"/>
        </w:rPr>
        <w:t xml:space="preserve"> 30m 范围内及桩基密集区，无振动、低噪声（≤65dB）</w:t>
      </w:r>
      <w:r>
        <w:rPr>
          <w:rFonts w:hint="eastAsia"/>
          <w:lang w:eastAsia="zh-CN"/>
        </w:rPr>
        <w:t>；</w:t>
      </w:r>
      <w:r>
        <w:rPr>
          <w:rFonts w:hint="eastAsia"/>
          <w:lang w:val="en-US" w:eastAsia="zh-CN"/>
        </w:rPr>
        <w:t>其它区域可以选用机械爆破。</w:t>
      </w:r>
    </w:p>
    <w:p w14:paraId="2B689C13">
      <w:pPr>
        <w:bidi w:val="0"/>
      </w:pPr>
      <w:r>
        <w:rPr>
          <w:rFonts w:hint="default"/>
        </w:rPr>
        <w:t>石方量大且远离居民区（≥50m）区域，可采用机械爆破（液压锤破碎），严禁使用炸药爆破；</w:t>
      </w:r>
    </w:p>
    <w:p w14:paraId="6BE80BB2">
      <w:pPr>
        <w:bidi w:val="0"/>
      </w:pPr>
      <w:r>
        <w:rPr>
          <w:rFonts w:hint="default"/>
        </w:rPr>
        <w:t>所有爆破方式需提前办理《珠海市爆破作业许可证》，专项方案经珠海公安、住建、环保部门及发包单位、监理单位联合审批。</w:t>
      </w:r>
    </w:p>
    <w:p w14:paraId="235533F8">
      <w:pPr>
        <w:bidi w:val="0"/>
        <w:rPr>
          <w:b/>
          <w:bCs/>
        </w:rPr>
      </w:pPr>
      <w:r>
        <w:rPr>
          <w:rFonts w:hint="eastAsia"/>
          <w:b/>
          <w:bCs/>
          <w:lang w:val="en-US" w:eastAsia="zh-CN"/>
        </w:rPr>
        <w:t>4.2.2</w:t>
      </w:r>
      <w:r>
        <w:rPr>
          <w:rFonts w:hint="default"/>
          <w:b/>
          <w:bCs/>
          <w:lang w:val="en-US" w:eastAsia="zh-CN"/>
        </w:rPr>
        <w:t>爆破参数控制</w:t>
      </w:r>
    </w:p>
    <w:p w14:paraId="3C0E990C">
      <w:pPr>
        <w:bidi w:val="0"/>
        <w:rPr>
          <w:rFonts w:hint="default"/>
        </w:rPr>
      </w:pPr>
      <w:r>
        <w:rPr>
          <w:rFonts w:hint="default"/>
        </w:rPr>
        <w:t>静态爆破：劈裂孔间距 30-50cm，孔深≥50cm，孔径 40-50mm，控制石方块度≤50cm（便于换填利用），单孔劈裂时间≤10 分钟，避免集中作业产生共振。</w:t>
      </w:r>
    </w:p>
    <w:p w14:paraId="1B2423D0">
      <w:pPr>
        <w:bidi w:val="0"/>
        <w:rPr>
          <w:rFonts w:hint="eastAsia"/>
          <w:lang w:val="en-US" w:eastAsia="zh-CN"/>
        </w:rPr>
      </w:pPr>
      <w:r>
        <w:rPr>
          <w:rFonts w:hint="eastAsia"/>
          <w:lang w:val="en-US" w:eastAsia="zh-CN"/>
        </w:rPr>
        <w:t>静力爆破：</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986"/>
        <w:gridCol w:w="1789"/>
        <w:gridCol w:w="3083"/>
        <w:gridCol w:w="3924"/>
      </w:tblGrid>
      <w:tr w14:paraId="0EE4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trPr>
        <w:tc>
          <w:tcPr>
            <w:tcW w:w="0" w:type="auto"/>
            <w:shd w:val="clear" w:color="auto" w:fill="F2F2F2"/>
            <w:tcMar>
              <w:top w:w="180" w:type="dxa"/>
              <w:left w:w="270" w:type="dxa"/>
              <w:bottom w:w="180" w:type="dxa"/>
              <w:right w:w="270" w:type="dxa"/>
            </w:tcMar>
            <w:vAlign w:val="center"/>
          </w:tcPr>
          <w:p w14:paraId="30A3DA41">
            <w:pPr>
              <w:pStyle w:val="46"/>
              <w:bidi w:val="0"/>
            </w:pPr>
            <w:r>
              <w:rPr>
                <w:rFonts w:hint="default"/>
                <w:lang w:val="en-US" w:eastAsia="zh-CN"/>
              </w:rPr>
              <w:t>参数类别</w:t>
            </w:r>
          </w:p>
        </w:tc>
        <w:tc>
          <w:tcPr>
            <w:tcW w:w="0" w:type="auto"/>
            <w:shd w:val="clear" w:color="auto" w:fill="F2F2F2"/>
            <w:tcMar>
              <w:top w:w="180" w:type="dxa"/>
              <w:left w:w="270" w:type="dxa"/>
              <w:bottom w:w="180" w:type="dxa"/>
              <w:right w:w="270" w:type="dxa"/>
            </w:tcMar>
            <w:vAlign w:val="center"/>
          </w:tcPr>
          <w:p w14:paraId="09E1AFBE">
            <w:pPr>
              <w:pStyle w:val="46"/>
              <w:bidi w:val="0"/>
              <w:rPr>
                <w:rFonts w:hint="default"/>
              </w:rPr>
            </w:pPr>
            <w:r>
              <w:rPr>
                <w:rFonts w:hint="default"/>
                <w:lang w:val="en-US" w:eastAsia="zh-CN"/>
              </w:rPr>
              <w:t>参数名称</w:t>
            </w:r>
          </w:p>
        </w:tc>
        <w:tc>
          <w:tcPr>
            <w:tcW w:w="3083" w:type="dxa"/>
            <w:shd w:val="clear" w:color="auto" w:fill="F2F2F2"/>
            <w:tcMar>
              <w:top w:w="180" w:type="dxa"/>
              <w:left w:w="270" w:type="dxa"/>
              <w:bottom w:w="180" w:type="dxa"/>
              <w:right w:w="270" w:type="dxa"/>
            </w:tcMar>
            <w:vAlign w:val="center"/>
          </w:tcPr>
          <w:p w14:paraId="40DB6154">
            <w:pPr>
              <w:pStyle w:val="46"/>
              <w:bidi w:val="0"/>
              <w:rPr>
                <w:rFonts w:hint="default"/>
              </w:rPr>
            </w:pPr>
            <w:r>
              <w:rPr>
                <w:rFonts w:hint="default"/>
                <w:lang w:val="en-US" w:eastAsia="zh-CN"/>
              </w:rPr>
              <w:t>数值范围</w:t>
            </w:r>
          </w:p>
        </w:tc>
        <w:tc>
          <w:tcPr>
            <w:tcW w:w="3924" w:type="dxa"/>
            <w:shd w:val="clear" w:color="auto" w:fill="F2F2F2"/>
            <w:tcMar>
              <w:top w:w="180" w:type="dxa"/>
              <w:left w:w="270" w:type="dxa"/>
              <w:bottom w:w="180" w:type="dxa"/>
              <w:right w:w="270" w:type="dxa"/>
            </w:tcMar>
            <w:vAlign w:val="center"/>
          </w:tcPr>
          <w:p w14:paraId="03FA1FB2">
            <w:pPr>
              <w:pStyle w:val="46"/>
              <w:bidi w:val="0"/>
              <w:rPr>
                <w:rFonts w:hint="default"/>
              </w:rPr>
            </w:pPr>
            <w:r>
              <w:rPr>
                <w:rFonts w:hint="default"/>
                <w:lang w:val="en-US" w:eastAsia="zh-CN"/>
              </w:rPr>
              <w:t>计算公式 / 说明</w:t>
            </w:r>
          </w:p>
        </w:tc>
      </w:tr>
      <w:tr w14:paraId="5357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FFFFFF"/>
            <w:tcMar>
              <w:top w:w="180" w:type="dxa"/>
              <w:left w:w="270" w:type="dxa"/>
              <w:bottom w:w="180" w:type="dxa"/>
              <w:right w:w="270" w:type="dxa"/>
            </w:tcMar>
            <w:vAlign w:val="center"/>
          </w:tcPr>
          <w:p w14:paraId="16474479">
            <w:pPr>
              <w:pStyle w:val="46"/>
              <w:bidi w:val="0"/>
              <w:rPr>
                <w:rFonts w:hint="default"/>
              </w:rPr>
            </w:pPr>
            <w:r>
              <w:rPr>
                <w:rFonts w:hint="default"/>
                <w:lang w:val="en-US" w:eastAsia="zh-CN"/>
              </w:rPr>
              <w:t>钻孔参数</w:t>
            </w:r>
          </w:p>
        </w:tc>
        <w:tc>
          <w:tcPr>
            <w:tcW w:w="0" w:type="auto"/>
            <w:shd w:val="clear" w:color="auto" w:fill="FFFFFF"/>
            <w:tcMar>
              <w:top w:w="180" w:type="dxa"/>
              <w:left w:w="270" w:type="dxa"/>
              <w:bottom w:w="180" w:type="dxa"/>
              <w:right w:w="270" w:type="dxa"/>
            </w:tcMar>
            <w:vAlign w:val="center"/>
          </w:tcPr>
          <w:p w14:paraId="60266F88">
            <w:pPr>
              <w:pStyle w:val="46"/>
              <w:bidi w:val="0"/>
              <w:rPr>
                <w:rFonts w:hint="default"/>
              </w:rPr>
            </w:pPr>
            <w:r>
              <w:rPr>
                <w:rFonts w:hint="default"/>
                <w:lang w:val="en-US" w:eastAsia="zh-CN"/>
              </w:rPr>
              <w:t>孔径 (mm)</w:t>
            </w:r>
          </w:p>
        </w:tc>
        <w:tc>
          <w:tcPr>
            <w:tcW w:w="3083" w:type="dxa"/>
            <w:shd w:val="clear" w:color="auto" w:fill="FFFFFF"/>
            <w:tcMar>
              <w:top w:w="180" w:type="dxa"/>
              <w:left w:w="270" w:type="dxa"/>
              <w:bottom w:w="180" w:type="dxa"/>
              <w:right w:w="270" w:type="dxa"/>
            </w:tcMar>
            <w:vAlign w:val="center"/>
          </w:tcPr>
          <w:p w14:paraId="2FBF30D4">
            <w:pPr>
              <w:pStyle w:val="46"/>
              <w:bidi w:val="0"/>
              <w:rPr>
                <w:rFonts w:hint="default"/>
              </w:rPr>
            </w:pPr>
            <w:r>
              <w:rPr>
                <w:rFonts w:hint="default"/>
                <w:lang w:val="en-US" w:eastAsia="zh-CN"/>
              </w:rPr>
              <w:t>38-50</w:t>
            </w:r>
          </w:p>
        </w:tc>
        <w:tc>
          <w:tcPr>
            <w:tcW w:w="3924" w:type="dxa"/>
            <w:shd w:val="clear" w:color="auto" w:fill="FFFFFF"/>
            <w:tcMar>
              <w:top w:w="180" w:type="dxa"/>
              <w:left w:w="270" w:type="dxa"/>
              <w:bottom w:w="180" w:type="dxa"/>
              <w:right w:w="270" w:type="dxa"/>
            </w:tcMar>
            <w:vAlign w:val="center"/>
          </w:tcPr>
          <w:p w14:paraId="47988553">
            <w:pPr>
              <w:pStyle w:val="46"/>
              <w:bidi w:val="0"/>
              <w:rPr>
                <w:rFonts w:hint="default"/>
              </w:rPr>
            </w:pPr>
            <w:r>
              <w:rPr>
                <w:rFonts w:hint="default"/>
                <w:lang w:val="en-US" w:eastAsia="zh-CN"/>
              </w:rPr>
              <w:t>标准 40-42mm</w:t>
            </w:r>
          </w:p>
        </w:tc>
      </w:tr>
      <w:tr w14:paraId="210D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FFFFFF"/>
            <w:tcMar>
              <w:top w:w="180" w:type="dxa"/>
              <w:left w:w="270" w:type="dxa"/>
              <w:bottom w:w="180" w:type="dxa"/>
              <w:right w:w="270" w:type="dxa"/>
            </w:tcMar>
            <w:vAlign w:val="center"/>
          </w:tcPr>
          <w:p w14:paraId="2AD20035">
            <w:pPr>
              <w:pStyle w:val="46"/>
              <w:bidi w:val="0"/>
              <w:rPr>
                <w:rFonts w:hint="default"/>
              </w:rPr>
            </w:pPr>
          </w:p>
        </w:tc>
        <w:tc>
          <w:tcPr>
            <w:tcW w:w="0" w:type="auto"/>
            <w:shd w:val="clear" w:color="auto" w:fill="FFFFFF"/>
            <w:tcMar>
              <w:top w:w="180" w:type="dxa"/>
              <w:left w:w="270" w:type="dxa"/>
              <w:bottom w:w="180" w:type="dxa"/>
              <w:right w:w="270" w:type="dxa"/>
            </w:tcMar>
            <w:vAlign w:val="center"/>
          </w:tcPr>
          <w:p w14:paraId="2CBF8099">
            <w:pPr>
              <w:pStyle w:val="46"/>
              <w:bidi w:val="0"/>
              <w:rPr>
                <w:rFonts w:hint="default"/>
              </w:rPr>
            </w:pPr>
            <w:r>
              <w:rPr>
                <w:rFonts w:hint="default"/>
                <w:lang w:val="en-US" w:eastAsia="zh-CN"/>
              </w:rPr>
              <w:t>孔距 (m)</w:t>
            </w:r>
          </w:p>
        </w:tc>
        <w:tc>
          <w:tcPr>
            <w:tcW w:w="3083" w:type="dxa"/>
            <w:shd w:val="clear" w:color="auto" w:fill="FFFFFF"/>
            <w:tcMar>
              <w:top w:w="180" w:type="dxa"/>
              <w:left w:w="270" w:type="dxa"/>
              <w:bottom w:w="180" w:type="dxa"/>
              <w:right w:w="270" w:type="dxa"/>
            </w:tcMar>
            <w:vAlign w:val="center"/>
          </w:tcPr>
          <w:p w14:paraId="0FC14515">
            <w:pPr>
              <w:pStyle w:val="46"/>
              <w:bidi w:val="0"/>
              <w:rPr>
                <w:rFonts w:hint="default"/>
              </w:rPr>
            </w:pPr>
            <w:r>
              <w:rPr>
                <w:rFonts w:hint="default"/>
                <w:lang w:val="en-US" w:eastAsia="zh-CN"/>
              </w:rPr>
              <w:t>0.3-0.5</w:t>
            </w:r>
          </w:p>
        </w:tc>
        <w:tc>
          <w:tcPr>
            <w:tcW w:w="3924" w:type="dxa"/>
            <w:shd w:val="clear" w:color="auto" w:fill="FFFFFF"/>
            <w:tcMar>
              <w:top w:w="180" w:type="dxa"/>
              <w:left w:w="270" w:type="dxa"/>
              <w:bottom w:w="180" w:type="dxa"/>
              <w:right w:w="270" w:type="dxa"/>
            </w:tcMar>
            <w:vAlign w:val="center"/>
          </w:tcPr>
          <w:p w14:paraId="06016E9F">
            <w:pPr>
              <w:pStyle w:val="46"/>
              <w:bidi w:val="0"/>
              <w:rPr>
                <w:rFonts w:hint="default"/>
              </w:rPr>
            </w:pPr>
            <w:r>
              <w:rPr>
                <w:rFonts w:hint="default"/>
                <w:lang w:val="en-US" w:eastAsia="zh-CN"/>
              </w:rPr>
              <w:t>坚硬岩取 0.3-0.4，风化岩取 0.4-0.5</w:t>
            </w:r>
          </w:p>
        </w:tc>
      </w:tr>
      <w:tr w14:paraId="6B73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FFFFFF"/>
            <w:tcMar>
              <w:top w:w="180" w:type="dxa"/>
              <w:left w:w="270" w:type="dxa"/>
              <w:bottom w:w="180" w:type="dxa"/>
              <w:right w:w="270" w:type="dxa"/>
            </w:tcMar>
            <w:vAlign w:val="center"/>
          </w:tcPr>
          <w:p w14:paraId="22476E77">
            <w:pPr>
              <w:pStyle w:val="46"/>
              <w:bidi w:val="0"/>
              <w:rPr>
                <w:rFonts w:hint="default"/>
              </w:rPr>
            </w:pPr>
          </w:p>
        </w:tc>
        <w:tc>
          <w:tcPr>
            <w:tcW w:w="0" w:type="auto"/>
            <w:shd w:val="clear" w:color="auto" w:fill="FFFFFF"/>
            <w:tcMar>
              <w:top w:w="180" w:type="dxa"/>
              <w:left w:w="270" w:type="dxa"/>
              <w:bottom w:w="180" w:type="dxa"/>
              <w:right w:w="270" w:type="dxa"/>
            </w:tcMar>
            <w:vAlign w:val="center"/>
          </w:tcPr>
          <w:p w14:paraId="2CAFD075">
            <w:pPr>
              <w:pStyle w:val="46"/>
              <w:bidi w:val="0"/>
              <w:rPr>
                <w:rFonts w:hint="default"/>
              </w:rPr>
            </w:pPr>
            <w:r>
              <w:rPr>
                <w:rFonts w:hint="default"/>
                <w:lang w:val="en-US" w:eastAsia="zh-CN"/>
              </w:rPr>
              <w:t>排距 (m)</w:t>
            </w:r>
          </w:p>
        </w:tc>
        <w:tc>
          <w:tcPr>
            <w:tcW w:w="3083" w:type="dxa"/>
            <w:shd w:val="clear" w:color="auto" w:fill="FFFFFF"/>
            <w:tcMar>
              <w:top w:w="180" w:type="dxa"/>
              <w:left w:w="270" w:type="dxa"/>
              <w:bottom w:w="180" w:type="dxa"/>
              <w:right w:w="270" w:type="dxa"/>
            </w:tcMar>
            <w:vAlign w:val="center"/>
          </w:tcPr>
          <w:p w14:paraId="1AFD87B3">
            <w:pPr>
              <w:pStyle w:val="46"/>
              <w:bidi w:val="0"/>
              <w:rPr>
                <w:rFonts w:hint="default"/>
              </w:rPr>
            </w:pPr>
            <w:r>
              <w:rPr>
                <w:rFonts w:hint="default"/>
                <w:lang w:val="en-US" w:eastAsia="zh-CN"/>
              </w:rPr>
              <w:t>0.25-0.4</w:t>
            </w:r>
          </w:p>
        </w:tc>
        <w:tc>
          <w:tcPr>
            <w:tcW w:w="3924" w:type="dxa"/>
            <w:shd w:val="clear" w:color="auto" w:fill="FFFFFF"/>
            <w:tcMar>
              <w:top w:w="180" w:type="dxa"/>
              <w:left w:w="270" w:type="dxa"/>
              <w:bottom w:w="180" w:type="dxa"/>
              <w:right w:w="270" w:type="dxa"/>
            </w:tcMar>
            <w:vAlign w:val="center"/>
          </w:tcPr>
          <w:p w14:paraId="380B3155">
            <w:pPr>
              <w:pStyle w:val="46"/>
              <w:bidi w:val="0"/>
              <w:rPr>
                <w:rFonts w:hint="default"/>
              </w:rPr>
            </w:pPr>
            <w:r>
              <w:rPr>
                <w:rFonts w:hint="default"/>
                <w:lang w:val="en-US" w:eastAsia="zh-CN"/>
              </w:rPr>
              <w:t>排距 = 孔距 ×(0.7-0.9)</w:t>
            </w:r>
          </w:p>
        </w:tc>
      </w:tr>
      <w:tr w14:paraId="6BD3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continue"/>
            <w:shd w:val="clear" w:color="auto" w:fill="FFFFFF"/>
            <w:tcMar>
              <w:top w:w="180" w:type="dxa"/>
              <w:left w:w="270" w:type="dxa"/>
              <w:bottom w:w="180" w:type="dxa"/>
              <w:right w:w="270" w:type="dxa"/>
            </w:tcMar>
            <w:vAlign w:val="center"/>
          </w:tcPr>
          <w:p w14:paraId="5EAB19EC">
            <w:pPr>
              <w:pStyle w:val="46"/>
              <w:bidi w:val="0"/>
              <w:rPr>
                <w:rFonts w:hint="default"/>
              </w:rPr>
            </w:pPr>
          </w:p>
        </w:tc>
        <w:tc>
          <w:tcPr>
            <w:tcW w:w="0" w:type="auto"/>
            <w:shd w:val="clear" w:color="auto" w:fill="FFFFFF"/>
            <w:tcMar>
              <w:top w:w="180" w:type="dxa"/>
              <w:left w:w="270" w:type="dxa"/>
              <w:bottom w:w="180" w:type="dxa"/>
              <w:right w:w="270" w:type="dxa"/>
            </w:tcMar>
            <w:vAlign w:val="center"/>
          </w:tcPr>
          <w:p w14:paraId="5B772422">
            <w:pPr>
              <w:pStyle w:val="46"/>
              <w:bidi w:val="0"/>
              <w:rPr>
                <w:rFonts w:hint="default"/>
              </w:rPr>
            </w:pPr>
            <w:r>
              <w:rPr>
                <w:rFonts w:hint="default"/>
                <w:lang w:val="en-US" w:eastAsia="zh-CN"/>
              </w:rPr>
              <w:t>孔深 (m)</w:t>
            </w:r>
          </w:p>
        </w:tc>
        <w:tc>
          <w:tcPr>
            <w:tcW w:w="3083" w:type="dxa"/>
            <w:shd w:val="clear" w:color="auto" w:fill="FFFFFF"/>
            <w:tcMar>
              <w:top w:w="180" w:type="dxa"/>
              <w:left w:w="270" w:type="dxa"/>
              <w:bottom w:w="180" w:type="dxa"/>
              <w:right w:w="270" w:type="dxa"/>
            </w:tcMar>
            <w:vAlign w:val="center"/>
          </w:tcPr>
          <w:p w14:paraId="75E38DD0">
            <w:pPr>
              <w:pStyle w:val="46"/>
              <w:bidi w:val="0"/>
              <w:rPr>
                <w:rFonts w:hint="default"/>
              </w:rPr>
            </w:pPr>
            <w:r>
              <w:rPr>
                <w:rFonts w:hint="default"/>
                <w:lang w:val="en-US" w:eastAsia="zh-CN"/>
              </w:rPr>
              <w:t>0.8H-1.2H</w:t>
            </w:r>
          </w:p>
        </w:tc>
        <w:tc>
          <w:tcPr>
            <w:tcW w:w="3924" w:type="dxa"/>
            <w:shd w:val="clear" w:color="auto" w:fill="FFFFFF"/>
            <w:tcMar>
              <w:top w:w="180" w:type="dxa"/>
              <w:left w:w="270" w:type="dxa"/>
              <w:bottom w:w="180" w:type="dxa"/>
              <w:right w:w="270" w:type="dxa"/>
            </w:tcMar>
            <w:vAlign w:val="center"/>
          </w:tcPr>
          <w:p w14:paraId="7E49F37A">
            <w:pPr>
              <w:pStyle w:val="46"/>
              <w:bidi w:val="0"/>
              <w:rPr>
                <w:rFonts w:hint="default"/>
              </w:rPr>
            </w:pPr>
            <w:r>
              <w:rPr>
                <w:rFonts w:hint="default"/>
                <w:lang w:val="en-US" w:eastAsia="zh-CN"/>
              </w:rPr>
              <w:t>H 为目标厚度，边坡≥潜在滑动面深度 + 0.2m</w:t>
            </w:r>
          </w:p>
        </w:tc>
      </w:tr>
      <w:tr w14:paraId="7F20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restart"/>
            <w:shd w:val="clear" w:color="auto" w:fill="FFFFFF"/>
            <w:tcMar>
              <w:top w:w="180" w:type="dxa"/>
              <w:left w:w="270" w:type="dxa"/>
              <w:bottom w:w="180" w:type="dxa"/>
              <w:right w:w="270" w:type="dxa"/>
            </w:tcMar>
            <w:vAlign w:val="center"/>
          </w:tcPr>
          <w:p w14:paraId="5E9CA4B8">
            <w:pPr>
              <w:pStyle w:val="46"/>
              <w:bidi w:val="0"/>
              <w:rPr>
                <w:rFonts w:hint="default"/>
              </w:rPr>
            </w:pPr>
            <w:r>
              <w:rPr>
                <w:rFonts w:hint="default"/>
                <w:lang w:val="en-US" w:eastAsia="zh-CN"/>
              </w:rPr>
              <w:t>装药参数</w:t>
            </w:r>
          </w:p>
        </w:tc>
        <w:tc>
          <w:tcPr>
            <w:tcW w:w="0" w:type="auto"/>
            <w:shd w:val="clear" w:color="auto" w:fill="FFFFFF"/>
            <w:tcMar>
              <w:top w:w="180" w:type="dxa"/>
              <w:left w:w="270" w:type="dxa"/>
              <w:bottom w:w="180" w:type="dxa"/>
              <w:right w:w="270" w:type="dxa"/>
            </w:tcMar>
            <w:vAlign w:val="center"/>
          </w:tcPr>
          <w:p w14:paraId="64E5E333">
            <w:pPr>
              <w:pStyle w:val="46"/>
              <w:bidi w:val="0"/>
              <w:rPr>
                <w:rFonts w:hint="default"/>
              </w:rPr>
            </w:pPr>
            <w:r>
              <w:rPr>
                <w:rFonts w:hint="default"/>
                <w:lang w:val="en-US" w:eastAsia="zh-CN"/>
              </w:rPr>
              <w:t>破碎剂用量 (kg/m³)</w:t>
            </w:r>
          </w:p>
        </w:tc>
        <w:tc>
          <w:tcPr>
            <w:tcW w:w="3083" w:type="dxa"/>
            <w:shd w:val="clear" w:color="auto" w:fill="FFFFFF"/>
            <w:tcMar>
              <w:top w:w="180" w:type="dxa"/>
              <w:left w:w="270" w:type="dxa"/>
              <w:bottom w:w="180" w:type="dxa"/>
              <w:right w:w="270" w:type="dxa"/>
            </w:tcMar>
            <w:vAlign w:val="center"/>
          </w:tcPr>
          <w:p w14:paraId="4C48D0B9">
            <w:pPr>
              <w:pStyle w:val="46"/>
              <w:bidi w:val="0"/>
              <w:rPr>
                <w:rFonts w:hint="default"/>
              </w:rPr>
            </w:pPr>
            <w:r>
              <w:rPr>
                <w:rFonts w:hint="default"/>
                <w:lang w:val="en-US" w:eastAsia="zh-CN"/>
              </w:rPr>
              <w:t>0.5-1.0</w:t>
            </w:r>
          </w:p>
        </w:tc>
        <w:tc>
          <w:tcPr>
            <w:tcW w:w="3924" w:type="dxa"/>
            <w:shd w:val="clear" w:color="auto" w:fill="FFFFFF"/>
            <w:tcMar>
              <w:top w:w="180" w:type="dxa"/>
              <w:left w:w="270" w:type="dxa"/>
              <w:bottom w:w="180" w:type="dxa"/>
              <w:right w:w="270" w:type="dxa"/>
            </w:tcMar>
            <w:vAlign w:val="center"/>
          </w:tcPr>
          <w:p w14:paraId="64839E2B">
            <w:pPr>
              <w:pStyle w:val="46"/>
              <w:bidi w:val="0"/>
              <w:rPr>
                <w:rFonts w:hint="default"/>
              </w:rPr>
            </w:pPr>
            <w:r>
              <w:rPr>
                <w:rFonts w:hint="default"/>
                <w:lang w:val="en-US" w:eastAsia="zh-CN"/>
              </w:rPr>
              <w:t>花岗岩取上限</w:t>
            </w:r>
          </w:p>
        </w:tc>
      </w:tr>
      <w:tr w14:paraId="0B0B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continue"/>
            <w:shd w:val="clear" w:color="auto" w:fill="FFFFFF"/>
            <w:tcMar>
              <w:top w:w="180" w:type="dxa"/>
              <w:left w:w="270" w:type="dxa"/>
              <w:bottom w:w="180" w:type="dxa"/>
              <w:right w:w="270" w:type="dxa"/>
            </w:tcMar>
            <w:vAlign w:val="center"/>
          </w:tcPr>
          <w:p w14:paraId="6E0AAA03">
            <w:pPr>
              <w:pStyle w:val="46"/>
              <w:bidi w:val="0"/>
              <w:rPr>
                <w:rFonts w:hint="default"/>
              </w:rPr>
            </w:pPr>
          </w:p>
        </w:tc>
        <w:tc>
          <w:tcPr>
            <w:tcW w:w="0" w:type="auto"/>
            <w:shd w:val="clear" w:color="auto" w:fill="FFFFFF"/>
            <w:tcMar>
              <w:top w:w="180" w:type="dxa"/>
              <w:left w:w="270" w:type="dxa"/>
              <w:bottom w:w="180" w:type="dxa"/>
              <w:right w:w="270" w:type="dxa"/>
            </w:tcMar>
            <w:vAlign w:val="center"/>
          </w:tcPr>
          <w:p w14:paraId="7E1BCAC3">
            <w:pPr>
              <w:pStyle w:val="46"/>
              <w:bidi w:val="0"/>
              <w:rPr>
                <w:rFonts w:hint="default"/>
              </w:rPr>
            </w:pPr>
            <w:r>
              <w:rPr>
                <w:rFonts w:hint="default"/>
                <w:lang w:val="en-US" w:eastAsia="zh-CN"/>
              </w:rPr>
              <w:t>单孔药量 (kg)</w:t>
            </w:r>
          </w:p>
        </w:tc>
        <w:tc>
          <w:tcPr>
            <w:tcW w:w="3083" w:type="dxa"/>
            <w:shd w:val="clear" w:color="auto" w:fill="FFFFFF"/>
            <w:tcMar>
              <w:top w:w="180" w:type="dxa"/>
              <w:left w:w="270" w:type="dxa"/>
              <w:bottom w:w="180" w:type="dxa"/>
              <w:right w:w="270" w:type="dxa"/>
            </w:tcMar>
            <w:vAlign w:val="center"/>
          </w:tcPr>
          <w:p w14:paraId="5259D1CD">
            <w:pPr>
              <w:pStyle w:val="46"/>
              <w:bidi w:val="0"/>
              <w:rPr>
                <w:rFonts w:hint="default"/>
              </w:rPr>
            </w:pPr>
            <w:r>
              <w:rPr>
                <w:rFonts w:hint="default"/>
                <w:lang w:val="en-US" w:eastAsia="zh-CN"/>
              </w:rPr>
              <w:t>≤5</w:t>
            </w:r>
          </w:p>
        </w:tc>
        <w:tc>
          <w:tcPr>
            <w:tcW w:w="3924" w:type="dxa"/>
            <w:shd w:val="clear" w:color="auto" w:fill="FFFFFF"/>
            <w:tcMar>
              <w:top w:w="180" w:type="dxa"/>
              <w:left w:w="270" w:type="dxa"/>
              <w:bottom w:w="180" w:type="dxa"/>
              <w:right w:w="270" w:type="dxa"/>
            </w:tcMar>
            <w:vAlign w:val="center"/>
          </w:tcPr>
          <w:p w14:paraId="4F6C1D90">
            <w:pPr>
              <w:pStyle w:val="46"/>
              <w:bidi w:val="0"/>
              <w:rPr>
                <w:rFonts w:hint="default"/>
              </w:rPr>
            </w:pPr>
            <w:r>
              <w:rPr>
                <w:rFonts w:hint="default"/>
                <w:lang w:val="en-US" w:eastAsia="zh-CN"/>
              </w:rPr>
              <w:t>防止飞石</w:t>
            </w:r>
          </w:p>
        </w:tc>
      </w:tr>
      <w:tr w14:paraId="736C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continue"/>
            <w:shd w:val="clear" w:color="auto" w:fill="FFFFFF"/>
            <w:tcMar>
              <w:top w:w="180" w:type="dxa"/>
              <w:left w:w="270" w:type="dxa"/>
              <w:bottom w:w="180" w:type="dxa"/>
              <w:right w:w="270" w:type="dxa"/>
            </w:tcMar>
            <w:vAlign w:val="center"/>
          </w:tcPr>
          <w:p w14:paraId="2AC4DCFF">
            <w:pPr>
              <w:pStyle w:val="46"/>
              <w:bidi w:val="0"/>
              <w:rPr>
                <w:rFonts w:hint="default"/>
              </w:rPr>
            </w:pPr>
          </w:p>
        </w:tc>
        <w:tc>
          <w:tcPr>
            <w:tcW w:w="0" w:type="auto"/>
            <w:shd w:val="clear" w:color="auto" w:fill="FFFFFF"/>
            <w:tcMar>
              <w:top w:w="180" w:type="dxa"/>
              <w:left w:w="270" w:type="dxa"/>
              <w:bottom w:w="180" w:type="dxa"/>
              <w:right w:w="270" w:type="dxa"/>
            </w:tcMar>
            <w:vAlign w:val="center"/>
          </w:tcPr>
          <w:p w14:paraId="000EB8C8">
            <w:pPr>
              <w:pStyle w:val="46"/>
              <w:bidi w:val="0"/>
              <w:rPr>
                <w:rFonts w:hint="default"/>
              </w:rPr>
            </w:pPr>
            <w:r>
              <w:rPr>
                <w:rFonts w:hint="default"/>
                <w:lang w:val="en-US" w:eastAsia="zh-CN"/>
              </w:rPr>
              <w:t>堵塞长度 (cm)</w:t>
            </w:r>
          </w:p>
        </w:tc>
        <w:tc>
          <w:tcPr>
            <w:tcW w:w="3083" w:type="dxa"/>
            <w:shd w:val="clear" w:color="auto" w:fill="FFFFFF"/>
            <w:tcMar>
              <w:top w:w="180" w:type="dxa"/>
              <w:left w:w="270" w:type="dxa"/>
              <w:bottom w:w="180" w:type="dxa"/>
              <w:right w:w="270" w:type="dxa"/>
            </w:tcMar>
            <w:vAlign w:val="center"/>
          </w:tcPr>
          <w:p w14:paraId="1ACCD63F">
            <w:pPr>
              <w:pStyle w:val="46"/>
              <w:bidi w:val="0"/>
              <w:rPr>
                <w:rFonts w:hint="default"/>
              </w:rPr>
            </w:pPr>
            <w:r>
              <w:rPr>
                <w:rFonts w:hint="default"/>
                <w:lang w:val="en-US" w:eastAsia="zh-CN"/>
              </w:rPr>
              <w:t>≥20</w:t>
            </w:r>
          </w:p>
        </w:tc>
        <w:tc>
          <w:tcPr>
            <w:tcW w:w="3924" w:type="dxa"/>
            <w:shd w:val="clear" w:color="auto" w:fill="FFFFFF"/>
            <w:tcMar>
              <w:top w:w="180" w:type="dxa"/>
              <w:left w:w="270" w:type="dxa"/>
              <w:bottom w:w="180" w:type="dxa"/>
              <w:right w:w="270" w:type="dxa"/>
            </w:tcMar>
            <w:vAlign w:val="center"/>
          </w:tcPr>
          <w:p w14:paraId="7119473D">
            <w:pPr>
              <w:pStyle w:val="46"/>
              <w:bidi w:val="0"/>
              <w:rPr>
                <w:rFonts w:hint="default"/>
              </w:rPr>
            </w:pPr>
            <w:r>
              <w:rPr>
                <w:rFonts w:hint="default"/>
                <w:lang w:val="en-US" w:eastAsia="zh-CN"/>
              </w:rPr>
              <w:t>确保压力有效</w:t>
            </w:r>
          </w:p>
        </w:tc>
      </w:tr>
      <w:tr w14:paraId="50C2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FFFFFF"/>
            <w:tcMar>
              <w:top w:w="180" w:type="dxa"/>
              <w:left w:w="270" w:type="dxa"/>
              <w:bottom w:w="180" w:type="dxa"/>
              <w:right w:w="270" w:type="dxa"/>
            </w:tcMar>
            <w:vAlign w:val="center"/>
          </w:tcPr>
          <w:p w14:paraId="5F98B179">
            <w:pPr>
              <w:pStyle w:val="46"/>
              <w:bidi w:val="0"/>
              <w:rPr>
                <w:rFonts w:hint="default"/>
              </w:rPr>
            </w:pPr>
            <w:r>
              <w:rPr>
                <w:rFonts w:hint="default"/>
                <w:lang w:val="en-US" w:eastAsia="zh-CN"/>
              </w:rPr>
              <w:t>边坡专用</w:t>
            </w:r>
          </w:p>
        </w:tc>
        <w:tc>
          <w:tcPr>
            <w:tcW w:w="0" w:type="auto"/>
            <w:shd w:val="clear" w:color="auto" w:fill="FFFFFF"/>
            <w:tcMar>
              <w:top w:w="180" w:type="dxa"/>
              <w:left w:w="270" w:type="dxa"/>
              <w:bottom w:w="180" w:type="dxa"/>
              <w:right w:w="270" w:type="dxa"/>
            </w:tcMar>
            <w:vAlign w:val="center"/>
          </w:tcPr>
          <w:p w14:paraId="7EEF5637">
            <w:pPr>
              <w:pStyle w:val="46"/>
              <w:bidi w:val="0"/>
              <w:rPr>
                <w:rFonts w:hint="default"/>
              </w:rPr>
            </w:pPr>
            <w:r>
              <w:rPr>
                <w:rFonts w:hint="default"/>
                <w:lang w:val="en-US" w:eastAsia="zh-CN"/>
              </w:rPr>
              <w:t>钻孔角度 (°)</w:t>
            </w:r>
          </w:p>
        </w:tc>
        <w:tc>
          <w:tcPr>
            <w:tcW w:w="3083" w:type="dxa"/>
            <w:shd w:val="clear" w:color="auto" w:fill="FFFFFF"/>
            <w:tcMar>
              <w:top w:w="180" w:type="dxa"/>
              <w:left w:w="270" w:type="dxa"/>
              <w:bottom w:w="180" w:type="dxa"/>
              <w:right w:w="270" w:type="dxa"/>
            </w:tcMar>
            <w:vAlign w:val="center"/>
          </w:tcPr>
          <w:p w14:paraId="4639D432">
            <w:pPr>
              <w:pStyle w:val="46"/>
              <w:bidi w:val="0"/>
              <w:rPr>
                <w:rFonts w:hint="default"/>
              </w:rPr>
            </w:pPr>
            <w:r>
              <w:rPr>
                <w:rFonts w:hint="default"/>
                <w:lang w:val="en-US" w:eastAsia="zh-CN"/>
              </w:rPr>
              <w:t>顺向坡：与岩层呈 5-10° 逆向横向坡：垂直坡面直立坡：向下 5-10°</w:t>
            </w:r>
          </w:p>
        </w:tc>
        <w:tc>
          <w:tcPr>
            <w:tcW w:w="3924" w:type="dxa"/>
            <w:shd w:val="clear" w:color="auto" w:fill="FFFFFF"/>
            <w:tcMar>
              <w:top w:w="180" w:type="dxa"/>
              <w:left w:w="270" w:type="dxa"/>
              <w:bottom w:w="180" w:type="dxa"/>
              <w:right w:w="270" w:type="dxa"/>
            </w:tcMar>
            <w:vAlign w:val="center"/>
          </w:tcPr>
          <w:p w14:paraId="340D3055">
            <w:pPr>
              <w:pStyle w:val="46"/>
              <w:bidi w:val="0"/>
              <w:rPr>
                <w:rFonts w:hint="default"/>
              </w:rPr>
            </w:pPr>
            <w:r>
              <w:rPr>
                <w:rFonts w:hint="default"/>
                <w:lang w:val="en-US" w:eastAsia="zh-CN"/>
              </w:rPr>
              <w:t>提高稳定性和破碎效果</w:t>
            </w:r>
          </w:p>
        </w:tc>
      </w:tr>
      <w:tr w14:paraId="6D02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FFFFFF"/>
            <w:tcMar>
              <w:top w:w="180" w:type="dxa"/>
              <w:left w:w="270" w:type="dxa"/>
              <w:bottom w:w="180" w:type="dxa"/>
              <w:right w:w="270" w:type="dxa"/>
            </w:tcMar>
            <w:vAlign w:val="center"/>
          </w:tcPr>
          <w:p w14:paraId="395D3348">
            <w:pPr>
              <w:pStyle w:val="46"/>
              <w:bidi w:val="0"/>
              <w:rPr>
                <w:rFonts w:hint="default"/>
              </w:rPr>
            </w:pPr>
          </w:p>
        </w:tc>
        <w:tc>
          <w:tcPr>
            <w:tcW w:w="1725" w:type="dxa"/>
            <w:shd w:val="clear" w:color="auto" w:fill="FFFFFF"/>
            <w:tcMar>
              <w:top w:w="180" w:type="dxa"/>
              <w:left w:w="270" w:type="dxa"/>
              <w:bottom w:w="180" w:type="dxa"/>
              <w:right w:w="270" w:type="dxa"/>
            </w:tcMar>
            <w:vAlign w:val="center"/>
          </w:tcPr>
          <w:p w14:paraId="79C0FE28">
            <w:pPr>
              <w:pStyle w:val="46"/>
              <w:bidi w:val="0"/>
              <w:rPr>
                <w:rFonts w:hint="default"/>
              </w:rPr>
            </w:pPr>
            <w:r>
              <w:rPr>
                <w:rFonts w:hint="default"/>
                <w:lang w:val="en-US" w:eastAsia="zh-CN"/>
              </w:rPr>
              <w:t>台阶高度 (m)</w:t>
            </w:r>
          </w:p>
        </w:tc>
        <w:tc>
          <w:tcPr>
            <w:tcW w:w="3083" w:type="dxa"/>
            <w:shd w:val="clear" w:color="auto" w:fill="FFFFFF"/>
            <w:tcMar>
              <w:top w:w="180" w:type="dxa"/>
              <w:left w:w="270" w:type="dxa"/>
              <w:bottom w:w="180" w:type="dxa"/>
              <w:right w:w="270" w:type="dxa"/>
            </w:tcMar>
            <w:vAlign w:val="center"/>
          </w:tcPr>
          <w:p w14:paraId="0C2538E9">
            <w:pPr>
              <w:pStyle w:val="46"/>
              <w:bidi w:val="0"/>
              <w:rPr>
                <w:rFonts w:hint="default"/>
              </w:rPr>
            </w:pPr>
            <w:r>
              <w:rPr>
                <w:rFonts w:hint="default"/>
                <w:lang w:val="en-US" w:eastAsia="zh-CN"/>
              </w:rPr>
              <w:t>3-5</w:t>
            </w:r>
          </w:p>
        </w:tc>
        <w:tc>
          <w:tcPr>
            <w:tcW w:w="3924" w:type="dxa"/>
            <w:shd w:val="clear" w:color="auto" w:fill="FFFFFF"/>
            <w:tcMar>
              <w:top w:w="180" w:type="dxa"/>
              <w:left w:w="270" w:type="dxa"/>
              <w:bottom w:w="180" w:type="dxa"/>
              <w:right w:w="270" w:type="dxa"/>
            </w:tcMar>
            <w:vAlign w:val="center"/>
          </w:tcPr>
          <w:p w14:paraId="6D0B7752">
            <w:pPr>
              <w:pStyle w:val="46"/>
              <w:bidi w:val="0"/>
              <w:rPr>
                <w:rFonts w:hint="default"/>
              </w:rPr>
            </w:pPr>
            <w:r>
              <w:rPr>
                <w:rFonts w:hint="default"/>
                <w:lang w:val="en-US" w:eastAsia="zh-CN"/>
              </w:rPr>
              <w:t>边坡稳定前提下</w:t>
            </w:r>
          </w:p>
        </w:tc>
      </w:tr>
      <w:tr w14:paraId="27D7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FFFFFF"/>
            <w:tcMar>
              <w:top w:w="180" w:type="dxa"/>
              <w:left w:w="270" w:type="dxa"/>
              <w:bottom w:w="180" w:type="dxa"/>
              <w:right w:w="270" w:type="dxa"/>
            </w:tcMar>
            <w:vAlign w:val="center"/>
          </w:tcPr>
          <w:p w14:paraId="600709F0">
            <w:pPr>
              <w:pStyle w:val="46"/>
              <w:bidi w:val="0"/>
              <w:rPr>
                <w:rFonts w:hint="default"/>
              </w:rPr>
            </w:pPr>
          </w:p>
        </w:tc>
        <w:tc>
          <w:tcPr>
            <w:tcW w:w="0" w:type="auto"/>
            <w:shd w:val="clear" w:color="auto" w:fill="FFFFFF"/>
            <w:tcMar>
              <w:top w:w="180" w:type="dxa"/>
              <w:left w:w="270" w:type="dxa"/>
              <w:bottom w:w="180" w:type="dxa"/>
              <w:right w:w="270" w:type="dxa"/>
            </w:tcMar>
            <w:vAlign w:val="center"/>
          </w:tcPr>
          <w:p w14:paraId="59D34B0B">
            <w:pPr>
              <w:pStyle w:val="46"/>
              <w:bidi w:val="0"/>
              <w:rPr>
                <w:rFonts w:hint="default"/>
              </w:rPr>
            </w:pPr>
            <w:r>
              <w:rPr>
                <w:rFonts w:hint="default"/>
                <w:lang w:val="en-US" w:eastAsia="zh-CN"/>
              </w:rPr>
              <w:t>台阶宽度 (m)</w:t>
            </w:r>
          </w:p>
        </w:tc>
        <w:tc>
          <w:tcPr>
            <w:tcW w:w="3083" w:type="dxa"/>
            <w:shd w:val="clear" w:color="auto" w:fill="FFFFFF"/>
            <w:tcMar>
              <w:top w:w="180" w:type="dxa"/>
              <w:left w:w="270" w:type="dxa"/>
              <w:bottom w:w="180" w:type="dxa"/>
              <w:right w:w="270" w:type="dxa"/>
            </w:tcMar>
            <w:vAlign w:val="center"/>
          </w:tcPr>
          <w:p w14:paraId="4372BDB7">
            <w:pPr>
              <w:pStyle w:val="46"/>
              <w:bidi w:val="0"/>
              <w:rPr>
                <w:rFonts w:hint="default"/>
              </w:rPr>
            </w:pPr>
            <w:r>
              <w:rPr>
                <w:rFonts w:hint="default"/>
                <w:lang w:val="en-US" w:eastAsia="zh-CN"/>
              </w:rPr>
              <w:t>≥2</w:t>
            </w:r>
          </w:p>
        </w:tc>
        <w:tc>
          <w:tcPr>
            <w:tcW w:w="3924" w:type="dxa"/>
            <w:shd w:val="clear" w:color="auto" w:fill="FFFFFF"/>
            <w:tcMar>
              <w:top w:w="180" w:type="dxa"/>
              <w:left w:w="270" w:type="dxa"/>
              <w:bottom w:w="180" w:type="dxa"/>
              <w:right w:w="270" w:type="dxa"/>
            </w:tcMar>
            <w:vAlign w:val="center"/>
          </w:tcPr>
          <w:p w14:paraId="60BB6473">
            <w:pPr>
              <w:pStyle w:val="46"/>
              <w:bidi w:val="0"/>
              <w:rPr>
                <w:rFonts w:hint="default"/>
              </w:rPr>
            </w:pPr>
            <w:r>
              <w:rPr>
                <w:rFonts w:hint="default"/>
                <w:lang w:val="en-US" w:eastAsia="zh-CN"/>
              </w:rPr>
              <w:t>便于设备操作</w:t>
            </w:r>
          </w:p>
        </w:tc>
      </w:tr>
    </w:tbl>
    <w:p w14:paraId="2BB6B09F">
      <w:pPr>
        <w:bidi w:val="0"/>
      </w:pPr>
      <w:r>
        <w:rPr>
          <w:rFonts w:hint="default"/>
        </w:rPr>
        <w:t>机械爆破：炮孔深度≤1.</w:t>
      </w:r>
      <w:r>
        <w:rPr>
          <w:rFonts w:hint="eastAsia"/>
          <w:lang w:val="en-US" w:eastAsia="zh-CN"/>
        </w:rPr>
        <w:t>0</w:t>
      </w:r>
      <w:r>
        <w:rPr>
          <w:rFonts w:hint="default"/>
        </w:rPr>
        <w:t xml:space="preserve">m，间距 </w:t>
      </w:r>
      <w:r>
        <w:rPr>
          <w:rFonts w:hint="eastAsia"/>
          <w:lang w:val="en-US" w:eastAsia="zh-CN"/>
        </w:rPr>
        <w:t>100</w:t>
      </w:r>
      <w:r>
        <w:rPr>
          <w:rFonts w:hint="default"/>
        </w:rPr>
        <w:t>-</w:t>
      </w:r>
      <w:r>
        <w:rPr>
          <w:rFonts w:hint="eastAsia"/>
          <w:lang w:val="en-US" w:eastAsia="zh-CN"/>
        </w:rPr>
        <w:t>15</w:t>
      </w:r>
      <w:r>
        <w:rPr>
          <w:rFonts w:hint="default"/>
        </w:rPr>
        <w:t>0cm，排距 60-80cm，爆破后石方块度≤50cm，边坡坡度偏差≤3%。</w:t>
      </w:r>
    </w:p>
    <w:p w14:paraId="2FA16544">
      <w:pPr>
        <w:bidi w:val="0"/>
        <w:rPr>
          <w:b/>
          <w:bCs/>
        </w:rPr>
      </w:pPr>
      <w:r>
        <w:rPr>
          <w:rFonts w:hint="eastAsia"/>
          <w:b/>
          <w:bCs/>
          <w:lang w:val="en-US" w:eastAsia="zh-CN"/>
        </w:rPr>
        <w:t>4.2.3</w:t>
      </w:r>
      <w:r>
        <w:rPr>
          <w:rFonts w:hint="default"/>
          <w:b/>
          <w:bCs/>
          <w:lang w:val="en-US" w:eastAsia="zh-CN"/>
        </w:rPr>
        <w:t>专项安全措施</w:t>
      </w:r>
    </w:p>
    <w:p w14:paraId="60F8DFB5">
      <w:pPr>
        <w:bidi w:val="0"/>
      </w:pPr>
      <w:r>
        <w:rPr>
          <w:rFonts w:hint="default"/>
        </w:rPr>
        <w:t>作业人员安全：① 作业前进行安全技术交底（书面记录，全员签字），明确爆破范围、警戒区域、操作流程及应急措施； ② 作业时佩戴个人防护用品（安全帽、防冲击眼镜、耳塞、反光背心），严禁酒后、疲劳作业。</w:t>
      </w:r>
    </w:p>
    <w:p w14:paraId="0E050783">
      <w:pPr>
        <w:bidi w:val="0"/>
      </w:pPr>
      <w:r>
        <w:rPr>
          <w:rFonts w:hint="default"/>
        </w:rPr>
        <w:t>警戒与防护安全：① 爆破前 3 天在保障房小区、周边道路张贴《爆破作业告知书》，明确作业时间（避开 7:00-8:00、12:00-14:00、19:00-22:00 居民出行及休息时段）；② 现场设置多层警戒区：一级警戒区（爆破点半径≥50m），禁止任何人进入；二级警戒区（50-100m），设置警示标志、围挡及专人监护（每 20m1 名警戒员）；③ 临近道路侧爆破需搭设防护棚（采用 Φ48×3.5 钢管 + 阻燃密目网 + 竹跳板，高度≥3m），防止碎石飞溅；临近保障房侧需在房屋门窗处张贴防护膜，减少粉尘污染。</w:t>
      </w:r>
    </w:p>
    <w:p w14:paraId="6C22307E">
      <w:pPr>
        <w:bidi w:val="0"/>
      </w:pPr>
      <w:r>
        <w:rPr>
          <w:rFonts w:hint="default"/>
        </w:rPr>
        <w:t>起爆控制安全：① 静态爆破：采用分区、分次作业，同一区域劈裂孔起爆间隔≥5 分钟，避免集中释放能量。</w:t>
      </w:r>
    </w:p>
    <w:p w14:paraId="3F02D1DE">
      <w:pPr>
        <w:bidi w:val="0"/>
      </w:pPr>
      <w:r>
        <w:rPr>
          <w:rFonts w:hint="default"/>
        </w:rPr>
        <w:t xml:space="preserve">设备与器材安全：① 爆破设备（液压锤）需定期检修（每日作业前检查，每周全面维护），留存检修记录；② </w:t>
      </w:r>
      <w:r>
        <w:rPr>
          <w:rFonts w:hint="eastAsia"/>
          <w:lang w:val="en-US" w:eastAsia="zh-CN"/>
        </w:rPr>
        <w:t>静力</w:t>
      </w:r>
      <w:r>
        <w:rPr>
          <w:rFonts w:hint="default"/>
        </w:rPr>
        <w:t>爆破</w:t>
      </w:r>
      <w:r>
        <w:rPr>
          <w:rFonts w:hint="eastAsia"/>
          <w:lang w:val="en-US" w:eastAsia="zh-CN"/>
        </w:rPr>
        <w:t>药剂</w:t>
      </w:r>
      <w:r>
        <w:rPr>
          <w:rFonts w:hint="default"/>
        </w:rPr>
        <w:t>珠海备案的正规厂家采购，单独存放，专人看管，领用、归还需登记台账。</w:t>
      </w:r>
    </w:p>
    <w:p w14:paraId="0695D1A4">
      <w:pPr>
        <w:bidi w:val="0"/>
      </w:pPr>
      <w:r>
        <w:rPr>
          <w:rFonts w:hint="default"/>
        </w:rPr>
        <w:t>应急安全：① 配备应急救援小组（不少于</w:t>
      </w:r>
      <w:r>
        <w:rPr>
          <w:rFonts w:hint="eastAsia"/>
          <w:lang w:val="en-US" w:eastAsia="zh-CN"/>
        </w:rPr>
        <w:t>3</w:t>
      </w:r>
      <w:r>
        <w:rPr>
          <w:rFonts w:hint="default"/>
        </w:rPr>
        <w:t xml:space="preserve"> 人），携带急救箱（含止血带、绷带、消毒用品）、灭火器、撬棍等应急器材；② 制定坍塌、碎石伤人、设备故障等应急预案，提前组织演练（每月 1 次），留存演练影像；③ 爆破后若发现边坡坍塌、碎石堵塞道路等情况，立即停止作业，启动应急预案，上报发包单位及珠海相关部门。</w:t>
      </w:r>
    </w:p>
    <w:p w14:paraId="303507B0">
      <w:pPr>
        <w:bidi w:val="0"/>
      </w:pPr>
      <w:r>
        <w:rPr>
          <w:rFonts w:hint="default"/>
        </w:rPr>
        <w:t xml:space="preserve">爆破后安全检查：① </w:t>
      </w:r>
      <w:r>
        <w:rPr>
          <w:rFonts w:hint="eastAsia"/>
          <w:lang w:val="en-US" w:eastAsia="zh-CN"/>
        </w:rPr>
        <w:t>爆破后</w:t>
      </w:r>
      <w:r>
        <w:rPr>
          <w:rFonts w:hint="default"/>
        </w:rPr>
        <w:t>由安全员、技术员共同进入现场检查，确认无松动危石、无边坡坍塌后方可解除警戒；②  清理边坡浮石、危石（人工用撬棍清理，严禁机械强行剥离），对边坡进行稳定性检测（采用全站仪观测位移，无明显位移方可继续作业）。</w:t>
      </w:r>
    </w:p>
    <w:p w14:paraId="3EB9FB71">
      <w:pPr>
        <w:bidi w:val="0"/>
      </w:pPr>
      <w:r>
        <w:rPr>
          <w:rFonts w:hint="default"/>
          <w:lang w:val="en-US" w:eastAsia="zh-CN"/>
        </w:rPr>
        <w:t>边坡处理：爆破后人工清理边坡浮石、危石，按设计坡比修整（一般 1:1.2-1:1.5），坡面平整度≤20mm/2m；修整后及时铺设土工格栅，防止雨水冲刷。</w:t>
      </w:r>
    </w:p>
    <w:p w14:paraId="6C7797BA">
      <w:pPr>
        <w:bidi w:val="0"/>
        <w:rPr>
          <w:rFonts w:hint="default"/>
          <w:b/>
          <w:bCs/>
        </w:rPr>
      </w:pPr>
      <w:r>
        <w:rPr>
          <w:rFonts w:hint="eastAsia"/>
          <w:b/>
          <w:bCs/>
          <w:lang w:val="en-US" w:eastAsia="zh-CN"/>
        </w:rPr>
        <w:t>4.</w:t>
      </w:r>
      <w:r>
        <w:rPr>
          <w:rFonts w:hint="default"/>
          <w:b/>
          <w:bCs/>
        </w:rPr>
        <w:t>3. 鱼塘石方换填技术要求</w:t>
      </w:r>
    </w:p>
    <w:p w14:paraId="202021BF">
      <w:pPr>
        <w:bidi w:val="0"/>
      </w:pPr>
      <w:r>
        <w:rPr>
          <w:rFonts w:hint="default"/>
        </w:rPr>
        <w:t>清淤处理：先抽排鱼塘积水，人工配合机械清除塘底淤泥（清除深度≥50cm），淤泥按不可利用土方合规处置，拍摄清淤影像。</w:t>
      </w:r>
    </w:p>
    <w:p w14:paraId="3775210E">
      <w:pPr>
        <w:bidi w:val="0"/>
      </w:pPr>
      <w:r>
        <w:rPr>
          <w:rFonts w:hint="default"/>
        </w:rPr>
        <w:t>分层铺筑石方（每层厚度≤30cm），采用 15t 振动压路机碾压≥6 遍，压实度≥96%（灌砂法检测）。</w:t>
      </w:r>
    </w:p>
    <w:p w14:paraId="32D8E3DE">
      <w:pPr>
        <w:bidi w:val="0"/>
      </w:pPr>
      <w:r>
        <w:rPr>
          <w:rFonts w:hint="default"/>
        </w:rPr>
        <w:t>石方间隙用石屑填充（饱满度≥90%），顶层铺设 20cm 厚级配砂石调平层（压实度≥95%）。</w:t>
      </w:r>
    </w:p>
    <w:p w14:paraId="476ECF11">
      <w:pPr>
        <w:bidi w:val="0"/>
      </w:pPr>
      <w:r>
        <w:rPr>
          <w:rFonts w:hint="default"/>
        </w:rPr>
        <w:t>排水措施：换填期间设临时排水沟（沟宽 20cm、深 30cm），避免积水浸泡换填层。</w:t>
      </w:r>
    </w:p>
    <w:p w14:paraId="6FD560EF">
      <w:pPr>
        <w:bidi w:val="0"/>
        <w:rPr>
          <w:rFonts w:hint="default"/>
          <w:b/>
          <w:bCs/>
        </w:rPr>
      </w:pPr>
      <w:r>
        <w:rPr>
          <w:rFonts w:hint="eastAsia"/>
          <w:b/>
          <w:bCs/>
          <w:lang w:val="en-US" w:eastAsia="zh-CN"/>
        </w:rPr>
        <w:t>4.4.</w:t>
      </w:r>
      <w:r>
        <w:rPr>
          <w:rFonts w:hint="default"/>
          <w:b/>
          <w:bCs/>
        </w:rPr>
        <w:t>桩间土开挖技术要求</w:t>
      </w:r>
    </w:p>
    <w:p w14:paraId="156211D5">
      <w:pPr>
        <w:bidi w:val="0"/>
      </w:pPr>
      <w:r>
        <w:rPr>
          <w:rFonts w:hint="default"/>
        </w:rPr>
        <w:t>开挖方式：采用小型挖掘机（斗容≤0.5m³）配合人工开挖，挖掘机作业时与桩身距离≥50cm，严禁碰撞桩身。</w:t>
      </w:r>
    </w:p>
    <w:p w14:paraId="4D09648E">
      <w:pPr>
        <w:bidi w:val="0"/>
      </w:pPr>
      <w:r>
        <w:rPr>
          <w:rFonts w:hint="default"/>
        </w:rPr>
        <w:t>开挖深度：按设计要求执行，偏差 ±10mm，开挖后基底平整度≤15mm/3m，无扰动、积水。</w:t>
      </w:r>
    </w:p>
    <w:p w14:paraId="45EED0C0">
      <w:pPr>
        <w:bidi w:val="0"/>
      </w:pPr>
      <w:r>
        <w:rPr>
          <w:rFonts w:hint="default"/>
        </w:rPr>
        <w:t>桩身保护：人工清理桩周土方，桩身表面水泥浆残留需清理干净，发现桩身破损及时上报发包单位。</w:t>
      </w:r>
    </w:p>
    <w:p w14:paraId="2FC6AF8A">
      <w:pPr>
        <w:bidi w:val="0"/>
        <w:rPr>
          <w:rFonts w:hint="default"/>
          <w:b/>
          <w:bCs/>
        </w:rPr>
      </w:pPr>
      <w:r>
        <w:rPr>
          <w:rFonts w:hint="eastAsia"/>
          <w:b/>
          <w:bCs/>
          <w:lang w:val="en-US" w:eastAsia="zh-CN"/>
        </w:rPr>
        <w:t>4.</w:t>
      </w:r>
      <w:r>
        <w:rPr>
          <w:rFonts w:hint="default"/>
          <w:b/>
          <w:bCs/>
        </w:rPr>
        <w:t>5. 土方 / 石方堆放技术要求</w:t>
      </w:r>
    </w:p>
    <w:p w14:paraId="12F2DF27">
      <w:pPr>
        <w:bidi w:val="0"/>
      </w:pPr>
      <w:r>
        <w:rPr>
          <w:rFonts w:hint="default"/>
        </w:rPr>
        <w:t>堆放场地：按发包单位指定位置堆放，设置围挡（高度≥1.8m，砖砌或铁皮围挡，刷灰白警示漆）及标识牌（白底黑字，标注 “可利用土方 - XX 区域”“可利用石方 - 粒径 5-20cm”“不可利用弃土 - 待处置”），标识牌尺寸≥80cm×60cm，清晰可见。</w:t>
      </w:r>
    </w:p>
    <w:p w14:paraId="68925158">
      <w:pPr>
        <w:bidi w:val="0"/>
      </w:pPr>
      <w:r>
        <w:rPr>
          <w:rFonts w:hint="default"/>
        </w:rPr>
        <w:t>防护措施：</w:t>
      </w:r>
    </w:p>
    <w:p w14:paraId="66D9BCE9">
      <w:pPr>
        <w:bidi w:val="0"/>
      </w:pPr>
      <w:r>
        <w:rPr>
          <w:rFonts w:hint="default"/>
        </w:rPr>
        <w:t>可利用土方：覆盖土工布（重量≥150g/㎡）防雨防晒，堆放高度≤2m，防止流失、扬尘；含水率过高时需翻晒晾晒，达到最优含水率后方可使用。</w:t>
      </w:r>
    </w:p>
    <w:p w14:paraId="238952B1">
      <w:pPr>
        <w:bidi w:val="0"/>
      </w:pPr>
      <w:r>
        <w:rPr>
          <w:rFonts w:hint="default"/>
        </w:rPr>
        <w:t>可利用石方：分类堆放（按粒径 5-20cm、20-50cm 分级），堆放高度≤3m，避免混杂泥土及建筑垃圾。</w:t>
      </w:r>
    </w:p>
    <w:p w14:paraId="1B1E9F0A">
      <w:pPr>
        <w:bidi w:val="0"/>
      </w:pPr>
      <w:r>
        <w:rPr>
          <w:rFonts w:hint="default"/>
        </w:rPr>
        <w:t>不可利用弃土（含淤泥）：单独分区堆放，覆盖防雨布（防水阻燃），设置临时排水沟（防止雨水冲刷造成二次污染），堆放时间≤7 天（需及时清运处置）。</w:t>
      </w:r>
    </w:p>
    <w:p w14:paraId="3DA18B52">
      <w:pPr>
        <w:bidi w:val="0"/>
        <w:rPr>
          <w:rFonts w:hint="default"/>
          <w:b/>
          <w:bCs/>
        </w:rPr>
      </w:pPr>
      <w:r>
        <w:rPr>
          <w:rFonts w:hint="eastAsia"/>
          <w:b/>
          <w:bCs/>
          <w:lang w:val="en-US" w:eastAsia="zh-CN"/>
        </w:rPr>
        <w:t>4.6.</w:t>
      </w:r>
      <w:r>
        <w:rPr>
          <w:rFonts w:hint="default"/>
          <w:b/>
          <w:bCs/>
        </w:rPr>
        <w:t>余方弃置专项技术要求</w:t>
      </w:r>
    </w:p>
    <w:p w14:paraId="2A0F729B">
      <w:pPr>
        <w:bidi w:val="0"/>
        <w:rPr>
          <w:b/>
          <w:bCs/>
        </w:rPr>
      </w:pPr>
      <w:r>
        <w:rPr>
          <w:rFonts w:hint="eastAsia"/>
          <w:b/>
          <w:bCs/>
          <w:lang w:val="en-US" w:eastAsia="zh-CN"/>
        </w:rPr>
        <w:t>4.6.1</w:t>
      </w:r>
      <w:r>
        <w:rPr>
          <w:rFonts w:hint="default"/>
          <w:b/>
          <w:bCs/>
        </w:rPr>
        <w:t>余方分类与判定</w:t>
      </w:r>
    </w:p>
    <w:p w14:paraId="35EE757C">
      <w:pPr>
        <w:bidi w:val="0"/>
        <w:rPr>
          <w:rFonts w:hint="default"/>
        </w:rPr>
      </w:pPr>
      <w:r>
        <w:rPr>
          <w:rFonts w:hint="default"/>
        </w:rPr>
        <w:t>可利用土方 / 石方：经检测符合回填质量要求（含泥量、粒径、强度等），按发包单位指定位置堆放，建立《可利用材料台账》（含来源、数量、堆放位置、使用部位）。</w:t>
      </w:r>
    </w:p>
    <w:p w14:paraId="7A7EDAB4">
      <w:pPr>
        <w:bidi w:val="0"/>
      </w:pPr>
      <w:r>
        <w:rPr>
          <w:rFonts w:hint="default"/>
        </w:rPr>
        <w:t>不可利用余方：包括淤泥、腐殖土、建筑垃圾、爆破废渣（不符合换填要求），需按《珠海市余方弃置分类标准》明确分类，单独标识、单独堆放、单独处置。</w:t>
      </w:r>
    </w:p>
    <w:p w14:paraId="353E2E3F">
      <w:pPr>
        <w:bidi w:val="0"/>
        <w:rPr>
          <w:b/>
          <w:bCs/>
        </w:rPr>
      </w:pPr>
      <w:r>
        <w:rPr>
          <w:rFonts w:hint="eastAsia"/>
          <w:b/>
          <w:bCs/>
          <w:lang w:val="en-US" w:eastAsia="zh-CN"/>
        </w:rPr>
        <w:t>4.6.2</w:t>
      </w:r>
      <w:r>
        <w:rPr>
          <w:rFonts w:hint="default"/>
          <w:b/>
          <w:bCs/>
        </w:rPr>
        <w:t>处置单位与场地要求</w:t>
      </w:r>
    </w:p>
    <w:p w14:paraId="3F3704E6">
      <w:pPr>
        <w:bidi w:val="0"/>
      </w:pPr>
      <w:r>
        <w:rPr>
          <w:rFonts w:hint="default"/>
        </w:rPr>
        <w:t>承包单位需委托具备《珠海市余方弃置处置资质》的单位（提供资质证书、珠海住建部门备案证明），处置场地需为珠海市政府公布的合法消纳场（提供消纳场备案证、场地接收证明），严禁委托无资质单位或向非法消纳场处置余方。</w:t>
      </w:r>
    </w:p>
    <w:p w14:paraId="245CE446">
      <w:pPr>
        <w:bidi w:val="0"/>
        <w:rPr>
          <w:b/>
          <w:bCs/>
        </w:rPr>
      </w:pPr>
      <w:r>
        <w:rPr>
          <w:rFonts w:hint="eastAsia"/>
          <w:b/>
          <w:bCs/>
          <w:lang w:val="en-US" w:eastAsia="zh-CN"/>
        </w:rPr>
        <w:t>4.6.3</w:t>
      </w:r>
      <w:r>
        <w:rPr>
          <w:rFonts w:hint="default"/>
          <w:b/>
          <w:bCs/>
        </w:rPr>
        <w:t>运输技术要求</w:t>
      </w:r>
    </w:p>
    <w:p w14:paraId="16FED245">
      <w:pPr>
        <w:bidi w:val="0"/>
      </w:pPr>
      <w:r>
        <w:rPr>
          <w:rFonts w:hint="default"/>
        </w:rPr>
        <w:t>运输车辆：采用密闭式建筑垃圾运输车（符合 GB/T 29510-2013 标准），安装 GPS 定位装置（接入珠海市建筑垃圾运输监管平台），车身喷绘所属单位名称、联系方式及 “余方弃置” 标识，车厢顶部安装自动篷布（密闭率 100%）。</w:t>
      </w:r>
    </w:p>
    <w:p w14:paraId="66E1DABC">
      <w:pPr>
        <w:bidi w:val="0"/>
      </w:pPr>
      <w:r>
        <w:rPr>
          <w:rFonts w:hint="default"/>
        </w:rPr>
        <w:t>车辆管理：运输车辆需经珠海交警部门备案，驾驶员持有效驾驶证及《珠海市建筑垃圾运输驾驶员培训合格证》；车辆出场前需冲洗车轮及车身（冲洗台长度≥8m，配备高压水枪），确保无泥土遗洒。</w:t>
      </w:r>
    </w:p>
    <w:p w14:paraId="09FF6488">
      <w:pPr>
        <w:bidi w:val="0"/>
      </w:pPr>
      <w:r>
        <w:rPr>
          <w:rFonts w:hint="default"/>
        </w:rPr>
        <w:t>运输路线与时间：按发包单位及珠海交通部门指定路线行驶，避开保障房小区主要出入口及学校、医院等敏感区域；运输时间限定为 7:00-9:00、11:00-14:00、16:00-19:00（避开交通高峰及居民休息时段），严禁夜间（22:00-6:00）运输。</w:t>
      </w:r>
    </w:p>
    <w:p w14:paraId="24A841D4">
      <w:pPr>
        <w:bidi w:val="0"/>
        <w:rPr>
          <w:b/>
          <w:bCs/>
        </w:rPr>
      </w:pPr>
      <w:r>
        <w:rPr>
          <w:rFonts w:hint="eastAsia"/>
          <w:b/>
          <w:bCs/>
          <w:lang w:val="en-US" w:eastAsia="zh-CN"/>
        </w:rPr>
        <w:t>4.6.4</w:t>
      </w:r>
      <w:r>
        <w:rPr>
          <w:rFonts w:hint="default"/>
          <w:b/>
          <w:bCs/>
        </w:rPr>
        <w:t>计量与台账要求</w:t>
      </w:r>
    </w:p>
    <w:p w14:paraId="2640CC0C">
      <w:pPr>
        <w:bidi w:val="0"/>
      </w:pPr>
      <w:r>
        <w:rPr>
          <w:rFonts w:hint="default"/>
        </w:rPr>
        <w:t>余方弃置前需经发包单位、监理单位共同计量（采用过磅法或体积法），签署《余方弃置计量确认单》，明确弃置类别、数量、运输车辆车牌号。</w:t>
      </w:r>
    </w:p>
    <w:p w14:paraId="786EB5B3">
      <w:pPr>
        <w:bidi w:val="0"/>
      </w:pPr>
      <w:r>
        <w:rPr>
          <w:rFonts w:hint="default"/>
        </w:rPr>
        <w:t>建立《余方弃置台账》，内容包括：计量确认单编号、弃置类别、数量、运输单位、车辆车牌号、消纳场名称、处置日期、处置回执编号，台账需每日更新，每周报送发包单位及监理单位。</w:t>
      </w:r>
    </w:p>
    <w:p w14:paraId="251742FD">
      <w:pPr>
        <w:bidi w:val="0"/>
        <w:rPr>
          <w:b/>
          <w:bCs/>
        </w:rPr>
      </w:pPr>
      <w:r>
        <w:rPr>
          <w:rFonts w:hint="eastAsia"/>
          <w:b/>
          <w:bCs/>
          <w:lang w:val="en-US" w:eastAsia="zh-CN"/>
        </w:rPr>
        <w:t>4.6.5</w:t>
      </w:r>
      <w:r>
        <w:rPr>
          <w:rFonts w:hint="default"/>
          <w:b/>
          <w:bCs/>
        </w:rPr>
        <w:t>处置回执要求</w:t>
      </w:r>
    </w:p>
    <w:p w14:paraId="233FD7A1">
      <w:pPr>
        <w:bidi w:val="0"/>
      </w:pPr>
      <w:r>
        <w:rPr>
          <w:rFonts w:hint="default"/>
        </w:rPr>
        <w:t>每批次余方处置完成后，需提供消纳场出具的《余方弃置接收回执》（含处置日期、数量、消纳场盖章、经办人签字），回执需与计量确认单、运输台账一一对应。</w:t>
      </w:r>
    </w:p>
    <w:p w14:paraId="2E63D895">
      <w:pPr>
        <w:bidi w:val="0"/>
      </w:pPr>
      <w:r>
        <w:rPr>
          <w:rFonts w:hint="default"/>
        </w:rPr>
        <w:t>月度汇总《余方弃置处置报告》，附处置单位资质、消纳场备案证、运输车辆 GPS 轨迹、处置回执复印件，报发包单位、监理单位及珠海住建部门备案。</w:t>
      </w:r>
    </w:p>
    <w:p w14:paraId="300EAB5C">
      <w:pPr>
        <w:bidi w:val="0"/>
        <w:rPr>
          <w:rFonts w:hint="default"/>
          <w:b/>
          <w:bCs/>
        </w:rPr>
      </w:pPr>
      <w:r>
        <w:rPr>
          <w:rFonts w:hint="eastAsia"/>
          <w:b/>
          <w:bCs/>
          <w:lang w:val="en-US" w:eastAsia="zh-CN"/>
        </w:rPr>
        <w:t>五</w:t>
      </w:r>
      <w:r>
        <w:rPr>
          <w:rFonts w:hint="default"/>
          <w:b/>
          <w:bCs/>
        </w:rPr>
        <w:t>、工期要求</w:t>
      </w:r>
    </w:p>
    <w:p w14:paraId="1CE3C52E">
      <w:pPr>
        <w:bidi w:val="0"/>
        <w:rPr>
          <w:rFonts w:hint="default"/>
          <w:b/>
          <w:bCs/>
        </w:rPr>
      </w:pPr>
      <w:r>
        <w:rPr>
          <w:rFonts w:hint="eastAsia"/>
          <w:b/>
          <w:bCs/>
          <w:lang w:val="en-US" w:eastAsia="zh-CN"/>
        </w:rPr>
        <w:t>5.1</w:t>
      </w:r>
      <w:r>
        <w:rPr>
          <w:rFonts w:hint="default"/>
          <w:b/>
          <w:bCs/>
        </w:rPr>
        <w:t>总工期</w:t>
      </w:r>
    </w:p>
    <w:p w14:paraId="04253D2F">
      <w:pPr>
        <w:bidi w:val="0"/>
      </w:pPr>
      <w:r>
        <w:rPr>
          <w:rFonts w:hint="eastAsia"/>
          <w:lang w:val="en-US" w:eastAsia="zh-CN"/>
        </w:rPr>
        <w:t>详见总体进度计划中关于承保范围内工期安排</w:t>
      </w:r>
      <w:r>
        <w:rPr>
          <w:rFonts w:hint="default"/>
        </w:rPr>
        <w:t>（具体按招标文件约定，需配合整体项目进度）。</w:t>
      </w:r>
    </w:p>
    <w:p w14:paraId="1FA0E1FC">
      <w:pPr>
        <w:bidi w:val="0"/>
        <w:rPr>
          <w:b/>
          <w:bCs/>
        </w:rPr>
      </w:pPr>
      <w:r>
        <w:rPr>
          <w:rFonts w:hint="eastAsia"/>
          <w:b/>
          <w:bCs/>
          <w:lang w:val="en-US" w:eastAsia="zh-CN"/>
        </w:rPr>
        <w:t>5.2</w:t>
      </w:r>
      <w:r>
        <w:rPr>
          <w:rFonts w:hint="default"/>
          <w:b/>
          <w:bCs/>
        </w:rPr>
        <w:t>关键节点</w:t>
      </w:r>
    </w:p>
    <w:p w14:paraId="37F4C03F">
      <w:pPr>
        <w:bidi w:val="0"/>
      </w:pPr>
      <w:r>
        <w:rPr>
          <w:rFonts w:hint="default"/>
        </w:rPr>
        <w:t>石方边坡爆破及清理：≤</w:t>
      </w:r>
      <w:r>
        <w:rPr>
          <w:rFonts w:hint="eastAsia"/>
          <w:lang w:val="en-US" w:eastAsia="zh-CN"/>
        </w:rPr>
        <w:t>90</w:t>
      </w:r>
      <w:r>
        <w:rPr>
          <w:rFonts w:hint="default"/>
        </w:rPr>
        <w:t xml:space="preserve"> 天（需在雨季前完成，避免雨水冲刷边坡）。</w:t>
      </w:r>
    </w:p>
    <w:p w14:paraId="3B2ABCC0">
      <w:pPr>
        <w:bidi w:val="0"/>
      </w:pPr>
      <w:r>
        <w:rPr>
          <w:rFonts w:hint="default"/>
        </w:rPr>
        <w:t>鱼塘清淤换填：≤</w:t>
      </w:r>
      <w:r>
        <w:rPr>
          <w:rFonts w:hint="eastAsia"/>
          <w:lang w:val="en-US" w:eastAsia="zh-CN"/>
        </w:rPr>
        <w:t>30</w:t>
      </w:r>
      <w:r>
        <w:rPr>
          <w:rFonts w:hint="default"/>
        </w:rPr>
        <w:t>天（需在路基回填前完成）。</w:t>
      </w:r>
    </w:p>
    <w:p w14:paraId="782A35B3">
      <w:pPr>
        <w:bidi w:val="0"/>
      </w:pPr>
      <w:r>
        <w:rPr>
          <w:rFonts w:hint="default"/>
        </w:rPr>
        <w:t>全线路基土方回填、压实：</w:t>
      </w:r>
      <w:r>
        <w:rPr>
          <w:rFonts w:hint="eastAsia"/>
          <w:lang w:val="en-US" w:eastAsia="zh-CN"/>
        </w:rPr>
        <w:t>详见总体进度计划</w:t>
      </w:r>
      <w:r>
        <w:rPr>
          <w:rFonts w:hint="default"/>
        </w:rPr>
        <w:t>。</w:t>
      </w:r>
    </w:p>
    <w:p w14:paraId="085874EC">
      <w:pPr>
        <w:bidi w:val="0"/>
      </w:pPr>
      <w:r>
        <w:rPr>
          <w:rFonts w:hint="default"/>
        </w:rPr>
        <w:t>余方弃置：与开挖、回填同步进行，严禁余方长期堆放（最长不超过 7 天），总弃置工期≤</w:t>
      </w:r>
      <w:r>
        <w:rPr>
          <w:rFonts w:hint="eastAsia"/>
          <w:lang w:val="en-US" w:eastAsia="zh-CN"/>
        </w:rPr>
        <w:t>30</w:t>
      </w:r>
      <w:r>
        <w:rPr>
          <w:rFonts w:hint="default"/>
        </w:rPr>
        <w:t>天。</w:t>
      </w:r>
      <w:bookmarkStart w:id="0" w:name="_GoBack"/>
      <w:bookmarkEnd w:id="0"/>
    </w:p>
    <w:p w14:paraId="1A417421">
      <w:pPr>
        <w:bidi w:val="0"/>
        <w:rPr>
          <w:rFonts w:hint="default"/>
          <w:b/>
          <w:bCs/>
        </w:rPr>
      </w:pPr>
      <w:r>
        <w:rPr>
          <w:rFonts w:hint="eastAsia"/>
          <w:b/>
          <w:bCs/>
          <w:lang w:val="en-US" w:eastAsia="zh-CN"/>
        </w:rPr>
        <w:t>5.3</w:t>
      </w:r>
      <w:r>
        <w:rPr>
          <w:rFonts w:hint="default"/>
          <w:b/>
          <w:bCs/>
        </w:rPr>
        <w:t>工期调整</w:t>
      </w:r>
    </w:p>
    <w:p w14:paraId="53D4B812">
      <w:pPr>
        <w:bidi w:val="0"/>
      </w:pPr>
      <w:r>
        <w:rPr>
          <w:rFonts w:hint="default"/>
        </w:rPr>
        <w:t>因不可抗力（如台风、暴雨）影响工期，需在 24 小时内上报发包单位，办理工期顺延手续。</w:t>
      </w:r>
    </w:p>
    <w:p w14:paraId="62F8CA04">
      <w:pPr>
        <w:bidi w:val="0"/>
        <w:rPr>
          <w:rFonts w:hint="default"/>
          <w:b/>
          <w:bCs/>
        </w:rPr>
      </w:pPr>
      <w:r>
        <w:rPr>
          <w:rFonts w:hint="eastAsia"/>
          <w:b/>
          <w:bCs/>
          <w:lang w:val="en-US" w:eastAsia="zh-CN"/>
        </w:rPr>
        <w:t>六</w:t>
      </w:r>
      <w:r>
        <w:rPr>
          <w:rFonts w:hint="default"/>
          <w:b/>
          <w:bCs/>
        </w:rPr>
        <w:t>、质量要求</w:t>
      </w:r>
    </w:p>
    <w:p w14:paraId="7357F502">
      <w:pPr>
        <w:bidi w:val="0"/>
        <w:rPr>
          <w:rFonts w:hint="default"/>
          <w:b/>
          <w:bCs/>
        </w:rPr>
      </w:pPr>
      <w:r>
        <w:rPr>
          <w:rFonts w:hint="eastAsia"/>
          <w:b/>
          <w:bCs/>
          <w:lang w:val="en-US" w:eastAsia="zh-CN"/>
        </w:rPr>
        <w:t>6.1</w:t>
      </w:r>
      <w:r>
        <w:rPr>
          <w:rFonts w:hint="default"/>
          <w:b/>
          <w:bCs/>
        </w:rPr>
        <w:t>. 材料检测要求</w:t>
      </w:r>
    </w:p>
    <w:p w14:paraId="265F3F60">
      <w:pPr>
        <w:bidi w:val="0"/>
        <w:rPr>
          <w:b/>
          <w:bCs/>
        </w:rPr>
      </w:pPr>
      <w:r>
        <w:rPr>
          <w:rFonts w:hint="eastAsia"/>
          <w:b/>
          <w:bCs/>
          <w:lang w:val="en-US" w:eastAsia="zh-CN"/>
        </w:rPr>
        <w:t>6.1.1</w:t>
      </w:r>
      <w:r>
        <w:rPr>
          <w:rFonts w:hint="default"/>
          <w:b/>
          <w:bCs/>
        </w:rPr>
        <w:t>土样送检</w:t>
      </w:r>
    </w:p>
    <w:p w14:paraId="106CA79A">
      <w:pPr>
        <w:bidi w:val="0"/>
      </w:pPr>
      <w:r>
        <w:rPr>
          <w:rFonts w:hint="default"/>
        </w:rPr>
        <w:t>可利用土方：每 5000m³ 送检 1 组，检测项目包括颗粒级配、含泥量、有机质含量、击实试验（确定最优含水率）。</w:t>
      </w:r>
    </w:p>
    <w:p w14:paraId="18099888">
      <w:pPr>
        <w:bidi w:val="0"/>
      </w:pPr>
      <w:r>
        <w:rPr>
          <w:rFonts w:hint="default"/>
        </w:rPr>
        <w:t>外购土方：每批次（≤10000m³）送检 1 组，除上述项目外，需附加承载力检测。</w:t>
      </w:r>
    </w:p>
    <w:p w14:paraId="1795A8CA">
      <w:pPr>
        <w:bidi w:val="0"/>
      </w:pPr>
      <w:r>
        <w:rPr>
          <w:rFonts w:hint="default"/>
        </w:rPr>
        <w:t>石方：每 3000m³ 送检 1 组，检测强度（≥MU30）、含泥量（≤5%）。</w:t>
      </w:r>
    </w:p>
    <w:p w14:paraId="0BEEB611">
      <w:pPr>
        <w:bidi w:val="0"/>
      </w:pPr>
      <w:r>
        <w:rPr>
          <w:rFonts w:hint="default"/>
        </w:rPr>
        <w:t>检测机构：所有检测需委托珠海备案的第三方检测机构（具备 CMA 资质），检测报告需经发包单位、监理单位确认。</w:t>
      </w:r>
    </w:p>
    <w:p w14:paraId="79EDE4BA">
      <w:pPr>
        <w:bidi w:val="0"/>
        <w:rPr>
          <w:rFonts w:hint="default"/>
          <w:b/>
          <w:bCs/>
        </w:rPr>
      </w:pPr>
      <w:r>
        <w:rPr>
          <w:rFonts w:hint="eastAsia"/>
          <w:b/>
          <w:bCs/>
          <w:lang w:val="en-US" w:eastAsia="zh-CN"/>
        </w:rPr>
        <w:t>6.2</w:t>
      </w:r>
      <w:r>
        <w:rPr>
          <w:rFonts w:hint="default"/>
          <w:b/>
          <w:bCs/>
        </w:rPr>
        <w:t>压实度检测要求</w:t>
      </w:r>
    </w:p>
    <w:p w14:paraId="0CE8733F">
      <w:pPr>
        <w:spacing w:line="360" w:lineRule="auto"/>
        <w:ind w:firstLine="480" w:firstLineChars="200"/>
        <w:rPr>
          <w:rFonts w:hint="default"/>
        </w:rPr>
      </w:pPr>
      <w:r>
        <w:rPr>
          <w:rFonts w:hint="eastAsia"/>
          <w:sz w:val="24"/>
          <w:szCs w:val="20"/>
        </w:rPr>
        <w:t>路基压实度及路基填料强度要求满足下表要求。表中数值均为重型击实标准。</w:t>
      </w:r>
    </w:p>
    <w:tbl>
      <w:tblPr>
        <w:tblStyle w:val="24"/>
        <w:tblW w:w="984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90"/>
        <w:gridCol w:w="1534"/>
        <w:gridCol w:w="1657"/>
        <w:gridCol w:w="2659"/>
        <w:gridCol w:w="2700"/>
      </w:tblGrid>
      <w:tr w14:paraId="17605C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tblHeader/>
          <w:jc w:val="center"/>
        </w:trPr>
        <w:tc>
          <w:tcPr>
            <w:tcW w:w="1290" w:type="dxa"/>
            <w:vAlign w:val="center"/>
          </w:tcPr>
          <w:p w14:paraId="64D27239">
            <w:pPr>
              <w:pStyle w:val="46"/>
              <w:bidi w:val="0"/>
              <w:rPr>
                <w:rFonts w:hint="eastAsia"/>
              </w:rPr>
            </w:pPr>
            <w:r>
              <w:rPr>
                <w:rFonts w:hint="eastAsia"/>
              </w:rPr>
              <w:t>填挖类型</w:t>
            </w:r>
          </w:p>
        </w:tc>
        <w:tc>
          <w:tcPr>
            <w:tcW w:w="1534" w:type="dxa"/>
            <w:vAlign w:val="center"/>
          </w:tcPr>
          <w:p w14:paraId="3C662189">
            <w:pPr>
              <w:pStyle w:val="46"/>
              <w:bidi w:val="0"/>
              <w:rPr>
                <w:rFonts w:hint="eastAsia"/>
              </w:rPr>
            </w:pPr>
            <w:r>
              <w:rPr>
                <w:rFonts w:hint="eastAsia"/>
              </w:rPr>
              <w:t>深度范围（cm）</w:t>
            </w:r>
          </w:p>
        </w:tc>
        <w:tc>
          <w:tcPr>
            <w:tcW w:w="1657" w:type="dxa"/>
            <w:vAlign w:val="center"/>
          </w:tcPr>
          <w:p w14:paraId="2AF52770">
            <w:pPr>
              <w:pStyle w:val="46"/>
              <w:bidi w:val="0"/>
              <w:rPr>
                <w:rFonts w:hint="eastAsia"/>
              </w:rPr>
            </w:pPr>
            <w:r>
              <w:rPr>
                <w:rFonts w:hint="eastAsia"/>
              </w:rPr>
              <w:t>压实度</w:t>
            </w:r>
          </w:p>
          <w:p w14:paraId="522E1F60">
            <w:pPr>
              <w:pStyle w:val="46"/>
              <w:bidi w:val="0"/>
              <w:rPr>
                <w:rFonts w:hint="default"/>
                <w:lang w:val="en-US" w:eastAsia="zh-CN"/>
              </w:rPr>
            </w:pPr>
            <w:r>
              <w:rPr>
                <w:rFonts w:hint="eastAsia"/>
                <w:lang w:eastAsia="zh-CN"/>
              </w:rPr>
              <w:t>（</w:t>
            </w:r>
            <w:r>
              <w:rPr>
                <w:rFonts w:hint="eastAsia"/>
                <w:lang w:val="en-US" w:eastAsia="zh-CN"/>
              </w:rPr>
              <w:t>机动车道）</w:t>
            </w:r>
          </w:p>
        </w:tc>
        <w:tc>
          <w:tcPr>
            <w:tcW w:w="2659" w:type="dxa"/>
            <w:vAlign w:val="center"/>
          </w:tcPr>
          <w:p w14:paraId="5895B5C6">
            <w:pPr>
              <w:pStyle w:val="46"/>
              <w:bidi w:val="0"/>
              <w:rPr>
                <w:rFonts w:hint="eastAsia"/>
              </w:rPr>
            </w:pPr>
            <w:r>
              <w:rPr>
                <w:rFonts w:hint="eastAsia"/>
              </w:rPr>
              <w:t>压实度</w:t>
            </w:r>
          </w:p>
          <w:p w14:paraId="60CE3928">
            <w:pPr>
              <w:pStyle w:val="46"/>
              <w:bidi w:val="0"/>
              <w:rPr>
                <w:rFonts w:hint="eastAsia"/>
              </w:rPr>
            </w:pPr>
            <w:r>
              <w:rPr>
                <w:rFonts w:hint="eastAsia"/>
                <w:lang w:eastAsia="zh-CN"/>
              </w:rPr>
              <w:t>（</w:t>
            </w:r>
            <w:r>
              <w:rPr>
                <w:rFonts w:hint="eastAsia"/>
                <w:lang w:val="en-US" w:eastAsia="zh-CN"/>
              </w:rPr>
              <w:t>人行道）</w:t>
            </w:r>
          </w:p>
        </w:tc>
        <w:tc>
          <w:tcPr>
            <w:tcW w:w="2700" w:type="dxa"/>
            <w:vAlign w:val="center"/>
          </w:tcPr>
          <w:p w14:paraId="760BFEC3">
            <w:pPr>
              <w:pStyle w:val="46"/>
              <w:bidi w:val="0"/>
              <w:rPr>
                <w:rFonts w:hint="eastAsia"/>
              </w:rPr>
            </w:pPr>
            <w:r>
              <w:rPr>
                <w:rFonts w:hint="eastAsia"/>
              </w:rPr>
              <w:t>路基填料强度（CBR）</w:t>
            </w:r>
          </w:p>
        </w:tc>
      </w:tr>
      <w:tr w14:paraId="045EA3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290" w:type="dxa"/>
            <w:vMerge w:val="restart"/>
            <w:vAlign w:val="center"/>
          </w:tcPr>
          <w:p w14:paraId="76B90864">
            <w:pPr>
              <w:pStyle w:val="46"/>
              <w:bidi w:val="0"/>
              <w:rPr>
                <w:rFonts w:hint="eastAsia"/>
              </w:rPr>
            </w:pPr>
            <w:r>
              <w:rPr>
                <w:rFonts w:hint="eastAsia"/>
              </w:rPr>
              <w:t>零填或挖方</w:t>
            </w:r>
          </w:p>
        </w:tc>
        <w:tc>
          <w:tcPr>
            <w:tcW w:w="1534" w:type="dxa"/>
            <w:vAlign w:val="center"/>
          </w:tcPr>
          <w:p w14:paraId="38BCE874">
            <w:pPr>
              <w:pStyle w:val="46"/>
              <w:bidi w:val="0"/>
              <w:rPr>
                <w:rFonts w:hint="eastAsia"/>
              </w:rPr>
            </w:pPr>
            <w:r>
              <w:rPr>
                <w:rFonts w:hint="eastAsia"/>
              </w:rPr>
              <w:t>0～30</w:t>
            </w:r>
          </w:p>
        </w:tc>
        <w:tc>
          <w:tcPr>
            <w:tcW w:w="1657" w:type="dxa"/>
            <w:vAlign w:val="center"/>
          </w:tcPr>
          <w:p w14:paraId="2ED50B0A">
            <w:pPr>
              <w:pStyle w:val="46"/>
              <w:bidi w:val="0"/>
              <w:rPr>
                <w:rFonts w:hint="eastAsia"/>
              </w:rPr>
            </w:pPr>
            <w:r>
              <w:rPr>
                <w:rFonts w:hint="eastAsia"/>
              </w:rPr>
              <w:t>≥</w:t>
            </w:r>
            <w:r>
              <w:rPr>
                <w:rFonts w:hint="eastAsia"/>
                <w:lang w:val="en-US" w:eastAsia="zh-CN"/>
              </w:rPr>
              <w:t>92</w:t>
            </w:r>
            <w:r>
              <w:rPr>
                <w:rFonts w:hint="eastAsia"/>
              </w:rPr>
              <w:t>%</w:t>
            </w:r>
          </w:p>
        </w:tc>
        <w:tc>
          <w:tcPr>
            <w:tcW w:w="2659" w:type="dxa"/>
            <w:vAlign w:val="center"/>
          </w:tcPr>
          <w:p w14:paraId="65C29EB0">
            <w:pPr>
              <w:pStyle w:val="46"/>
              <w:bidi w:val="0"/>
              <w:rPr>
                <w:rFonts w:hint="eastAsia"/>
              </w:rPr>
            </w:pPr>
            <w:r>
              <w:rPr>
                <w:rFonts w:hint="eastAsia"/>
              </w:rPr>
              <w:t>≥9</w:t>
            </w:r>
            <w:r>
              <w:rPr>
                <w:rFonts w:hint="eastAsia"/>
                <w:lang w:val="en-US" w:eastAsia="zh-CN"/>
              </w:rPr>
              <w:t>2</w:t>
            </w:r>
            <w:r>
              <w:rPr>
                <w:rFonts w:hint="eastAsia"/>
              </w:rPr>
              <w:t>%</w:t>
            </w:r>
          </w:p>
        </w:tc>
        <w:tc>
          <w:tcPr>
            <w:tcW w:w="2700" w:type="dxa"/>
            <w:vAlign w:val="center"/>
          </w:tcPr>
          <w:p w14:paraId="2A322906">
            <w:pPr>
              <w:pStyle w:val="46"/>
              <w:bidi w:val="0"/>
              <w:rPr>
                <w:rFonts w:hint="default"/>
                <w:lang w:val="en-US" w:eastAsia="zh-CN"/>
              </w:rPr>
            </w:pPr>
            <w:r>
              <w:rPr>
                <w:rFonts w:hint="eastAsia"/>
                <w:lang w:val="en-US" w:eastAsia="zh-CN"/>
              </w:rPr>
              <w:t>/</w:t>
            </w:r>
          </w:p>
        </w:tc>
      </w:tr>
      <w:tr w14:paraId="4B6AA5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290" w:type="dxa"/>
            <w:vMerge w:val="continue"/>
            <w:vAlign w:val="center"/>
          </w:tcPr>
          <w:p w14:paraId="0F61582C">
            <w:pPr>
              <w:pStyle w:val="46"/>
              <w:bidi w:val="0"/>
              <w:rPr>
                <w:rFonts w:hint="eastAsia"/>
              </w:rPr>
            </w:pPr>
          </w:p>
        </w:tc>
        <w:tc>
          <w:tcPr>
            <w:tcW w:w="1534" w:type="dxa"/>
            <w:vAlign w:val="center"/>
          </w:tcPr>
          <w:p w14:paraId="7B0BFFE7">
            <w:pPr>
              <w:pStyle w:val="46"/>
              <w:bidi w:val="0"/>
              <w:rPr>
                <w:rFonts w:hint="eastAsia"/>
              </w:rPr>
            </w:pPr>
            <w:r>
              <w:rPr>
                <w:rFonts w:hint="eastAsia"/>
              </w:rPr>
              <w:t>30～80</w:t>
            </w:r>
          </w:p>
        </w:tc>
        <w:tc>
          <w:tcPr>
            <w:tcW w:w="1657" w:type="dxa"/>
            <w:vAlign w:val="center"/>
          </w:tcPr>
          <w:p w14:paraId="3219E263">
            <w:pPr>
              <w:pStyle w:val="46"/>
              <w:bidi w:val="0"/>
              <w:rPr>
                <w:rFonts w:hint="eastAsia"/>
              </w:rPr>
            </w:pPr>
            <w:r>
              <w:rPr>
                <w:rFonts w:hint="eastAsia"/>
                <w:lang w:val="en-US" w:eastAsia="zh-CN"/>
              </w:rPr>
              <w:t>/</w:t>
            </w:r>
          </w:p>
        </w:tc>
        <w:tc>
          <w:tcPr>
            <w:tcW w:w="2659" w:type="dxa"/>
            <w:vAlign w:val="center"/>
          </w:tcPr>
          <w:p w14:paraId="786053A9">
            <w:pPr>
              <w:pStyle w:val="46"/>
              <w:bidi w:val="0"/>
              <w:rPr>
                <w:rFonts w:hint="eastAsia"/>
              </w:rPr>
            </w:pPr>
            <w:r>
              <w:rPr>
                <w:rFonts w:hint="eastAsia"/>
                <w:lang w:val="en-US" w:eastAsia="zh-CN"/>
              </w:rPr>
              <w:t>/</w:t>
            </w:r>
          </w:p>
        </w:tc>
        <w:tc>
          <w:tcPr>
            <w:tcW w:w="2700" w:type="dxa"/>
            <w:vAlign w:val="center"/>
          </w:tcPr>
          <w:p w14:paraId="60B7944E">
            <w:pPr>
              <w:pStyle w:val="46"/>
              <w:bidi w:val="0"/>
              <w:rPr>
                <w:rFonts w:hint="default"/>
                <w:lang w:val="en-US" w:eastAsia="zh-CN"/>
              </w:rPr>
            </w:pPr>
            <w:r>
              <w:rPr>
                <w:rFonts w:hint="eastAsia"/>
                <w:lang w:val="en-US" w:eastAsia="zh-CN"/>
              </w:rPr>
              <w:t>/</w:t>
            </w:r>
          </w:p>
        </w:tc>
      </w:tr>
      <w:tr w14:paraId="674419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290" w:type="dxa"/>
            <w:vMerge w:val="restart"/>
            <w:vAlign w:val="center"/>
          </w:tcPr>
          <w:p w14:paraId="1DC4C885">
            <w:pPr>
              <w:pStyle w:val="46"/>
              <w:bidi w:val="0"/>
              <w:rPr>
                <w:rFonts w:hint="eastAsia"/>
              </w:rPr>
            </w:pPr>
            <w:r>
              <w:rPr>
                <w:rFonts w:hint="eastAsia"/>
              </w:rPr>
              <w:t>填方</w:t>
            </w:r>
          </w:p>
        </w:tc>
        <w:tc>
          <w:tcPr>
            <w:tcW w:w="1534" w:type="dxa"/>
            <w:vAlign w:val="center"/>
          </w:tcPr>
          <w:p w14:paraId="1407E995">
            <w:pPr>
              <w:pStyle w:val="46"/>
              <w:bidi w:val="0"/>
              <w:rPr>
                <w:rFonts w:hint="eastAsia"/>
              </w:rPr>
            </w:pPr>
            <w:r>
              <w:rPr>
                <w:rFonts w:hint="eastAsia"/>
              </w:rPr>
              <w:t>0～30</w:t>
            </w:r>
          </w:p>
        </w:tc>
        <w:tc>
          <w:tcPr>
            <w:tcW w:w="1657" w:type="dxa"/>
            <w:vAlign w:val="center"/>
          </w:tcPr>
          <w:p w14:paraId="7607E835">
            <w:pPr>
              <w:pStyle w:val="46"/>
              <w:bidi w:val="0"/>
              <w:rPr>
                <w:rFonts w:hint="eastAsia"/>
              </w:rPr>
            </w:pPr>
            <w:r>
              <w:rPr>
                <w:rFonts w:hint="eastAsia"/>
              </w:rPr>
              <w:t>≥</w:t>
            </w:r>
            <w:r>
              <w:rPr>
                <w:rFonts w:hint="eastAsia"/>
                <w:lang w:val="en-US" w:eastAsia="zh-CN"/>
              </w:rPr>
              <w:t>92</w:t>
            </w:r>
            <w:r>
              <w:rPr>
                <w:rFonts w:hint="eastAsia"/>
              </w:rPr>
              <w:t>%</w:t>
            </w:r>
          </w:p>
        </w:tc>
        <w:tc>
          <w:tcPr>
            <w:tcW w:w="2659" w:type="dxa"/>
            <w:vAlign w:val="center"/>
          </w:tcPr>
          <w:p w14:paraId="66617DFC">
            <w:pPr>
              <w:pStyle w:val="46"/>
              <w:bidi w:val="0"/>
              <w:rPr>
                <w:rFonts w:hint="eastAsia"/>
              </w:rPr>
            </w:pPr>
            <w:r>
              <w:rPr>
                <w:rFonts w:hint="eastAsia"/>
              </w:rPr>
              <w:t>≥9</w:t>
            </w:r>
            <w:r>
              <w:rPr>
                <w:rFonts w:hint="eastAsia"/>
                <w:lang w:val="en-US" w:eastAsia="zh-CN"/>
              </w:rPr>
              <w:t>2</w:t>
            </w:r>
            <w:r>
              <w:rPr>
                <w:rFonts w:hint="eastAsia"/>
              </w:rPr>
              <w:t>%</w:t>
            </w:r>
          </w:p>
        </w:tc>
        <w:tc>
          <w:tcPr>
            <w:tcW w:w="2700" w:type="dxa"/>
            <w:vAlign w:val="center"/>
          </w:tcPr>
          <w:p w14:paraId="0380656B">
            <w:pPr>
              <w:pStyle w:val="46"/>
              <w:bidi w:val="0"/>
              <w:rPr>
                <w:rFonts w:hint="eastAsia"/>
                <w:lang w:eastAsia="zh-CN"/>
              </w:rPr>
            </w:pPr>
            <w:r>
              <w:rPr>
                <w:rFonts w:hint="eastAsia"/>
              </w:rPr>
              <w:t>≥</w:t>
            </w:r>
            <w:r>
              <w:rPr>
                <w:rFonts w:hint="eastAsia"/>
                <w:lang w:val="en-US" w:eastAsia="zh-CN"/>
              </w:rPr>
              <w:t>5</w:t>
            </w:r>
          </w:p>
        </w:tc>
      </w:tr>
      <w:tr w14:paraId="16A10E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290" w:type="dxa"/>
            <w:vMerge w:val="continue"/>
            <w:vAlign w:val="center"/>
          </w:tcPr>
          <w:p w14:paraId="5C5E5D96">
            <w:pPr>
              <w:pStyle w:val="46"/>
              <w:bidi w:val="0"/>
              <w:rPr>
                <w:rFonts w:hint="eastAsia"/>
              </w:rPr>
            </w:pPr>
          </w:p>
        </w:tc>
        <w:tc>
          <w:tcPr>
            <w:tcW w:w="1534" w:type="dxa"/>
            <w:vAlign w:val="center"/>
          </w:tcPr>
          <w:p w14:paraId="4F707A35">
            <w:pPr>
              <w:pStyle w:val="46"/>
              <w:bidi w:val="0"/>
              <w:rPr>
                <w:rFonts w:hint="eastAsia"/>
              </w:rPr>
            </w:pPr>
            <w:r>
              <w:rPr>
                <w:rFonts w:hint="eastAsia"/>
              </w:rPr>
              <w:t>30～80</w:t>
            </w:r>
          </w:p>
        </w:tc>
        <w:tc>
          <w:tcPr>
            <w:tcW w:w="1657" w:type="dxa"/>
            <w:vAlign w:val="center"/>
          </w:tcPr>
          <w:p w14:paraId="2FDBA7B5">
            <w:pPr>
              <w:pStyle w:val="46"/>
              <w:bidi w:val="0"/>
              <w:rPr>
                <w:rFonts w:hint="eastAsia"/>
              </w:rPr>
            </w:pPr>
            <w:r>
              <w:rPr>
                <w:rFonts w:hint="eastAsia"/>
              </w:rPr>
              <w:t>≥</w:t>
            </w:r>
            <w:r>
              <w:rPr>
                <w:rFonts w:hint="eastAsia"/>
                <w:lang w:val="en-US" w:eastAsia="zh-CN"/>
              </w:rPr>
              <w:t>92</w:t>
            </w:r>
            <w:r>
              <w:rPr>
                <w:rFonts w:hint="eastAsia"/>
              </w:rPr>
              <w:t>%</w:t>
            </w:r>
          </w:p>
        </w:tc>
        <w:tc>
          <w:tcPr>
            <w:tcW w:w="2659" w:type="dxa"/>
            <w:vAlign w:val="center"/>
          </w:tcPr>
          <w:p w14:paraId="199CDF21">
            <w:pPr>
              <w:pStyle w:val="46"/>
              <w:bidi w:val="0"/>
              <w:rPr>
                <w:rFonts w:hint="eastAsia"/>
              </w:rPr>
            </w:pPr>
            <w:r>
              <w:rPr>
                <w:rFonts w:hint="eastAsia"/>
              </w:rPr>
              <w:t>≥9</w:t>
            </w:r>
            <w:r>
              <w:rPr>
                <w:rFonts w:hint="eastAsia"/>
                <w:lang w:val="en-US" w:eastAsia="zh-CN"/>
              </w:rPr>
              <w:t>2</w:t>
            </w:r>
            <w:r>
              <w:rPr>
                <w:rFonts w:hint="eastAsia"/>
              </w:rPr>
              <w:t>%</w:t>
            </w:r>
          </w:p>
        </w:tc>
        <w:tc>
          <w:tcPr>
            <w:tcW w:w="2700" w:type="dxa"/>
            <w:vAlign w:val="center"/>
          </w:tcPr>
          <w:p w14:paraId="253FD001">
            <w:pPr>
              <w:pStyle w:val="46"/>
              <w:bidi w:val="0"/>
              <w:rPr>
                <w:rFonts w:hint="eastAsia"/>
                <w:lang w:eastAsia="zh-CN"/>
              </w:rPr>
            </w:pPr>
            <w:r>
              <w:rPr>
                <w:rFonts w:hint="eastAsia"/>
              </w:rPr>
              <w:t>≥</w:t>
            </w:r>
            <w:r>
              <w:rPr>
                <w:rFonts w:hint="eastAsia"/>
                <w:lang w:val="en-US" w:eastAsia="zh-CN"/>
              </w:rPr>
              <w:t>3</w:t>
            </w:r>
          </w:p>
        </w:tc>
      </w:tr>
      <w:tr w14:paraId="7A726F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290" w:type="dxa"/>
            <w:vMerge w:val="continue"/>
            <w:vAlign w:val="center"/>
          </w:tcPr>
          <w:p w14:paraId="7F4FF87F">
            <w:pPr>
              <w:pStyle w:val="46"/>
              <w:bidi w:val="0"/>
              <w:rPr>
                <w:rFonts w:hint="eastAsia"/>
              </w:rPr>
            </w:pPr>
          </w:p>
        </w:tc>
        <w:tc>
          <w:tcPr>
            <w:tcW w:w="1534" w:type="dxa"/>
            <w:vAlign w:val="center"/>
          </w:tcPr>
          <w:p w14:paraId="1EE7908E">
            <w:pPr>
              <w:pStyle w:val="46"/>
              <w:bidi w:val="0"/>
              <w:rPr>
                <w:rFonts w:hint="eastAsia"/>
              </w:rPr>
            </w:pPr>
            <w:r>
              <w:rPr>
                <w:rFonts w:hint="eastAsia"/>
              </w:rPr>
              <w:t>80～150</w:t>
            </w:r>
          </w:p>
        </w:tc>
        <w:tc>
          <w:tcPr>
            <w:tcW w:w="1657" w:type="dxa"/>
            <w:vAlign w:val="center"/>
          </w:tcPr>
          <w:p w14:paraId="74013FDC">
            <w:pPr>
              <w:pStyle w:val="46"/>
              <w:bidi w:val="0"/>
              <w:rPr>
                <w:rFonts w:hint="eastAsia"/>
              </w:rPr>
            </w:pPr>
            <w:r>
              <w:rPr>
                <w:rFonts w:hint="eastAsia"/>
              </w:rPr>
              <w:t>≥9</w:t>
            </w:r>
            <w:r>
              <w:rPr>
                <w:rFonts w:hint="eastAsia"/>
                <w:lang w:val="en-US" w:eastAsia="zh-CN"/>
              </w:rPr>
              <w:t>1</w:t>
            </w:r>
            <w:r>
              <w:rPr>
                <w:rFonts w:hint="eastAsia"/>
              </w:rPr>
              <w:t>%</w:t>
            </w:r>
          </w:p>
        </w:tc>
        <w:tc>
          <w:tcPr>
            <w:tcW w:w="2659" w:type="dxa"/>
            <w:vAlign w:val="center"/>
          </w:tcPr>
          <w:p w14:paraId="35AC85C9">
            <w:pPr>
              <w:pStyle w:val="46"/>
              <w:bidi w:val="0"/>
              <w:rPr>
                <w:rFonts w:hint="eastAsia"/>
              </w:rPr>
            </w:pPr>
            <w:r>
              <w:rPr>
                <w:rFonts w:hint="eastAsia"/>
              </w:rPr>
              <w:t>≥9</w:t>
            </w:r>
            <w:r>
              <w:rPr>
                <w:rFonts w:hint="eastAsia"/>
                <w:lang w:val="en-US" w:eastAsia="zh-CN"/>
              </w:rPr>
              <w:t>1</w:t>
            </w:r>
            <w:r>
              <w:rPr>
                <w:rFonts w:hint="eastAsia"/>
              </w:rPr>
              <w:t>%</w:t>
            </w:r>
          </w:p>
        </w:tc>
        <w:tc>
          <w:tcPr>
            <w:tcW w:w="2700" w:type="dxa"/>
            <w:vAlign w:val="center"/>
          </w:tcPr>
          <w:p w14:paraId="2FFCCAC1">
            <w:pPr>
              <w:pStyle w:val="46"/>
              <w:bidi w:val="0"/>
              <w:rPr>
                <w:rFonts w:hint="eastAsia"/>
                <w:lang w:val="en-US" w:eastAsia="zh-CN"/>
              </w:rPr>
            </w:pPr>
            <w:r>
              <w:rPr>
                <w:rFonts w:hint="eastAsia"/>
              </w:rPr>
              <w:t>≥</w:t>
            </w:r>
            <w:r>
              <w:rPr>
                <w:rFonts w:hint="eastAsia"/>
                <w:lang w:val="en-US" w:eastAsia="zh-CN"/>
              </w:rPr>
              <w:t>3</w:t>
            </w:r>
          </w:p>
        </w:tc>
      </w:tr>
      <w:tr w14:paraId="3A1301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90" w:type="dxa"/>
            <w:vMerge w:val="continue"/>
            <w:vAlign w:val="center"/>
          </w:tcPr>
          <w:p w14:paraId="38B26F5C">
            <w:pPr>
              <w:pStyle w:val="46"/>
              <w:bidi w:val="0"/>
              <w:rPr>
                <w:rFonts w:hint="eastAsia"/>
              </w:rPr>
            </w:pPr>
          </w:p>
        </w:tc>
        <w:tc>
          <w:tcPr>
            <w:tcW w:w="1534" w:type="dxa"/>
            <w:vAlign w:val="center"/>
          </w:tcPr>
          <w:p w14:paraId="3B5711D9">
            <w:pPr>
              <w:pStyle w:val="46"/>
              <w:bidi w:val="0"/>
              <w:rPr>
                <w:rFonts w:hint="eastAsia"/>
              </w:rPr>
            </w:pPr>
            <w:r>
              <w:rPr>
                <w:rFonts w:hint="eastAsia"/>
              </w:rPr>
              <w:t>＞150</w:t>
            </w:r>
          </w:p>
        </w:tc>
        <w:tc>
          <w:tcPr>
            <w:tcW w:w="1657" w:type="dxa"/>
            <w:vAlign w:val="center"/>
          </w:tcPr>
          <w:p w14:paraId="6DE954AD">
            <w:pPr>
              <w:pStyle w:val="46"/>
              <w:bidi w:val="0"/>
              <w:rPr>
                <w:rFonts w:hint="eastAsia"/>
              </w:rPr>
            </w:pPr>
            <w:r>
              <w:rPr>
                <w:rFonts w:hint="eastAsia"/>
              </w:rPr>
              <w:t>≥9</w:t>
            </w:r>
            <w:r>
              <w:rPr>
                <w:rFonts w:hint="eastAsia"/>
                <w:lang w:val="en-US" w:eastAsia="zh-CN"/>
              </w:rPr>
              <w:t>0</w:t>
            </w:r>
            <w:r>
              <w:rPr>
                <w:rFonts w:hint="eastAsia"/>
              </w:rPr>
              <w:t>%</w:t>
            </w:r>
          </w:p>
        </w:tc>
        <w:tc>
          <w:tcPr>
            <w:tcW w:w="2659" w:type="dxa"/>
            <w:vAlign w:val="center"/>
          </w:tcPr>
          <w:p w14:paraId="4D1164EF">
            <w:pPr>
              <w:pStyle w:val="46"/>
              <w:bidi w:val="0"/>
              <w:rPr>
                <w:rFonts w:hint="eastAsia"/>
              </w:rPr>
            </w:pPr>
            <w:r>
              <w:rPr>
                <w:rFonts w:hint="eastAsia"/>
              </w:rPr>
              <w:t>≥9</w:t>
            </w:r>
            <w:r>
              <w:rPr>
                <w:rFonts w:hint="eastAsia"/>
                <w:lang w:val="en-US" w:eastAsia="zh-CN"/>
              </w:rPr>
              <w:t>0</w:t>
            </w:r>
            <w:r>
              <w:rPr>
                <w:rFonts w:hint="eastAsia"/>
              </w:rPr>
              <w:t>%</w:t>
            </w:r>
          </w:p>
        </w:tc>
        <w:tc>
          <w:tcPr>
            <w:tcW w:w="2700" w:type="dxa"/>
            <w:vAlign w:val="center"/>
          </w:tcPr>
          <w:p w14:paraId="71DBF24B">
            <w:pPr>
              <w:pStyle w:val="46"/>
              <w:bidi w:val="0"/>
              <w:rPr>
                <w:rFonts w:hint="eastAsia"/>
                <w:lang w:val="en-US" w:eastAsia="zh-CN"/>
              </w:rPr>
            </w:pPr>
            <w:r>
              <w:rPr>
                <w:rFonts w:hint="eastAsia"/>
              </w:rPr>
              <w:t>≥</w:t>
            </w:r>
            <w:r>
              <w:rPr>
                <w:rFonts w:hint="eastAsia"/>
                <w:lang w:val="en-US" w:eastAsia="zh-CN"/>
              </w:rPr>
              <w:t>2</w:t>
            </w:r>
          </w:p>
        </w:tc>
      </w:tr>
    </w:tbl>
    <w:p w14:paraId="565E415C">
      <w:pPr>
        <w:spacing w:line="360" w:lineRule="auto"/>
        <w:ind w:firstLine="480" w:firstLineChars="200"/>
        <w:rPr>
          <w:rFonts w:hint="eastAsia"/>
          <w:sz w:val="24"/>
          <w:szCs w:val="20"/>
        </w:rPr>
      </w:pPr>
      <w:r>
        <w:rPr>
          <w:rFonts w:hint="eastAsia"/>
          <w:sz w:val="24"/>
          <w:szCs w:val="20"/>
        </w:rPr>
        <w:t>（1）绿化带、填方边坡压实度≥90%。</w:t>
      </w:r>
    </w:p>
    <w:p w14:paraId="44054C72">
      <w:pPr>
        <w:spacing w:line="360" w:lineRule="auto"/>
        <w:ind w:firstLine="480" w:firstLineChars="200"/>
        <w:rPr>
          <w:rFonts w:hint="eastAsia"/>
          <w:sz w:val="24"/>
          <w:szCs w:val="20"/>
        </w:rPr>
      </w:pPr>
      <w:r>
        <w:rPr>
          <w:rFonts w:hint="eastAsia"/>
          <w:sz w:val="24"/>
          <w:szCs w:val="20"/>
        </w:rPr>
        <w:t>（2）路基范围内所要求的压实度若与其他专业等要求不一致处，按高标准执行。</w:t>
      </w:r>
    </w:p>
    <w:p w14:paraId="4E0BBE1E">
      <w:pPr>
        <w:bidi w:val="0"/>
        <w:rPr>
          <w:rFonts w:hint="default"/>
          <w:b/>
          <w:bCs/>
        </w:rPr>
      </w:pPr>
      <w:r>
        <w:rPr>
          <w:rFonts w:hint="eastAsia"/>
          <w:b/>
          <w:bCs/>
          <w:lang w:val="en-US" w:eastAsia="zh-CN"/>
        </w:rPr>
        <w:t>6.3</w:t>
      </w:r>
      <w:r>
        <w:rPr>
          <w:rFonts w:hint="default"/>
          <w:b/>
          <w:bCs/>
        </w:rPr>
        <w:t>路基回填专项质量控制要点</w:t>
      </w:r>
    </w:p>
    <w:p w14:paraId="26045137">
      <w:pPr>
        <w:bidi w:val="0"/>
      </w:pPr>
      <w:r>
        <w:rPr>
          <w:rFonts w:hint="eastAsia"/>
          <w:lang w:val="en-US" w:eastAsia="zh-CN"/>
        </w:rPr>
        <w:t>1）</w:t>
      </w:r>
      <w:r>
        <w:rPr>
          <w:rFonts w:hint="default"/>
        </w:rPr>
        <w:t>最佳含水量控制：</w:t>
      </w:r>
    </w:p>
    <w:p w14:paraId="70BD307C">
      <w:pPr>
        <w:bidi w:val="0"/>
      </w:pPr>
      <w:r>
        <w:rPr>
          <w:rFonts w:hint="default"/>
        </w:rPr>
        <w:t>最优含水量通过击实试验确定（一般黏性土 18-22%，砂壤土 15-18%），回填土实际含水量需控制在最优含水量 ±2% 范围内。</w:t>
      </w:r>
    </w:p>
    <w:p w14:paraId="058C575C">
      <w:pPr>
        <w:bidi w:val="0"/>
      </w:pPr>
      <w:r>
        <w:rPr>
          <w:rFonts w:hint="default"/>
        </w:rPr>
        <w:t>含水量调整：若土料过干（含水量低于最优值 - 2%），采用洒水车均匀洒水（洒水后闷料 24 小时）；若过湿（高于最优值 + 2%），采用翻晒机翻晒或掺入干燥土料调节，直至达标。</w:t>
      </w:r>
    </w:p>
    <w:p w14:paraId="459D2859">
      <w:pPr>
        <w:bidi w:val="0"/>
      </w:pPr>
      <w:r>
        <w:rPr>
          <w:rFonts w:hint="default"/>
        </w:rPr>
        <w:t>检测频率：每批次回填土进场后检测 1 次含水量，施工过程中每 2000㎡抽检 1 次，确保含水量符合要求。</w:t>
      </w:r>
    </w:p>
    <w:p w14:paraId="3781EDC3">
      <w:pPr>
        <w:bidi w:val="0"/>
      </w:pPr>
      <w:r>
        <w:rPr>
          <w:rFonts w:hint="default"/>
        </w:rPr>
        <w:t>土的选择控制：</w:t>
      </w:r>
    </w:p>
    <w:p w14:paraId="315DCDCE">
      <w:pPr>
        <w:bidi w:val="0"/>
      </w:pPr>
      <w:r>
        <w:rPr>
          <w:rFonts w:hint="default"/>
        </w:rPr>
        <w:t>严禁使用淤泥、沼泽土、腐殖土、冻土、膨胀土、盐渍土及含有树根、杂草、建筑垃圾的土类作为回填土。</w:t>
      </w:r>
    </w:p>
    <w:p w14:paraId="5BBD2488">
      <w:pPr>
        <w:bidi w:val="0"/>
      </w:pPr>
      <w:r>
        <w:rPr>
          <w:rFonts w:hint="default"/>
        </w:rPr>
        <w:t>外购土需提供土源地的地质勘察报告及珠海建材备案证明，进场后逐车检查外观（颜色均匀、无杂质），不合格土料严禁卸车。</w:t>
      </w:r>
    </w:p>
    <w:p w14:paraId="6B850265">
      <w:pPr>
        <w:bidi w:val="0"/>
      </w:pPr>
      <w:r>
        <w:rPr>
          <w:rFonts w:hint="eastAsia"/>
          <w:lang w:val="en-US" w:eastAsia="zh-CN"/>
        </w:rPr>
        <w:t>2）</w:t>
      </w:r>
      <w:r>
        <w:rPr>
          <w:rFonts w:hint="default"/>
        </w:rPr>
        <w:t>分层回填厚度控制：</w:t>
      </w:r>
    </w:p>
    <w:p w14:paraId="280219FD">
      <w:pPr>
        <w:bidi w:val="0"/>
      </w:pPr>
      <w:r>
        <w:rPr>
          <w:rFonts w:hint="default"/>
        </w:rPr>
        <w:t>机械压实（15t 振动压路机）：分层厚度≤30cm，最大粒径≤100mm，层厚偏差 ±2cm。</w:t>
      </w:r>
    </w:p>
    <w:p w14:paraId="407DC002">
      <w:pPr>
        <w:bidi w:val="0"/>
      </w:pPr>
      <w:r>
        <w:rPr>
          <w:rFonts w:hint="default"/>
        </w:rPr>
        <w:t>人工夯实（电动冲击夯）：分层厚度≤20cm，最大粒径≤50mm，层厚偏差 ±1cm。</w:t>
      </w:r>
    </w:p>
    <w:p w14:paraId="36E05D4C">
      <w:pPr>
        <w:bidi w:val="0"/>
      </w:pPr>
      <w:r>
        <w:rPr>
          <w:rFonts w:hint="default"/>
        </w:rPr>
        <w:t>最后一层回填厚度：路基顶面最后一层回填厚度</w:t>
      </w:r>
      <w:r>
        <w:rPr>
          <w:rFonts w:hint="eastAsia"/>
          <w:lang w:val="en-US" w:eastAsia="zh-CN"/>
        </w:rPr>
        <w:t>不小于10</w:t>
      </w:r>
      <w:r>
        <w:rPr>
          <w:rFonts w:hint="default"/>
        </w:rPr>
        <w:t>cm，确保顶面平整度及压实度达标，避免超厚导致压实不充分。</w:t>
      </w:r>
    </w:p>
    <w:p w14:paraId="495FF6BD">
      <w:pPr>
        <w:bidi w:val="0"/>
      </w:pPr>
      <w:r>
        <w:rPr>
          <w:rFonts w:hint="eastAsia"/>
          <w:lang w:val="en-US" w:eastAsia="zh-CN"/>
        </w:rPr>
        <w:t>3）</w:t>
      </w:r>
      <w:r>
        <w:rPr>
          <w:rFonts w:hint="default"/>
        </w:rPr>
        <w:t>路基坡度控制：</w:t>
      </w:r>
    </w:p>
    <w:p w14:paraId="59382100">
      <w:pPr>
        <w:bidi w:val="0"/>
      </w:pPr>
      <w:r>
        <w:rPr>
          <w:rFonts w:hint="default"/>
        </w:rPr>
        <w:t>正常路段：路基边坡坡度按设计要求（一般 1:1.5），采用坡度尺检测（每 50m1 点），偏差≤3%；路基横坡按设计要求（一般 1.5-2%），用水准仪检测（每 20m1 断面，每断面 3 点），偏差 ±0.3%。</w:t>
      </w:r>
    </w:p>
    <w:p w14:paraId="004A7E29">
      <w:pPr>
        <w:bidi w:val="0"/>
      </w:pPr>
      <w:r>
        <w:rPr>
          <w:rFonts w:hint="default"/>
        </w:rPr>
        <w:t>超高加宽段：① 超高段：按设计超高横坡施工（最大超高横坡≤6%），分层回填时按超高渐变率调整横坡，每 20m 设置超高控制点，横坡偏差 ±0.1%，避免出现折线或突变。② 加宽段：按设计加宽值施工（一般加宽 0.5-1.0m），加宽部分需设置台阶（台阶宽度≥1m，高度≤30cm，台阶向内倾斜 2-3%），台阶开挖后清理浮土并压实（压实度≥93%），再进行分层回填，确保新旧路基结合紧密。</w:t>
      </w:r>
    </w:p>
    <w:p w14:paraId="3DACFE31">
      <w:pPr>
        <w:bidi w:val="0"/>
      </w:pPr>
      <w:r>
        <w:rPr>
          <w:rFonts w:hint="eastAsia"/>
          <w:lang w:val="en-US" w:eastAsia="zh-CN"/>
        </w:rPr>
        <w:t>4）</w:t>
      </w:r>
      <w:r>
        <w:rPr>
          <w:rFonts w:hint="default"/>
        </w:rPr>
        <w:t>路基排水控制：</w:t>
      </w:r>
    </w:p>
    <w:p w14:paraId="36E2F256">
      <w:pPr>
        <w:bidi w:val="0"/>
      </w:pPr>
      <w:r>
        <w:rPr>
          <w:rFonts w:hint="default"/>
        </w:rPr>
        <w:t>施工期间临时排水：① 路基两侧设置临时排水沟（沟宽 30cm、深 40cm，坡度≥1‰），每隔 50m 设置 1 座沉淀池（尺寸 1m×1m×1m），雨水经沉淀后排放至市政管网，严禁直接冲刷边坡或流入保障房区域。② 雨季施工时，路基顶面做成 2-3% 的横坡，便于排水，雨后及时检查路基含水量，若超标需翻晒处理后再压实。</w:t>
      </w:r>
    </w:p>
    <w:p w14:paraId="2E793AE0">
      <w:pPr>
        <w:bidi w:val="0"/>
      </w:pPr>
      <w:r>
        <w:rPr>
          <w:rFonts w:hint="default"/>
        </w:rPr>
        <w:t>路基成型后永久排水：① 路基边坡外侧设置边沟（矩形或梯形，断面尺寸按设计），沟底坡度≥1‰，沟壁采用 M7.5 水泥砂浆砌筑 MU10 页岩砖，内壁抹 1:2 水泥砂浆压光，防止渗漏。② 超高段路基内侧设置盲沟（采用 Φ100PVC 透水管 + 级配砂石反滤层），盲沟与边沟连通，及时排出路基内部积水，避免路基软化。</w:t>
      </w:r>
    </w:p>
    <w:p w14:paraId="1CE6B508">
      <w:pPr>
        <w:bidi w:val="0"/>
        <w:rPr>
          <w:rFonts w:hint="default"/>
          <w:b/>
          <w:bCs/>
        </w:rPr>
      </w:pPr>
      <w:r>
        <w:rPr>
          <w:rFonts w:hint="eastAsia"/>
          <w:b/>
          <w:bCs/>
          <w:lang w:val="en-US" w:eastAsia="zh-CN"/>
        </w:rPr>
        <w:t>6.4</w:t>
      </w:r>
      <w:r>
        <w:rPr>
          <w:rFonts w:hint="default"/>
          <w:b/>
          <w:bCs/>
        </w:rPr>
        <w:t>余方弃置质量要求</w:t>
      </w:r>
    </w:p>
    <w:p w14:paraId="0EB6AA65">
      <w:pPr>
        <w:bidi w:val="0"/>
      </w:pPr>
      <w:r>
        <w:rPr>
          <w:rFonts w:hint="default"/>
        </w:rPr>
        <w:t>可利用材料堆放期间需保持纯净，严禁混入不可利用杂物（如建筑垃圾、生活垃圾），若污染需重新检测，不合格则按不可利用余方处置。</w:t>
      </w:r>
    </w:p>
    <w:p w14:paraId="0A944F86">
      <w:pPr>
        <w:bidi w:val="0"/>
      </w:pPr>
      <w:r>
        <w:rPr>
          <w:rFonts w:hint="default"/>
        </w:rPr>
        <w:t>不可利用余方分类准确，处置回执真实有效，台账与实际处置情况一致，严禁虚假报备或擅自倾倒。</w:t>
      </w:r>
    </w:p>
    <w:p w14:paraId="74E87FAE">
      <w:pPr>
        <w:bidi w:val="0"/>
      </w:pPr>
      <w:r>
        <w:rPr>
          <w:rFonts w:hint="default"/>
        </w:rPr>
        <w:t>余方弃置过程中需保护施工场地及周边道路、绿化，避免因运输车辆碾压、遗洒造成损坏。</w:t>
      </w:r>
    </w:p>
    <w:p w14:paraId="54B881FF">
      <w:pPr>
        <w:bidi w:val="0"/>
        <w:rPr>
          <w:rFonts w:hint="default"/>
          <w:b/>
          <w:bCs/>
        </w:rPr>
      </w:pPr>
      <w:r>
        <w:rPr>
          <w:rFonts w:hint="eastAsia"/>
          <w:b/>
          <w:bCs/>
          <w:lang w:val="en-US" w:eastAsia="zh-CN"/>
        </w:rPr>
        <w:t>6.5</w:t>
      </w:r>
      <w:r>
        <w:rPr>
          <w:rFonts w:hint="default"/>
          <w:b/>
          <w:bCs/>
        </w:rPr>
        <w:t>其他质量指标</w:t>
      </w:r>
    </w:p>
    <w:p w14:paraId="6F0F2264">
      <w:pPr>
        <w:bidi w:val="0"/>
      </w:pPr>
      <w:r>
        <w:rPr>
          <w:rFonts w:hint="default"/>
        </w:rPr>
        <w:t>石方边坡爆破后块度≤50cm，边坡坡度偏差≤3%，无危石。</w:t>
      </w:r>
    </w:p>
    <w:p w14:paraId="32608E62">
      <w:pPr>
        <w:bidi w:val="0"/>
      </w:pPr>
      <w:r>
        <w:rPr>
          <w:rFonts w:hint="default"/>
        </w:rPr>
        <w:t>桩间土开挖后桩身完好率 100%，基底无扰动、积水。</w:t>
      </w:r>
    </w:p>
    <w:p w14:paraId="6B422D7B">
      <w:pPr>
        <w:bidi w:val="0"/>
      </w:pPr>
      <w:r>
        <w:rPr>
          <w:rFonts w:hint="default"/>
        </w:rPr>
        <w:t>外购土方、石方需提供质量证明文件及珠海备案证明，不合格材料严禁使用。</w:t>
      </w:r>
    </w:p>
    <w:p w14:paraId="3985AB28">
      <w:pPr>
        <w:bidi w:val="0"/>
      </w:pPr>
      <w:r>
        <w:rPr>
          <w:rFonts w:hint="default"/>
        </w:rPr>
        <w:t>所有隐蔽工程（鱼塘清淤、石方换填、桩间土开挖、路基分层回填）需经发包单位、监理单位验收合格并签署记录后，方可进行下道工序。</w:t>
      </w:r>
    </w:p>
    <w:p w14:paraId="49D594AB">
      <w:pPr>
        <w:bidi w:val="0"/>
        <w:rPr>
          <w:rFonts w:hint="default"/>
          <w:b/>
          <w:bCs/>
        </w:rPr>
      </w:pPr>
      <w:r>
        <w:rPr>
          <w:rFonts w:hint="eastAsia"/>
          <w:b/>
          <w:bCs/>
          <w:lang w:val="en-US" w:eastAsia="zh-CN"/>
        </w:rPr>
        <w:t>七</w:t>
      </w:r>
      <w:r>
        <w:rPr>
          <w:rFonts w:hint="default"/>
          <w:b/>
          <w:bCs/>
        </w:rPr>
        <w:t>、注意事项</w:t>
      </w:r>
    </w:p>
    <w:p w14:paraId="64AB30A4">
      <w:pPr>
        <w:bidi w:val="0"/>
        <w:rPr>
          <w:rFonts w:hint="default"/>
        </w:rPr>
      </w:pPr>
      <w:r>
        <w:rPr>
          <w:rFonts w:hint="eastAsia"/>
          <w:lang w:val="en-US" w:eastAsia="zh-CN"/>
        </w:rPr>
        <w:t>7.1</w:t>
      </w:r>
      <w:r>
        <w:rPr>
          <w:rFonts w:hint="default"/>
        </w:rPr>
        <w:t>质量控制要点</w:t>
      </w:r>
    </w:p>
    <w:p w14:paraId="0A4B0C6D">
      <w:pPr>
        <w:bidi w:val="0"/>
      </w:pPr>
      <w:r>
        <w:rPr>
          <w:rFonts w:hint="default"/>
        </w:rPr>
        <w:t>回填前需清除基底杂物、积水，基底压实度≥93%（环刀法检测），不合格需重新处理。</w:t>
      </w:r>
    </w:p>
    <w:p w14:paraId="7F567D13">
      <w:pPr>
        <w:bidi w:val="0"/>
      </w:pPr>
      <w:r>
        <w:rPr>
          <w:rFonts w:hint="default"/>
        </w:rPr>
        <w:t>施工测量需全程监理见证，测量成果需签署确认，确保中线、边线、高程准确无误。</w:t>
      </w:r>
    </w:p>
    <w:p w14:paraId="6DFE160D">
      <w:pPr>
        <w:bidi w:val="0"/>
      </w:pPr>
      <w:r>
        <w:rPr>
          <w:rFonts w:hint="default"/>
        </w:rPr>
        <w:t>分层回填厚度需严格控制，严禁超厚回填，碾压过程需拍摄影像，记录碾压遍数、速度、压实顺序。</w:t>
      </w:r>
    </w:p>
    <w:p w14:paraId="5ACF2C83">
      <w:pPr>
        <w:bidi w:val="0"/>
      </w:pPr>
      <w:r>
        <w:rPr>
          <w:rFonts w:hint="default"/>
        </w:rPr>
        <w:t>石方换填时需确保清淤彻底，避免残留淤泥影响地基承载力，清淤后拍摄塘底全景影像。</w:t>
      </w:r>
    </w:p>
    <w:p w14:paraId="706525FB">
      <w:pPr>
        <w:bidi w:val="0"/>
      </w:pPr>
      <w:r>
        <w:rPr>
          <w:rFonts w:hint="default"/>
        </w:rPr>
        <w:t>爆破作业前需编制专项方案，经珠海相关部门审批及发包单位、监理单位审核同意后实施，爆破过程需全程监理见证。</w:t>
      </w:r>
    </w:p>
    <w:p w14:paraId="6EE0D774">
      <w:pPr>
        <w:bidi w:val="0"/>
      </w:pPr>
      <w:r>
        <w:rPr>
          <w:rFonts w:hint="default"/>
        </w:rPr>
        <w:t>余方分类需准确，可利用材料需经检测合格后方可使用，不可利用余方需及时处置，严禁混合堆放。</w:t>
      </w:r>
    </w:p>
    <w:p w14:paraId="2796B27C">
      <w:pPr>
        <w:bidi w:val="0"/>
        <w:rPr>
          <w:rFonts w:hint="default"/>
        </w:rPr>
      </w:pPr>
      <w:r>
        <w:rPr>
          <w:rFonts w:hint="eastAsia"/>
          <w:lang w:val="en-US" w:eastAsia="zh-CN"/>
        </w:rPr>
        <w:t>7.2</w:t>
      </w:r>
      <w:r>
        <w:rPr>
          <w:rFonts w:hint="default"/>
        </w:rPr>
        <w:t>安全控制要点</w:t>
      </w:r>
    </w:p>
    <w:p w14:paraId="153C58B6">
      <w:pPr>
        <w:bidi w:val="0"/>
      </w:pPr>
      <w:r>
        <w:rPr>
          <w:rFonts w:hint="default"/>
        </w:rPr>
        <w:t>爆破作业：严格执行本技术要求中 “石方边坡爆破专项安全措施”，重点管控警戒区设置、作业人员资质、应急准备，确保无安全事故。</w:t>
      </w:r>
    </w:p>
    <w:p w14:paraId="250416DA">
      <w:pPr>
        <w:bidi w:val="0"/>
      </w:pPr>
      <w:r>
        <w:rPr>
          <w:rFonts w:hint="default"/>
        </w:rPr>
        <w:t>开挖作业：</w:t>
      </w:r>
    </w:p>
    <w:p w14:paraId="7A17B0FD">
      <w:pPr>
        <w:bidi w:val="0"/>
      </w:pPr>
      <w:r>
        <w:rPr>
          <w:rFonts w:hint="default"/>
        </w:rPr>
        <w:t>沟槽、鱼塘开挖深度≥1.5m 时，设临边防护（高度≥1.2m）及逃生梯（间距≤20m）。</w:t>
      </w:r>
    </w:p>
    <w:p w14:paraId="7D4ED99F">
      <w:pPr>
        <w:bidi w:val="0"/>
      </w:pPr>
      <w:r>
        <w:rPr>
          <w:rFonts w:hint="default"/>
        </w:rPr>
        <w:t>桩间土开挖需观察桩身稳定性，发现桩身位移、裂缝及时停工上报。</w:t>
      </w:r>
    </w:p>
    <w:p w14:paraId="7A4361CC">
      <w:pPr>
        <w:bidi w:val="0"/>
      </w:pPr>
      <w:r>
        <w:rPr>
          <w:rFonts w:hint="default"/>
        </w:rPr>
        <w:t>机械安全：</w:t>
      </w:r>
    </w:p>
    <w:p w14:paraId="68C4F4B6">
      <w:pPr>
        <w:bidi w:val="0"/>
      </w:pPr>
      <w:r>
        <w:rPr>
          <w:rFonts w:hint="default"/>
        </w:rPr>
        <w:t>施工机械需定期检修，操作人员持有效证件上岗，严禁酒后作业、违章操作。</w:t>
      </w:r>
    </w:p>
    <w:p w14:paraId="4E927684">
      <w:pPr>
        <w:bidi w:val="0"/>
      </w:pPr>
      <w:r>
        <w:rPr>
          <w:rFonts w:hint="default"/>
        </w:rPr>
        <w:t>挖掘机、压路机作业时与边坡、围挡保持安全距离（≥1.5m），避免坍塌、侧翻。</w:t>
      </w:r>
    </w:p>
    <w:p w14:paraId="378DB6F1">
      <w:pPr>
        <w:bidi w:val="0"/>
      </w:pPr>
      <w:r>
        <w:rPr>
          <w:rFonts w:hint="default"/>
        </w:rPr>
        <w:t>施工用电：</w:t>
      </w:r>
    </w:p>
    <w:p w14:paraId="58E05E86">
      <w:pPr>
        <w:bidi w:val="0"/>
      </w:pPr>
      <w:r>
        <w:rPr>
          <w:rFonts w:hint="default"/>
        </w:rPr>
        <w:t>现场用电实行 “三级配电、两级保护”，配电箱防雨防尘，电缆线架空或埋地敷设（埋深≥50cm），避免碾压破损。</w:t>
      </w:r>
    </w:p>
    <w:p w14:paraId="3664A98C">
      <w:pPr>
        <w:bidi w:val="0"/>
      </w:pPr>
      <w:r>
        <w:rPr>
          <w:rFonts w:hint="default"/>
        </w:rPr>
        <w:t>余方运输安全：</w:t>
      </w:r>
    </w:p>
    <w:p w14:paraId="79198046">
      <w:pPr>
        <w:bidi w:val="0"/>
      </w:pPr>
      <w:r>
        <w:rPr>
          <w:rFonts w:hint="default"/>
        </w:rPr>
        <w:t>运输车辆严禁超载、超速（行驶速度≤50km/h），严禁疲劳驾驶、酒后驾驶。</w:t>
      </w:r>
    </w:p>
    <w:p w14:paraId="11C1FE0D">
      <w:pPr>
        <w:bidi w:val="0"/>
      </w:pPr>
      <w:r>
        <w:rPr>
          <w:rFonts w:hint="default"/>
        </w:rPr>
        <w:t>车辆 GPS 需保持在线，实时上传行驶轨迹，接受珠海交通、住建部门监管。</w:t>
      </w:r>
    </w:p>
    <w:p w14:paraId="767019EC">
      <w:pPr>
        <w:bidi w:val="0"/>
      </w:pPr>
      <w:r>
        <w:rPr>
          <w:rFonts w:hint="default"/>
        </w:rPr>
        <w:t>运输过程中若发生交通事故或车辆故障，需立即上报发包单位及相关部门，妥善处置，避免影响交通及环境。</w:t>
      </w:r>
    </w:p>
    <w:p w14:paraId="12F9EA01">
      <w:pPr>
        <w:bidi w:val="0"/>
        <w:rPr>
          <w:rFonts w:hint="default"/>
          <w:b/>
          <w:bCs/>
        </w:rPr>
      </w:pPr>
      <w:r>
        <w:rPr>
          <w:rFonts w:hint="eastAsia"/>
          <w:b/>
          <w:bCs/>
          <w:lang w:val="en-US" w:eastAsia="zh-CN"/>
        </w:rPr>
        <w:t>7.3</w:t>
      </w:r>
      <w:r>
        <w:rPr>
          <w:rFonts w:hint="default"/>
          <w:b/>
          <w:bCs/>
        </w:rPr>
        <w:t>环保和文明施工要点</w:t>
      </w:r>
    </w:p>
    <w:p w14:paraId="1A1CF276">
      <w:pPr>
        <w:bidi w:val="0"/>
      </w:pPr>
      <w:r>
        <w:rPr>
          <w:rFonts w:hint="eastAsia"/>
          <w:lang w:val="en-US" w:eastAsia="zh-CN"/>
        </w:rPr>
        <w:t>1）</w:t>
      </w:r>
      <w:r>
        <w:rPr>
          <w:rFonts w:hint="default"/>
        </w:rPr>
        <w:t>扬尘控制：</w:t>
      </w:r>
    </w:p>
    <w:p w14:paraId="20266BEA">
      <w:pPr>
        <w:bidi w:val="0"/>
      </w:pPr>
      <w:r>
        <w:rPr>
          <w:rFonts w:hint="default"/>
        </w:rPr>
        <w:t>施工现场设置雾炮机（每 50m1 台）、洒水车（每日洒水≥4 次），PM2.5 实时监测（≤50μg/m³），数据同步上传珠海监管平台。</w:t>
      </w:r>
    </w:p>
    <w:p w14:paraId="68D21171">
      <w:pPr>
        <w:bidi w:val="0"/>
      </w:pPr>
      <w:r>
        <w:rPr>
          <w:rFonts w:hint="default"/>
        </w:rPr>
        <w:t>土方、石方堆放需全覆盖土工布或防雨布，运输车辆需密闭，出场前冲洗车轮，避免遗洒；运输路线沿线若有遗洒，需及时派人清理。</w:t>
      </w:r>
    </w:p>
    <w:p w14:paraId="3502A0E0">
      <w:pPr>
        <w:bidi w:val="0"/>
      </w:pPr>
      <w:r>
        <w:rPr>
          <w:rFonts w:hint="eastAsia"/>
          <w:lang w:val="en-US" w:eastAsia="zh-CN"/>
        </w:rPr>
        <w:t>2）</w:t>
      </w:r>
      <w:r>
        <w:rPr>
          <w:rFonts w:hint="default"/>
        </w:rPr>
        <w:t>噪声控制：</w:t>
      </w:r>
    </w:p>
    <w:p w14:paraId="2F023745">
      <w:pPr>
        <w:bidi w:val="0"/>
      </w:pPr>
      <w:r>
        <w:rPr>
          <w:rFonts w:hint="default"/>
        </w:rPr>
        <w:t>选用低噪声设备，施工时间限定为 7:00-12:00、14:00-19:00（珠海夜间施工禁止时段），临近保障房侧设置降噪围挡（高度≥2.5m）。</w:t>
      </w:r>
    </w:p>
    <w:p w14:paraId="2CB52734">
      <w:pPr>
        <w:bidi w:val="0"/>
      </w:pPr>
      <w:r>
        <w:rPr>
          <w:rFonts w:hint="default"/>
        </w:rPr>
        <w:t>爆破作业需避开居民休息高峰，提前 3 天告知周边居民；运输车辆禁止鸣笛（敏感区域）。</w:t>
      </w:r>
    </w:p>
    <w:p w14:paraId="6FF47D84">
      <w:pPr>
        <w:bidi w:val="0"/>
      </w:pPr>
      <w:r>
        <w:rPr>
          <w:rFonts w:hint="eastAsia"/>
          <w:lang w:val="en-US" w:eastAsia="zh-CN"/>
        </w:rPr>
        <w:t>3）</w:t>
      </w:r>
      <w:r>
        <w:rPr>
          <w:rFonts w:hint="default"/>
        </w:rPr>
        <w:t>水土保持：</w:t>
      </w:r>
    </w:p>
    <w:p w14:paraId="331397F3">
      <w:pPr>
        <w:bidi w:val="0"/>
      </w:pPr>
      <w:r>
        <w:rPr>
          <w:rFonts w:hint="default"/>
        </w:rPr>
        <w:t>雨季施工需设置排水沟、沉淀池，避免雨水冲刷造成水土流失，污水经沉淀后排放，严禁直接排入市政管网。</w:t>
      </w:r>
    </w:p>
    <w:p w14:paraId="536F1BE9">
      <w:pPr>
        <w:bidi w:val="0"/>
      </w:pPr>
      <w:r>
        <w:rPr>
          <w:rFonts w:hint="default"/>
        </w:rPr>
        <w:t>鱼塘换填、边坡爆破后需及时修整坡面，必要时铺设防护网，防止雨水冲刷；余方堆放场地需设置排水设施，避免泥水外流污染周边水体。</w:t>
      </w:r>
    </w:p>
    <w:p w14:paraId="0368E54A">
      <w:pPr>
        <w:bidi w:val="0"/>
      </w:pPr>
      <w:r>
        <w:rPr>
          <w:rFonts w:hint="eastAsia"/>
          <w:lang w:val="en-US" w:eastAsia="zh-CN"/>
        </w:rPr>
        <w:t>4）</w:t>
      </w:r>
      <w:r>
        <w:rPr>
          <w:rFonts w:hint="default"/>
        </w:rPr>
        <w:t>垃圾处置：</w:t>
      </w:r>
    </w:p>
    <w:p w14:paraId="04787E5A">
      <w:pPr>
        <w:bidi w:val="0"/>
      </w:pPr>
      <w:r>
        <w:rPr>
          <w:rFonts w:hint="default"/>
        </w:rPr>
        <w:t>不可利用余方需委托珠海备案的处置单位，运输至指定消纳场，严禁随意倾倒、偷排（珠海对偷排余方的处罚按《珠海市建筑垃圾管理条例》执行，承包单位需承担相应责任）。</w:t>
      </w:r>
    </w:p>
    <w:p w14:paraId="7FEC4BF5">
      <w:pPr>
        <w:bidi w:val="0"/>
      </w:pPr>
      <w:r>
        <w:rPr>
          <w:rFonts w:hint="default"/>
        </w:rPr>
        <w:t>施工垃圾（如包装材料、废弃工具）日产日清，分类堆放，委托合规单位处置，提供处置回执。</w:t>
      </w:r>
    </w:p>
    <w:p w14:paraId="4E94071B">
      <w:pPr>
        <w:bidi w:val="0"/>
        <w:rPr>
          <w:rFonts w:hint="default"/>
          <w:b/>
          <w:bCs/>
        </w:rPr>
      </w:pPr>
      <w:r>
        <w:rPr>
          <w:rFonts w:hint="eastAsia"/>
          <w:b/>
          <w:bCs/>
          <w:lang w:val="en-US" w:eastAsia="zh-CN"/>
        </w:rPr>
        <w:t>7.4</w:t>
      </w:r>
      <w:r>
        <w:rPr>
          <w:rFonts w:hint="default"/>
          <w:b/>
          <w:bCs/>
        </w:rPr>
        <w:t>余方弃置专项注意事项</w:t>
      </w:r>
    </w:p>
    <w:p w14:paraId="0280486F">
      <w:pPr>
        <w:bidi w:val="0"/>
      </w:pPr>
      <w:r>
        <w:rPr>
          <w:rFonts w:hint="default"/>
        </w:rPr>
        <w:t>严禁将生活垃圾、危险废物（如油漆桶、废电池）混入余方处置，若发现需单独分类并按珠海环保部门要求处置。</w:t>
      </w:r>
    </w:p>
    <w:p w14:paraId="0B2FC4FC">
      <w:pPr>
        <w:bidi w:val="0"/>
      </w:pPr>
      <w:r>
        <w:rPr>
          <w:rFonts w:hint="default"/>
        </w:rPr>
        <w:t>消纳场接收余方时，需核对车辆车牌号、弃置数量与台账一致，严禁弄虚作假；若消纳场拒绝接收，需及时更换合规处置单位，不得擅自更改处置地点。</w:t>
      </w:r>
    </w:p>
    <w:p w14:paraId="4A405308">
      <w:pPr>
        <w:bidi w:val="0"/>
      </w:pPr>
      <w:r>
        <w:rPr>
          <w:rFonts w:hint="default"/>
        </w:rPr>
        <w:t>余方运输车辆需遵守珠海市区道路限行规定，严禁在禁行区域、禁行时段行驶。</w:t>
      </w:r>
    </w:p>
    <w:p w14:paraId="1F122556">
      <w:pPr>
        <w:bidi w:val="0"/>
      </w:pPr>
      <w:r>
        <w:rPr>
          <w:rFonts w:hint="default"/>
        </w:rPr>
        <w:t>承包单位需配合珠海住建、交通、环保部门的监督检查，提供余方弃置相关台账、回执、GPS 轨迹等资料，不得拒绝或隐瞒。</w:t>
      </w:r>
    </w:p>
    <w:p w14:paraId="7D9D46CD">
      <w:pPr>
        <w:bidi w:val="0"/>
        <w:rPr>
          <w:rFonts w:hint="default"/>
          <w:b/>
          <w:bCs/>
        </w:rPr>
      </w:pPr>
      <w:r>
        <w:rPr>
          <w:rFonts w:hint="eastAsia"/>
          <w:b/>
          <w:bCs/>
          <w:lang w:val="en-US" w:eastAsia="zh-CN"/>
        </w:rPr>
        <w:t>八、</w:t>
      </w:r>
      <w:r>
        <w:rPr>
          <w:rFonts w:hint="default"/>
          <w:b/>
          <w:bCs/>
        </w:rPr>
        <w:t>影像资料要求</w:t>
      </w:r>
    </w:p>
    <w:p w14:paraId="26588019">
      <w:pPr>
        <w:bidi w:val="0"/>
        <w:rPr>
          <w:rFonts w:hint="default"/>
        </w:rPr>
      </w:pPr>
      <w:r>
        <w:rPr>
          <w:rFonts w:hint="eastAsia"/>
          <w:lang w:val="en-US" w:eastAsia="zh-CN"/>
        </w:rPr>
        <w:t>8.1</w:t>
      </w:r>
      <w:r>
        <w:rPr>
          <w:rFonts w:hint="default"/>
        </w:rPr>
        <w:t>影像资料五大核心要素</w:t>
      </w:r>
    </w:p>
    <w:p w14:paraId="5F223F6B">
      <w:pPr>
        <w:bidi w:val="0"/>
        <w:rPr>
          <w:rFonts w:hint="default"/>
        </w:rPr>
      </w:pPr>
      <w:r>
        <w:rPr>
          <w:rFonts w:hint="default"/>
          <w:lang w:val="en-US" w:eastAsia="zh-CN"/>
        </w:rPr>
        <w:t>所有影像资料需同时包含以下五大要素，水印清晰可见（分辨率≥1200 万像素，视频≥1080P）：</w:t>
      </w:r>
    </w:p>
    <w:p w14:paraId="6ED73A24">
      <w:pPr>
        <w:bidi w:val="0"/>
      </w:pPr>
      <w:r>
        <w:rPr>
          <w:rFonts w:hint="default"/>
        </w:rPr>
        <w:t>基础要素：项目名称（固定为 “广昌保障房配套基础设施项目 - 土石方工程”）；</w:t>
      </w:r>
    </w:p>
    <w:p w14:paraId="7E87347F">
      <w:pPr>
        <w:bidi w:val="0"/>
      </w:pPr>
      <w:r>
        <w:rPr>
          <w:rFonts w:hint="default"/>
        </w:rPr>
        <w:t>时空要素：拍摄时间（精确到秒，格式 “YYYY-MM-DD HH:MM:SS”）、经纬度（误差≤10 米，同步显示坐标值）；</w:t>
      </w:r>
    </w:p>
    <w:p w14:paraId="547B95EA">
      <w:pPr>
        <w:bidi w:val="0"/>
      </w:pPr>
      <w:r>
        <w:rPr>
          <w:rFonts w:hint="default"/>
        </w:rPr>
        <w:t>工序要素：分项工程名称 + 具体工序 + 施工部位（如 “路基回填 - 分层压实 - K0+300-K0+350”）；</w:t>
      </w:r>
    </w:p>
    <w:p w14:paraId="535EBE8F">
      <w:pPr>
        <w:bidi w:val="0"/>
      </w:pPr>
      <w:r>
        <w:rPr>
          <w:rFonts w:hint="default"/>
        </w:rPr>
        <w:t>责任要素：施工班组名称 + 班组长姓名（如 “路基班组 - 张三”）；</w:t>
      </w:r>
    </w:p>
    <w:p w14:paraId="5DB86049">
      <w:pPr>
        <w:bidi w:val="0"/>
      </w:pPr>
      <w:r>
        <w:rPr>
          <w:rFonts w:hint="default"/>
        </w:rPr>
        <w:t>监管要素：珠海地方要求的 “建管通” APP 水印（需接入珠海市建设工程质量安全监督管理平台，自动同步上传状态）。</w:t>
      </w:r>
    </w:p>
    <w:p w14:paraId="22AE6E27">
      <w:pPr>
        <w:bidi w:val="0"/>
        <w:rPr>
          <w:rFonts w:hint="default"/>
        </w:rPr>
      </w:pPr>
      <w:r>
        <w:rPr>
          <w:rFonts w:hint="eastAsia"/>
          <w:lang w:val="en-US" w:eastAsia="zh-CN"/>
        </w:rPr>
        <w:t>8.2</w:t>
      </w:r>
      <w:r>
        <w:rPr>
          <w:rFonts w:hint="default"/>
        </w:rPr>
        <w:t>各分项工程影像拍摄专项要求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41"/>
        <w:gridCol w:w="1571"/>
        <w:gridCol w:w="4368"/>
        <w:gridCol w:w="3002"/>
      </w:tblGrid>
      <w:tr w14:paraId="6195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F2F2F2"/>
            <w:tcMar>
              <w:top w:w="180" w:type="dxa"/>
              <w:left w:w="270" w:type="dxa"/>
              <w:bottom w:w="180" w:type="dxa"/>
              <w:right w:w="270" w:type="dxa"/>
            </w:tcMar>
            <w:vAlign w:val="center"/>
          </w:tcPr>
          <w:p w14:paraId="1AD9C996">
            <w:pPr>
              <w:pStyle w:val="46"/>
              <w:bidi w:val="0"/>
            </w:pPr>
            <w:r>
              <w:rPr>
                <w:lang w:val="en-US" w:eastAsia="zh-CN"/>
              </w:rPr>
              <w:t>分项工程</w:t>
            </w:r>
          </w:p>
        </w:tc>
        <w:tc>
          <w:tcPr>
            <w:tcW w:w="0" w:type="auto"/>
            <w:shd w:val="clear" w:color="auto" w:fill="F2F2F2"/>
            <w:tcMar>
              <w:top w:w="180" w:type="dxa"/>
              <w:left w:w="270" w:type="dxa"/>
              <w:bottom w:w="180" w:type="dxa"/>
              <w:right w:w="270" w:type="dxa"/>
            </w:tcMar>
            <w:vAlign w:val="center"/>
          </w:tcPr>
          <w:p w14:paraId="1BD0A353">
            <w:pPr>
              <w:pStyle w:val="46"/>
              <w:bidi w:val="0"/>
            </w:pPr>
            <w:r>
              <w:rPr>
                <w:lang w:val="en-US" w:eastAsia="zh-CN"/>
              </w:rPr>
              <w:t>拍摄节点</w:t>
            </w:r>
          </w:p>
        </w:tc>
        <w:tc>
          <w:tcPr>
            <w:tcW w:w="4368" w:type="dxa"/>
            <w:shd w:val="clear" w:color="auto" w:fill="F2F2F2"/>
            <w:tcMar>
              <w:top w:w="180" w:type="dxa"/>
              <w:left w:w="270" w:type="dxa"/>
              <w:bottom w:w="180" w:type="dxa"/>
              <w:right w:w="270" w:type="dxa"/>
            </w:tcMar>
            <w:vAlign w:val="center"/>
          </w:tcPr>
          <w:p w14:paraId="5F99885D">
            <w:pPr>
              <w:pStyle w:val="46"/>
              <w:bidi w:val="0"/>
            </w:pPr>
            <w:r>
              <w:rPr>
                <w:lang w:val="en-US" w:eastAsia="zh-CN"/>
              </w:rPr>
              <w:t>核心拍摄内容（需体现五大要素 + 专项要求）</w:t>
            </w:r>
          </w:p>
        </w:tc>
        <w:tc>
          <w:tcPr>
            <w:tcW w:w="3002" w:type="dxa"/>
            <w:shd w:val="clear" w:color="auto" w:fill="F2F2F2"/>
            <w:tcMar>
              <w:top w:w="180" w:type="dxa"/>
              <w:left w:w="270" w:type="dxa"/>
              <w:bottom w:w="180" w:type="dxa"/>
              <w:right w:w="270" w:type="dxa"/>
            </w:tcMar>
            <w:vAlign w:val="center"/>
          </w:tcPr>
          <w:p w14:paraId="4CF435CA">
            <w:pPr>
              <w:pStyle w:val="46"/>
              <w:bidi w:val="0"/>
            </w:pPr>
            <w:r>
              <w:rPr>
                <w:lang w:val="en-US" w:eastAsia="zh-CN"/>
              </w:rPr>
              <w:t>特殊要求（珠海地方监管 + 质量追溯）</w:t>
            </w:r>
          </w:p>
        </w:tc>
      </w:tr>
      <w:tr w14:paraId="1BCB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80" w:type="dxa"/>
              <w:left w:w="270" w:type="dxa"/>
              <w:bottom w:w="180" w:type="dxa"/>
              <w:right w:w="270" w:type="dxa"/>
            </w:tcMar>
            <w:vAlign w:val="center"/>
          </w:tcPr>
          <w:p w14:paraId="6723F092">
            <w:pPr>
              <w:pStyle w:val="46"/>
              <w:bidi w:val="0"/>
            </w:pPr>
            <w:r>
              <w:rPr>
                <w:lang w:val="en-US" w:eastAsia="zh-CN"/>
              </w:rPr>
              <w:t>1. 施工测量</w:t>
            </w:r>
          </w:p>
        </w:tc>
        <w:tc>
          <w:tcPr>
            <w:tcW w:w="0" w:type="auto"/>
            <w:shd w:val="clear" w:color="auto" w:fill="auto"/>
            <w:tcMar>
              <w:top w:w="180" w:type="dxa"/>
              <w:left w:w="270" w:type="dxa"/>
              <w:bottom w:w="180" w:type="dxa"/>
              <w:right w:w="270" w:type="dxa"/>
            </w:tcMar>
            <w:vAlign w:val="center"/>
          </w:tcPr>
          <w:p w14:paraId="285FC50B">
            <w:pPr>
              <w:pStyle w:val="46"/>
              <w:bidi w:val="0"/>
            </w:pPr>
            <w:r>
              <w:rPr>
                <w:lang w:val="en-US" w:eastAsia="zh-CN"/>
              </w:rPr>
              <w:t>① 仪器标定；② 控制点复核；③ 中线 / 边线测设；④ 方格网测量</w:t>
            </w:r>
          </w:p>
        </w:tc>
        <w:tc>
          <w:tcPr>
            <w:tcW w:w="4368" w:type="dxa"/>
            <w:shd w:val="clear" w:color="auto" w:fill="auto"/>
            <w:tcMar>
              <w:top w:w="180" w:type="dxa"/>
              <w:left w:w="270" w:type="dxa"/>
              <w:bottom w:w="180" w:type="dxa"/>
              <w:right w:w="270" w:type="dxa"/>
            </w:tcMar>
            <w:vAlign w:val="center"/>
          </w:tcPr>
          <w:p w14:paraId="3D5ADD04">
            <w:pPr>
              <w:pStyle w:val="46"/>
              <w:bidi w:val="0"/>
            </w:pPr>
            <w:r>
              <w:rPr>
                <w:lang w:val="en-US" w:eastAsia="zh-CN"/>
              </w:rPr>
              <w:t>① 仪器标定：拍摄标定证书（有效期内）+ 仪器编号 + 操作人员；② 控制点复核：拍摄控制点桩位 + 全站仪 / 水准仪操作过程 + 复核数据记录；③ 中线 / 边线：拍摄中线桩（标注桩号、高程）+ 白灰撒线轮廓 + 测量人员；④ 方格网：拍摄方格网布设情况 + 高程测量读数 + 手绘方格网图（监理签字）。</w:t>
            </w:r>
          </w:p>
        </w:tc>
        <w:tc>
          <w:tcPr>
            <w:tcW w:w="3002" w:type="dxa"/>
            <w:shd w:val="clear" w:color="auto" w:fill="auto"/>
            <w:tcMar>
              <w:top w:w="180" w:type="dxa"/>
              <w:left w:w="270" w:type="dxa"/>
              <w:bottom w:w="180" w:type="dxa"/>
              <w:right w:w="270" w:type="dxa"/>
            </w:tcMar>
            <w:vAlign w:val="center"/>
          </w:tcPr>
          <w:p w14:paraId="55654812">
            <w:pPr>
              <w:pStyle w:val="46"/>
              <w:bidi w:val="0"/>
            </w:pPr>
            <w:r>
              <w:rPr>
                <w:lang w:val="en-US" w:eastAsia="zh-CN"/>
              </w:rPr>
              <w:t>1. 测量影像需监理全程见证，拍摄时监理需入镜；2. 方格网高程数据需在影像中可视化（如纸质记录特写）；3. 上传平台时关联《测量控制点复核记录》编号。</w:t>
            </w:r>
          </w:p>
        </w:tc>
      </w:tr>
      <w:tr w14:paraId="190F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80" w:type="dxa"/>
              <w:left w:w="270" w:type="dxa"/>
              <w:bottom w:w="180" w:type="dxa"/>
              <w:right w:w="270" w:type="dxa"/>
            </w:tcMar>
            <w:vAlign w:val="center"/>
          </w:tcPr>
          <w:p w14:paraId="28C2388D">
            <w:pPr>
              <w:pStyle w:val="46"/>
              <w:bidi w:val="0"/>
            </w:pPr>
            <w:r>
              <w:rPr>
                <w:lang w:val="en-US" w:eastAsia="zh-CN"/>
              </w:rPr>
              <w:t>2. 路基回填</w:t>
            </w:r>
          </w:p>
        </w:tc>
        <w:tc>
          <w:tcPr>
            <w:tcW w:w="0" w:type="auto"/>
            <w:shd w:val="clear" w:color="auto" w:fill="auto"/>
            <w:tcMar>
              <w:top w:w="180" w:type="dxa"/>
              <w:left w:w="270" w:type="dxa"/>
              <w:bottom w:w="180" w:type="dxa"/>
              <w:right w:w="270" w:type="dxa"/>
            </w:tcMar>
            <w:vAlign w:val="center"/>
          </w:tcPr>
          <w:p w14:paraId="3595FE94">
            <w:pPr>
              <w:pStyle w:val="46"/>
              <w:bidi w:val="0"/>
            </w:pPr>
            <w:r>
              <w:rPr>
                <w:lang w:val="en-US" w:eastAsia="zh-CN"/>
              </w:rPr>
              <w:t>① 基底处理；② 土料进场验收；③ 分层铺筑；④ 分层压实；⑤ 压实度检测；⑥ 含水量检测</w:t>
            </w:r>
          </w:p>
        </w:tc>
        <w:tc>
          <w:tcPr>
            <w:tcW w:w="4368" w:type="dxa"/>
            <w:shd w:val="clear" w:color="auto" w:fill="auto"/>
            <w:tcMar>
              <w:top w:w="180" w:type="dxa"/>
              <w:left w:w="270" w:type="dxa"/>
              <w:bottom w:w="180" w:type="dxa"/>
              <w:right w:w="270" w:type="dxa"/>
            </w:tcMar>
            <w:vAlign w:val="center"/>
          </w:tcPr>
          <w:p w14:paraId="4A11409E">
            <w:pPr>
              <w:pStyle w:val="46"/>
              <w:bidi w:val="0"/>
            </w:pPr>
            <w:r>
              <w:rPr>
                <w:lang w:val="en-US" w:eastAsia="zh-CN"/>
              </w:rPr>
              <w:t>① 基底处理：拍摄基底清理后全景 + 压实检测过程（环刀取样）；② 土料验收：拍摄外购土运输车辆（车牌）+ 土料外观 + 备案证复印件特写；③ 分层铺筑：拍摄摊平过程 + 钢尺测层厚（显示读数）+ 方格网卸料情况；④ 分层压实：拍摄压路机碾压轨迹 + 碾压遍数计数 + 超高加宽段压实方向；⑤ 压实度检测：拍摄检测人员 + 灌砂法 / 环刀法操作 + 检测数据（如压实度 96%）；⑥ 含水量检测：拍摄烘干法 / 酒精燃烧法操作 + 检测结果（如最优含水率 18%）。</w:t>
            </w:r>
          </w:p>
        </w:tc>
        <w:tc>
          <w:tcPr>
            <w:tcW w:w="3002" w:type="dxa"/>
            <w:shd w:val="clear" w:color="auto" w:fill="auto"/>
            <w:tcMar>
              <w:top w:w="180" w:type="dxa"/>
              <w:left w:w="270" w:type="dxa"/>
              <w:bottom w:w="180" w:type="dxa"/>
              <w:right w:w="270" w:type="dxa"/>
            </w:tcMar>
            <w:vAlign w:val="center"/>
          </w:tcPr>
          <w:p w14:paraId="2A18BCAF">
            <w:pPr>
              <w:pStyle w:val="46"/>
              <w:bidi w:val="0"/>
            </w:pPr>
            <w:r>
              <w:rPr>
                <w:lang w:val="en-US" w:eastAsia="zh-CN"/>
              </w:rPr>
              <w:t>1. 隐蔽工程（基底处理、分层压实）需拍全景 + 特写，确保覆盖施工范围；2. 压实度、含水量检测数据需与第三方报告一致，影像中数据需清晰可辨；3. 最后一层回填需拍摄顶面平整度检测（3m 直尺读数）。</w:t>
            </w:r>
          </w:p>
        </w:tc>
      </w:tr>
      <w:tr w14:paraId="5281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80" w:type="dxa"/>
              <w:left w:w="270" w:type="dxa"/>
              <w:bottom w:w="180" w:type="dxa"/>
              <w:right w:w="270" w:type="dxa"/>
            </w:tcMar>
            <w:vAlign w:val="center"/>
          </w:tcPr>
          <w:p w14:paraId="53DF3668">
            <w:pPr>
              <w:pStyle w:val="46"/>
              <w:bidi w:val="0"/>
            </w:pPr>
            <w:r>
              <w:rPr>
                <w:lang w:val="en-US" w:eastAsia="zh-CN"/>
              </w:rPr>
              <w:t>3. 石方边坡爆破</w:t>
            </w:r>
          </w:p>
        </w:tc>
        <w:tc>
          <w:tcPr>
            <w:tcW w:w="0" w:type="auto"/>
            <w:shd w:val="clear" w:color="auto" w:fill="auto"/>
            <w:tcMar>
              <w:top w:w="180" w:type="dxa"/>
              <w:left w:w="270" w:type="dxa"/>
              <w:bottom w:w="180" w:type="dxa"/>
              <w:right w:w="270" w:type="dxa"/>
            </w:tcMar>
            <w:vAlign w:val="center"/>
          </w:tcPr>
          <w:p w14:paraId="400BF3D1">
            <w:pPr>
              <w:pStyle w:val="46"/>
              <w:bidi w:val="0"/>
            </w:pPr>
            <w:r>
              <w:rPr>
                <w:lang w:val="en-US" w:eastAsia="zh-CN"/>
              </w:rPr>
              <w:t>① 爆破方案交底；② 警戒区设置；③ 防护措施搭设；④ 起爆作业；⑤ 爆破后检查；⑥ 边坡修整</w:t>
            </w:r>
          </w:p>
        </w:tc>
        <w:tc>
          <w:tcPr>
            <w:tcW w:w="4368" w:type="dxa"/>
            <w:shd w:val="clear" w:color="auto" w:fill="auto"/>
            <w:tcMar>
              <w:top w:w="180" w:type="dxa"/>
              <w:left w:w="270" w:type="dxa"/>
              <w:bottom w:w="180" w:type="dxa"/>
              <w:right w:w="270" w:type="dxa"/>
            </w:tcMar>
            <w:vAlign w:val="center"/>
          </w:tcPr>
          <w:p w14:paraId="281B2A2D">
            <w:pPr>
              <w:pStyle w:val="46"/>
              <w:bidi w:val="0"/>
            </w:pPr>
            <w:r>
              <w:rPr>
                <w:lang w:val="en-US" w:eastAsia="zh-CN"/>
              </w:rPr>
              <w:t>① 交底过程：拍摄交底会议 + 全员签字记录特写 + 监理在场见证；② 警戒区：拍摄警戒标志 + 围挡 + 警戒人员（持警戒牌）+ 告知书张贴现场；③ 防护措施：拍摄道路防护棚 + 保障房门窗防护膜 + 防护材料规格；④ 起爆作业：拍摄起爆信号发出（鸣笛）+ 爆破瞬间视频 + 操作人员资质证；⑤ 爆破后检查：拍摄安全员 / 技术员检查盲炮 + 边坡位移观测（全站仪屏幕）；⑥ 边坡修整：拍摄浮石清理过程 + 坡度尺测坡比（显示 1:1.5）。</w:t>
            </w:r>
          </w:p>
        </w:tc>
        <w:tc>
          <w:tcPr>
            <w:tcW w:w="3002" w:type="dxa"/>
            <w:shd w:val="clear" w:color="auto" w:fill="auto"/>
            <w:tcMar>
              <w:top w:w="180" w:type="dxa"/>
              <w:left w:w="270" w:type="dxa"/>
              <w:bottom w:w="180" w:type="dxa"/>
              <w:right w:w="270" w:type="dxa"/>
            </w:tcMar>
            <w:vAlign w:val="center"/>
          </w:tcPr>
          <w:p w14:paraId="3B6C2AFD">
            <w:pPr>
              <w:pStyle w:val="46"/>
              <w:bidi w:val="0"/>
            </w:pPr>
            <w:r>
              <w:rPr>
                <w:lang w:val="en-US" w:eastAsia="zh-CN"/>
              </w:rPr>
              <w:t>1. 爆破全程需拍摄视频，时长≥5 分钟，包含起爆前、起爆中、起爆后完整过程；2. 防护措施影像需体现材料规格（如钢管 Φ48×3.5mm）；3. 上传平台时关联《爆破作业许可证》编号。</w:t>
            </w:r>
          </w:p>
        </w:tc>
      </w:tr>
      <w:tr w14:paraId="3132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80" w:type="dxa"/>
              <w:left w:w="270" w:type="dxa"/>
              <w:bottom w:w="180" w:type="dxa"/>
              <w:right w:w="270" w:type="dxa"/>
            </w:tcMar>
            <w:vAlign w:val="center"/>
          </w:tcPr>
          <w:p w14:paraId="0ABBB3FE">
            <w:pPr>
              <w:pStyle w:val="46"/>
              <w:bidi w:val="0"/>
            </w:pPr>
            <w:r>
              <w:rPr>
                <w:lang w:val="en-US" w:eastAsia="zh-CN"/>
              </w:rPr>
              <w:t>4. 鱼塘石方换填</w:t>
            </w:r>
          </w:p>
        </w:tc>
        <w:tc>
          <w:tcPr>
            <w:tcW w:w="0" w:type="auto"/>
            <w:shd w:val="clear" w:color="auto" w:fill="auto"/>
            <w:tcMar>
              <w:top w:w="180" w:type="dxa"/>
              <w:left w:w="270" w:type="dxa"/>
              <w:bottom w:w="180" w:type="dxa"/>
              <w:right w:w="270" w:type="dxa"/>
            </w:tcMar>
            <w:vAlign w:val="center"/>
          </w:tcPr>
          <w:p w14:paraId="4BC630D2">
            <w:pPr>
              <w:pStyle w:val="46"/>
              <w:bidi w:val="0"/>
            </w:pPr>
            <w:r>
              <w:rPr>
                <w:lang w:val="en-US" w:eastAsia="zh-CN"/>
              </w:rPr>
              <w:t>① 清淤作业；② 石方进场验收；③ 分层铺筑；④ 分层压实；⑤ 调平层施工</w:t>
            </w:r>
          </w:p>
        </w:tc>
        <w:tc>
          <w:tcPr>
            <w:tcW w:w="4368" w:type="dxa"/>
            <w:shd w:val="clear" w:color="auto" w:fill="auto"/>
            <w:tcMar>
              <w:top w:w="180" w:type="dxa"/>
              <w:left w:w="270" w:type="dxa"/>
              <w:bottom w:w="180" w:type="dxa"/>
              <w:right w:w="270" w:type="dxa"/>
            </w:tcMar>
            <w:vAlign w:val="center"/>
          </w:tcPr>
          <w:p w14:paraId="4DF2C538">
            <w:pPr>
              <w:pStyle w:val="46"/>
              <w:bidi w:val="0"/>
            </w:pPr>
            <w:r>
              <w:rPr>
                <w:lang w:val="en-US" w:eastAsia="zh-CN"/>
              </w:rPr>
              <w:t>① 清淤作业：拍摄鱼塘积水抽排 + 淤泥开挖 + 塘底全景（无残留淤泥）；② 石方验收：拍摄石方粒径（≤50cm）+ 质量证明文件 + 检测报告特写；③ 分层铺筑：拍摄石方摊平 + 钢尺测层厚 + 石屑填充过程；④ 分层压实：拍摄压路机碾压 + 灌砂法检测压实度（显示 96%）；⑤ 调平层：拍摄级配砂石铺设 + 压实后平整度检测。</w:t>
            </w:r>
          </w:p>
        </w:tc>
        <w:tc>
          <w:tcPr>
            <w:tcW w:w="3002" w:type="dxa"/>
            <w:shd w:val="clear" w:color="auto" w:fill="auto"/>
            <w:tcMar>
              <w:top w:w="180" w:type="dxa"/>
              <w:left w:w="270" w:type="dxa"/>
              <w:bottom w:w="180" w:type="dxa"/>
              <w:right w:w="270" w:type="dxa"/>
            </w:tcMar>
            <w:vAlign w:val="center"/>
          </w:tcPr>
          <w:p w14:paraId="5DF7C511">
            <w:pPr>
              <w:pStyle w:val="46"/>
              <w:bidi w:val="0"/>
            </w:pPr>
            <w:r>
              <w:rPr>
                <w:lang w:val="en-US" w:eastAsia="zh-CN"/>
              </w:rPr>
              <w:t>1. 清淤影像需体现清淤深度（如标尺插入塘底显示 50cm）；2. 石方换填每层影像需关联《鱼塘换填分层验收记录》；3. 调平层施工需拍摄排水设施（临时排水沟）。</w:t>
            </w:r>
          </w:p>
        </w:tc>
      </w:tr>
      <w:tr w14:paraId="1F1C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80" w:type="dxa"/>
              <w:left w:w="270" w:type="dxa"/>
              <w:bottom w:w="180" w:type="dxa"/>
              <w:right w:w="270" w:type="dxa"/>
            </w:tcMar>
            <w:vAlign w:val="center"/>
          </w:tcPr>
          <w:p w14:paraId="7E928FD0">
            <w:pPr>
              <w:pStyle w:val="46"/>
              <w:bidi w:val="0"/>
            </w:pPr>
            <w:r>
              <w:rPr>
                <w:lang w:val="en-US" w:eastAsia="zh-CN"/>
              </w:rPr>
              <w:t>5. 桩间土开挖</w:t>
            </w:r>
          </w:p>
        </w:tc>
        <w:tc>
          <w:tcPr>
            <w:tcW w:w="0" w:type="auto"/>
            <w:shd w:val="clear" w:color="auto" w:fill="auto"/>
            <w:tcMar>
              <w:top w:w="180" w:type="dxa"/>
              <w:left w:w="270" w:type="dxa"/>
              <w:bottom w:w="180" w:type="dxa"/>
              <w:right w:w="270" w:type="dxa"/>
            </w:tcMar>
            <w:vAlign w:val="center"/>
          </w:tcPr>
          <w:p w14:paraId="2734BE98">
            <w:pPr>
              <w:pStyle w:val="46"/>
              <w:bidi w:val="0"/>
            </w:pPr>
            <w:r>
              <w:rPr>
                <w:lang w:val="en-US" w:eastAsia="zh-CN"/>
              </w:rPr>
              <w:t>① 开挖准备；② 机械 / 人工开挖；③ 桩身保护；④ 基底清理</w:t>
            </w:r>
          </w:p>
        </w:tc>
        <w:tc>
          <w:tcPr>
            <w:tcW w:w="4368" w:type="dxa"/>
            <w:shd w:val="clear" w:color="auto" w:fill="auto"/>
            <w:tcMar>
              <w:top w:w="180" w:type="dxa"/>
              <w:left w:w="270" w:type="dxa"/>
              <w:bottom w:w="180" w:type="dxa"/>
              <w:right w:w="270" w:type="dxa"/>
            </w:tcMar>
            <w:vAlign w:val="center"/>
          </w:tcPr>
          <w:p w14:paraId="3EDB5D1F">
            <w:pPr>
              <w:pStyle w:val="46"/>
              <w:bidi w:val="0"/>
            </w:pPr>
            <w:r>
              <w:rPr>
                <w:lang w:val="en-US" w:eastAsia="zh-CN"/>
              </w:rPr>
              <w:t>① 开挖准备：拍摄桩位标识 + 开挖范围放线 + 小型挖掘机（斗容≤0.5m³）；② 开挖过程：拍摄挖掘机与桩身距离（≥50cm）+ 人工清理桩周土；③ 桩身保护：拍摄桩身表面清理 + 无破损检查（特写桩身）；④ 基底清理：拍摄基底平整 + 无积水 + 平整度检测（15mm/3m）。</w:t>
            </w:r>
          </w:p>
        </w:tc>
        <w:tc>
          <w:tcPr>
            <w:tcW w:w="3002" w:type="dxa"/>
            <w:shd w:val="clear" w:color="auto" w:fill="auto"/>
            <w:tcMar>
              <w:top w:w="180" w:type="dxa"/>
              <w:left w:w="270" w:type="dxa"/>
              <w:bottom w:w="180" w:type="dxa"/>
              <w:right w:w="270" w:type="dxa"/>
            </w:tcMar>
            <w:vAlign w:val="center"/>
          </w:tcPr>
          <w:p w14:paraId="2D35CCDB">
            <w:pPr>
              <w:pStyle w:val="46"/>
              <w:bidi w:val="0"/>
            </w:pPr>
            <w:r>
              <w:rPr>
                <w:lang w:val="en-US" w:eastAsia="zh-CN"/>
              </w:rPr>
              <w:t>1. 影像需体现桩间土开挖无扰动桩身（如挖掘机作业轨迹远离桩身）；2. 基底清理完成后需拍摄全景，确保无杂物、积水；3. 隐蔽验收时监理需入镜签字确认。</w:t>
            </w:r>
          </w:p>
        </w:tc>
      </w:tr>
      <w:tr w14:paraId="5D61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17" w:hRule="atLeast"/>
        </w:trPr>
        <w:tc>
          <w:tcPr>
            <w:tcW w:w="0" w:type="auto"/>
            <w:shd w:val="clear" w:color="auto" w:fill="auto"/>
            <w:tcMar>
              <w:top w:w="180" w:type="dxa"/>
              <w:left w:w="270" w:type="dxa"/>
              <w:bottom w:w="180" w:type="dxa"/>
              <w:right w:w="270" w:type="dxa"/>
            </w:tcMar>
            <w:vAlign w:val="center"/>
          </w:tcPr>
          <w:p w14:paraId="76F74964">
            <w:pPr>
              <w:pStyle w:val="46"/>
              <w:bidi w:val="0"/>
            </w:pPr>
            <w:r>
              <w:rPr>
                <w:lang w:val="en-US" w:eastAsia="zh-CN"/>
              </w:rPr>
              <w:t>6. 余方弃置</w:t>
            </w:r>
          </w:p>
        </w:tc>
        <w:tc>
          <w:tcPr>
            <w:tcW w:w="0" w:type="auto"/>
            <w:shd w:val="clear" w:color="auto" w:fill="auto"/>
            <w:tcMar>
              <w:top w:w="180" w:type="dxa"/>
              <w:left w:w="270" w:type="dxa"/>
              <w:bottom w:w="180" w:type="dxa"/>
              <w:right w:w="270" w:type="dxa"/>
            </w:tcMar>
            <w:vAlign w:val="center"/>
          </w:tcPr>
          <w:p w14:paraId="48594685">
            <w:pPr>
              <w:pStyle w:val="46"/>
              <w:bidi w:val="0"/>
            </w:pPr>
            <w:r>
              <w:rPr>
                <w:lang w:val="en-US" w:eastAsia="zh-CN"/>
              </w:rPr>
              <w:t>① 分类堆放；② 车辆冲洗；③ 密闭运输；④ 消纳场接收</w:t>
            </w:r>
          </w:p>
        </w:tc>
        <w:tc>
          <w:tcPr>
            <w:tcW w:w="4368" w:type="dxa"/>
            <w:shd w:val="clear" w:color="auto" w:fill="auto"/>
            <w:tcMar>
              <w:top w:w="180" w:type="dxa"/>
              <w:left w:w="270" w:type="dxa"/>
              <w:bottom w:w="180" w:type="dxa"/>
              <w:right w:w="270" w:type="dxa"/>
            </w:tcMar>
            <w:vAlign w:val="center"/>
          </w:tcPr>
          <w:p w14:paraId="5F04D967">
            <w:pPr>
              <w:pStyle w:val="46"/>
              <w:bidi w:val="0"/>
            </w:pPr>
            <w:r>
              <w:rPr>
                <w:lang w:val="en-US" w:eastAsia="zh-CN"/>
              </w:rPr>
              <w:t>① 分类堆放：拍摄堆放场地围挡 + 标识牌（可利用 / 不可利用）+ 覆盖措施（土工布）；② 车辆冲洗：拍摄冲洗台作业 + 车轮 / 车身冲洗后无泥土；③ 密闭运输：拍摄运输车辆自动篷布（密闭率 100%）+ GPS 设备安装；④ 消纳场接收：拍摄车辆入场 + 消纳场管理人员签字 + 处置回执特写（含日期、数量）。</w:t>
            </w:r>
          </w:p>
        </w:tc>
        <w:tc>
          <w:tcPr>
            <w:tcW w:w="3002" w:type="dxa"/>
            <w:shd w:val="clear" w:color="auto" w:fill="auto"/>
            <w:tcMar>
              <w:top w:w="180" w:type="dxa"/>
              <w:left w:w="270" w:type="dxa"/>
              <w:bottom w:w="180" w:type="dxa"/>
              <w:right w:w="270" w:type="dxa"/>
            </w:tcMar>
            <w:vAlign w:val="center"/>
          </w:tcPr>
          <w:p w14:paraId="6C01BB71">
            <w:pPr>
              <w:pStyle w:val="46"/>
              <w:bidi w:val="0"/>
            </w:pPr>
            <w:r>
              <w:rPr>
                <w:lang w:val="en-US" w:eastAsia="zh-CN"/>
              </w:rPr>
              <w:t>1. 分类堆放影像需清晰区分可利用 / 不可利用区域，标识牌尺寸≥80cm×60cm；2. 处置回执影像需特写消纳场盖章 + 经办人签字；3. 上传平台时关联《余方弃置台账》编号 + 运输车辆 GPS 轨迹截图。</w:t>
            </w:r>
          </w:p>
        </w:tc>
      </w:tr>
    </w:tbl>
    <w:p w14:paraId="1AEFF542">
      <w:pPr>
        <w:bidi w:val="0"/>
        <w:rPr>
          <w:rFonts w:hint="default"/>
          <w:b/>
          <w:bCs/>
        </w:rPr>
      </w:pPr>
      <w:r>
        <w:rPr>
          <w:rFonts w:hint="eastAsia"/>
          <w:b/>
          <w:bCs/>
          <w:lang w:val="en-US" w:eastAsia="zh-CN"/>
        </w:rPr>
        <w:t>8.3</w:t>
      </w:r>
      <w:r>
        <w:rPr>
          <w:rFonts w:hint="default"/>
          <w:b/>
          <w:bCs/>
        </w:rPr>
        <w:t>影像资料存储与提交要求</w:t>
      </w:r>
    </w:p>
    <w:p w14:paraId="78D7A09E">
      <w:pPr>
        <w:bidi w:val="0"/>
      </w:pPr>
      <w:r>
        <w:rPr>
          <w:rFonts w:hint="default"/>
        </w:rPr>
        <w:t>文件命名规则：统一按 “项目 - 分项工程 - 工序 - 部位 - 日期 - 班组” 格式命名（如 “广昌保障房 - 路基回填 - 分层压实 - K0+300-20251215 - 路基班组”），避免重名。</w:t>
      </w:r>
    </w:p>
    <w:p w14:paraId="5D89D04B">
      <w:pPr>
        <w:bidi w:val="0"/>
      </w:pPr>
      <w:r>
        <w:rPr>
          <w:rFonts w:hint="default"/>
        </w:rPr>
        <w:t>提交频率：每日 18:00 前将当日影像上传至珠海市建设工程质量安全监督管理平台及发包单位指定平台；每周五 17:00 前提交纸质影像台账（附施工负责人、监理签字），台账需注明影像文件名称、拍摄节点、关联资料编号。</w:t>
      </w:r>
    </w:p>
    <w:p w14:paraId="7C2C5F18">
      <w:pPr>
        <w:bidi w:val="0"/>
      </w:pPr>
      <w:r>
        <w:rPr>
          <w:rFonts w:hint="default"/>
        </w:rPr>
        <w:t>归档要求：影像资料归档期限≥10 年（珠海地方规定），电子文件需存储在加密硬盘（双备份），纸质台账与工程资料同步留存，确保可追溯。</w:t>
      </w:r>
    </w:p>
    <w:p w14:paraId="10E8A264">
      <w:pPr>
        <w:bidi w:val="0"/>
      </w:pPr>
      <w:r>
        <w:rPr>
          <w:rFonts w:hint="default"/>
        </w:rPr>
        <w:t>质量要求：影像清晰无模糊、无遮挡，水印完整无缺失，拍摄角度需能体现关键工序、人员、设备及数据，严禁伪造、篡改影像（一经发现按不合格工序处理）。</w:t>
      </w:r>
    </w:p>
    <w:p w14:paraId="1F2CB0AC">
      <w:pPr>
        <w:bidi w:val="0"/>
        <w:rPr>
          <w:rFonts w:hint="default"/>
          <w:b/>
          <w:bCs/>
        </w:rPr>
      </w:pPr>
      <w:r>
        <w:rPr>
          <w:rFonts w:hint="eastAsia"/>
          <w:b/>
          <w:bCs/>
          <w:lang w:val="en-US" w:eastAsia="zh-CN"/>
        </w:rPr>
        <w:t>九</w:t>
      </w:r>
      <w:r>
        <w:rPr>
          <w:rFonts w:hint="default"/>
          <w:b/>
          <w:bCs/>
        </w:rPr>
        <w:t>、工程资料要求</w:t>
      </w:r>
    </w:p>
    <w:p w14:paraId="66045C5B">
      <w:pPr>
        <w:bidi w:val="0"/>
      </w:pPr>
      <w:r>
        <w:rPr>
          <w:rFonts w:hint="eastAsia"/>
          <w:lang w:val="en-US" w:eastAsia="zh-CN"/>
        </w:rPr>
        <w:t>9.1</w:t>
      </w:r>
      <w:r>
        <w:rPr>
          <w:rFonts w:hint="default"/>
        </w:rPr>
        <w:t>前期资料：</w:t>
      </w:r>
    </w:p>
    <w:p w14:paraId="4EEEA457">
      <w:pPr>
        <w:bidi w:val="0"/>
        <w:rPr>
          <w:rFonts w:hint="default"/>
        </w:rPr>
      </w:pPr>
      <w:r>
        <w:rPr>
          <w:rFonts w:hint="default"/>
        </w:rPr>
        <w:t>专项施工方案（爆破、余方弃置）</w:t>
      </w:r>
    </w:p>
    <w:p w14:paraId="02E09F36">
      <w:pPr>
        <w:bidi w:val="0"/>
      </w:pPr>
      <w:r>
        <w:rPr>
          <w:rFonts w:hint="default"/>
        </w:rPr>
        <w:t>材料质量证明文件（外购土方 / 石方备案证、质量证明、检测报告）。</w:t>
      </w:r>
    </w:p>
    <w:p w14:paraId="0A528AB0">
      <w:pPr>
        <w:bidi w:val="0"/>
      </w:pPr>
      <w:r>
        <w:rPr>
          <w:rFonts w:hint="default"/>
        </w:rPr>
        <w:t>施工机械、特种作业人员资质证明（设备检修记录、作业证复印件、珠海爆破协会培训合格证明、余方运输驾驶员培训合格证）。</w:t>
      </w:r>
    </w:p>
    <w:p w14:paraId="0455284A">
      <w:pPr>
        <w:bidi w:val="0"/>
      </w:pPr>
      <w:r>
        <w:rPr>
          <w:rFonts w:hint="default"/>
        </w:rPr>
        <w:t>爆破作业相关文件：《爆破作业许可证》、《爆破作业告知书》、安全技术交底记录、爆破器材领用台账。</w:t>
      </w:r>
    </w:p>
    <w:p w14:paraId="69BEF8DF">
      <w:pPr>
        <w:bidi w:val="0"/>
      </w:pPr>
      <w:r>
        <w:rPr>
          <w:rFonts w:hint="default"/>
        </w:rPr>
        <w:t>余方弃置相关文件：处置单位资质证书、珠海备案证明、消纳场备案证、运输车辆 GPS 备案证明。</w:t>
      </w:r>
    </w:p>
    <w:p w14:paraId="24805B13">
      <w:pPr>
        <w:bidi w:val="0"/>
      </w:pPr>
      <w:r>
        <w:rPr>
          <w:rFonts w:hint="eastAsia"/>
          <w:lang w:val="en-US" w:eastAsia="zh-CN"/>
        </w:rPr>
        <w:t>9.2</w:t>
      </w:r>
      <w:r>
        <w:rPr>
          <w:rFonts w:hint="default"/>
        </w:rPr>
        <w:t>过程资料：</w:t>
      </w:r>
    </w:p>
    <w:p w14:paraId="0895559C">
      <w:pPr>
        <w:bidi w:val="0"/>
      </w:pPr>
      <w:r>
        <w:rPr>
          <w:rFonts w:hint="default"/>
        </w:rPr>
        <w:t>隐蔽工程验收记录（基底处理、清淤、换填、桩间土开挖、路基分层回填），需发包单位、监理单位签字确认。</w:t>
      </w:r>
    </w:p>
    <w:p w14:paraId="320802BA">
      <w:pPr>
        <w:bidi w:val="0"/>
      </w:pPr>
      <w:r>
        <w:rPr>
          <w:rFonts w:hint="default"/>
        </w:rPr>
        <w:t>检测报告（土样、石样、压实度、承载力、边坡稳定性、含水量、击实试验等），检测数据需与影像资料对应。</w:t>
      </w:r>
    </w:p>
    <w:p w14:paraId="03F264BE">
      <w:pPr>
        <w:bidi w:val="0"/>
      </w:pPr>
      <w:r>
        <w:rPr>
          <w:rFonts w:hint="default"/>
        </w:rPr>
        <w:t>施工日志（记录每日施工部位、工程量、机械人员投入、天气、质量安全情况，爆破作业、余方弃置、测量放线需单独记录关键信息）。</w:t>
      </w:r>
    </w:p>
    <w:p w14:paraId="2D691469">
      <w:pPr>
        <w:bidi w:val="0"/>
      </w:pPr>
      <w:r>
        <w:rPr>
          <w:rFonts w:hint="default"/>
        </w:rPr>
        <w:t>余方弃置专项资料：《余方弃置计量确认单》、《可利用材料台账》、《余方弃置台账》、处置回执、运输车辆 GPS 轨迹截图、月度处置报告。</w:t>
      </w:r>
    </w:p>
    <w:p w14:paraId="00E91955">
      <w:pPr>
        <w:bidi w:val="0"/>
      </w:pPr>
      <w:r>
        <w:rPr>
          <w:rFonts w:hint="default"/>
        </w:rPr>
        <w:t>测量放线记录（中线、边线、方格网测量成果表，附测量示意图，监理签字确认）。</w:t>
      </w:r>
    </w:p>
    <w:p w14:paraId="74821235">
      <w:pPr>
        <w:bidi w:val="0"/>
      </w:pPr>
      <w:r>
        <w:rPr>
          <w:rFonts w:hint="default"/>
        </w:rPr>
        <w:t>应急预案及演练记录、安全事故（如有）处理报告。</w:t>
      </w:r>
    </w:p>
    <w:p w14:paraId="2CE5D22A">
      <w:pPr>
        <w:bidi w:val="0"/>
      </w:pPr>
      <w:r>
        <w:rPr>
          <w:rFonts w:hint="eastAsia"/>
          <w:lang w:val="en-US" w:eastAsia="zh-CN"/>
        </w:rPr>
        <w:t>9.3</w:t>
      </w:r>
      <w:r>
        <w:rPr>
          <w:rFonts w:hint="default"/>
        </w:rPr>
        <w:t>竣工资料：</w:t>
      </w:r>
    </w:p>
    <w:p w14:paraId="54E8091C">
      <w:pPr>
        <w:bidi w:val="0"/>
      </w:pPr>
      <w:r>
        <w:rPr>
          <w:rFonts w:hint="default"/>
        </w:rPr>
        <w:t>分部分项工程验收记录、质量评定报告。</w:t>
      </w:r>
    </w:p>
    <w:p w14:paraId="3C623847">
      <w:pPr>
        <w:bidi w:val="0"/>
      </w:pPr>
      <w:r>
        <w:rPr>
          <w:rFonts w:hint="default"/>
        </w:rPr>
        <w:t>影像资料台账（含电子文件、纸质台账）。</w:t>
      </w:r>
    </w:p>
    <w:p w14:paraId="6DF1A215">
      <w:pPr>
        <w:bidi w:val="0"/>
      </w:pPr>
      <w:r>
        <w:rPr>
          <w:rFonts w:hint="default"/>
        </w:rPr>
        <w:t>竣工图（标注实际施工范围、回填厚度、换填深度、爆破区域、余方堆放及处置路线、测量控制点、排水设施位置）。</w:t>
      </w:r>
    </w:p>
    <w:p w14:paraId="4EF6007F">
      <w:pPr>
        <w:bidi w:val="0"/>
      </w:pPr>
      <w:r>
        <w:rPr>
          <w:rFonts w:hint="default"/>
        </w:rPr>
        <w:t>资料归档：所有资料需按《珠海市城建档案管理规定》整理，纸质资料一式四份（发包单位、监理单位、城建档案馆、承包单位各一份），电子资料刻录光盘归档，确保资料完整、可追溯。</w:t>
      </w:r>
    </w:p>
    <w:p w14:paraId="47F079B7">
      <w:pPr>
        <w:bidi w:val="0"/>
        <w:ind w:left="0" w:leftChars="0" w:firstLine="0" w:firstLineChars="0"/>
        <w:rPr>
          <w:rFonts w:hint="default"/>
          <w:lang w:val="en-US" w:eastAsia="zh-CN"/>
        </w:rPr>
      </w:pPr>
      <w:r>
        <w:rPr>
          <w:rFonts w:hint="eastAsia"/>
          <w:lang w:val="en-US" w:eastAsia="zh-CN"/>
        </w:rPr>
        <w:t xml:space="preserve">以下无正文 </w:t>
      </w:r>
    </w:p>
    <w:sectPr>
      <w:headerReference r:id="rId5" w:type="default"/>
      <w:footerReference r:id="rId6" w:type="default"/>
      <w:pgSz w:w="11906" w:h="16838"/>
      <w:pgMar w:top="1247" w:right="1247" w:bottom="1247" w:left="1247" w:header="680" w:footer="680" w:gutter="170"/>
      <w:pgBorders>
        <w:top w:val="none" w:sz="0" w:space="0"/>
        <w:left w:val="none" w:sz="0" w:space="0"/>
        <w:bottom w:val="none" w:sz="0" w:space="0"/>
        <w:right w:val="none" w:sz="0" w:space="0"/>
      </w:pgBorders>
      <w:pgNumType w:fmt="decimal"/>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222E">
    <w:pPr>
      <w:pStyle w:val="13"/>
      <w:spacing w:line="200" w:lineRule="exact"/>
      <w:ind w:firstLine="0" w:firstLineChars="0"/>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113D0">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79</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561113D0">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79</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C1A7">
    <w:pPr>
      <w:pStyle w:val="14"/>
      <w:ind w:left="0" w:leftChars="0" w:firstLine="0" w:firstLineChars="0"/>
      <w:jc w:val="both"/>
      <w:rPr>
        <w:rFonts w:hint="default"/>
        <w:lang w:val="en-US"/>
      </w:rPr>
    </w:pPr>
    <w:r>
      <w:rPr>
        <w:rFonts w:hint="eastAsia"/>
        <w:b/>
        <w:bCs/>
        <w:sz w:val="44"/>
        <w:szCs w:val="52"/>
      </w:rPr>
      <w:drawing>
        <wp:inline distT="0" distB="0" distL="114300" distR="114300">
          <wp:extent cx="1126490" cy="256540"/>
          <wp:effectExtent l="0" t="0" r="1270" b="2540"/>
          <wp:docPr id="112" name="图片 2" descr="南粤建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2" descr="南粤建筑"/>
                  <pic:cNvPicPr>
                    <a:picLocks noChangeAspect="1"/>
                  </pic:cNvPicPr>
                </pic:nvPicPr>
                <pic:blipFill>
                  <a:blip r:embed="rId1"/>
                  <a:stretch>
                    <a:fillRect/>
                  </a:stretch>
                </pic:blipFill>
                <pic:spPr>
                  <a:xfrm>
                    <a:off x="0" y="0"/>
                    <a:ext cx="1126490" cy="256540"/>
                  </a:xfrm>
                  <a:prstGeom prst="rect">
                    <a:avLst/>
                  </a:prstGeom>
                  <a:noFill/>
                  <a:ln>
                    <a:noFill/>
                  </a:ln>
                </pic:spPr>
              </pic:pic>
            </a:graphicData>
          </a:graphic>
        </wp:inline>
      </w:drawing>
    </w:r>
    <w:r>
      <w:rPr>
        <w:rFonts w:hint="eastAsia"/>
        <w:lang w:val="en-US" w:eastAsia="zh-CN"/>
      </w:rPr>
      <w:t xml:space="preserve">                                广昌保障房配套基础设施项目土石方工程招标技术要求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620CDA"/>
    <w:multiLevelType w:val="multilevel"/>
    <w:tmpl w:val="24620CDA"/>
    <w:lvl w:ilvl="0" w:tentative="0">
      <w:start w:val="1"/>
      <w:numFmt w:val="chineseCountingThousand"/>
      <w:pStyle w:val="2"/>
      <w:suff w:val="space"/>
      <w:lvlText w:val="第 %1 章"/>
      <w:lvlJc w:val="left"/>
      <w:pPr>
        <w:ind w:left="0" w:firstLine="0"/>
      </w:pPr>
      <w:rPr>
        <w:rFonts w:hint="default" w:ascii="Times New Roman" w:hAnsi="Times New Roman" w:eastAsia="宋体"/>
        <w:b/>
        <w:i w:val="0"/>
        <w:color w:val="auto"/>
        <w:sz w:val="32"/>
        <w:u w:val="none"/>
      </w:rPr>
    </w:lvl>
    <w:lvl w:ilvl="1" w:tentative="0">
      <w:start w:val="1"/>
      <w:numFmt w:val="decimal"/>
      <w:pStyle w:val="3"/>
      <w:suff w:val="space"/>
      <w:lvlText w:val="第 %2 节"/>
      <w:lvlJc w:val="left"/>
      <w:pPr>
        <w:ind w:left="0" w:firstLine="57"/>
      </w:pPr>
      <w:rPr>
        <w:rFonts w:hint="default" w:ascii="Times New Roman" w:hAnsi="Times New Roman" w:eastAsia="宋体"/>
        <w:b/>
        <w:bCs w:val="0"/>
        <w:i w:val="0"/>
        <w:iCs w:val="0"/>
        <w:caps w:val="0"/>
        <w:smallCaps w:val="0"/>
        <w:strike w:val="0"/>
        <w:dstrike w:val="0"/>
        <w:outline w:val="0"/>
        <w:shadow w:val="0"/>
        <w:emboss w:val="0"/>
        <w:imprint w:val="0"/>
        <w:vanish w:val="0"/>
        <w:spacing w:val="0"/>
        <w:position w:val="0"/>
        <w:sz w:val="3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pStyle w:val="4"/>
      <w:suff w:val="space"/>
      <w:lvlText w:val="%2.%3"/>
      <w:lvlJc w:val="left"/>
      <w:pPr>
        <w:ind w:left="0" w:firstLine="0"/>
      </w:pPr>
      <w:rPr>
        <w:rFonts w:hint="default" w:ascii="Times New Roman" w:hAnsi="Times New Roman" w:eastAsia="宋体"/>
        <w:b/>
        <w:i w:val="0"/>
        <w:sz w:val="28"/>
        <w:u w:val="none"/>
      </w:rPr>
    </w:lvl>
    <w:lvl w:ilvl="3" w:tentative="0">
      <w:start w:val="1"/>
      <w:numFmt w:val="decimal"/>
      <w:pStyle w:val="5"/>
      <w:suff w:val="space"/>
      <w:lvlText w:val="%2.%3.%4"/>
      <w:lvlJc w:val="left"/>
      <w:pPr>
        <w:ind w:left="0" w:firstLine="0"/>
      </w:pPr>
      <w:rPr>
        <w:rFonts w:hint="default" w:ascii="Times New Roman" w:hAnsi="Times New Roman" w:eastAsia="宋体"/>
        <w:b w:val="0"/>
        <w:i w:val="0"/>
        <w:sz w:val="24"/>
        <w:u w:val="none"/>
      </w:rPr>
    </w:lvl>
    <w:lvl w:ilvl="4" w:tentative="0">
      <w:start w:val="1"/>
      <w:numFmt w:val="decimal"/>
      <w:pStyle w:val="6"/>
      <w:suff w:val="space"/>
      <w:lvlText w:val="%2.%3.%4.%5"/>
      <w:lvlJc w:val="left"/>
      <w:pPr>
        <w:ind w:left="0" w:firstLine="0"/>
      </w:pPr>
      <w:rPr>
        <w:rFonts w:hint="default" w:ascii="Times New Roman" w:hAnsi="Times New Roman" w:eastAsia="宋体"/>
        <w:b w:val="0"/>
        <w:i w:val="0"/>
        <w:sz w:val="24"/>
        <w:u w:val="none"/>
      </w:rPr>
    </w:lvl>
    <w:lvl w:ilvl="5" w:tentative="0">
      <w:start w:val="1"/>
      <w:numFmt w:val="decimal"/>
      <w:pStyle w:val="33"/>
      <w:suff w:val="space"/>
      <w:lvlText w:val="(%6)"/>
      <w:lvlJc w:val="left"/>
      <w:pPr>
        <w:ind w:left="0" w:firstLine="284"/>
      </w:pPr>
      <w:rPr>
        <w:rFonts w:hint="default" w:ascii="Times New Roman" w:hAnsi="Times New Roman" w:eastAsia="宋体"/>
        <w:b w:val="0"/>
        <w:i w:val="0"/>
        <w:sz w:val="24"/>
        <w:u w:val="none"/>
      </w:rPr>
    </w:lvl>
    <w:lvl w:ilvl="6" w:tentative="0">
      <w:start w:val="1"/>
      <w:numFmt w:val="decimal"/>
      <w:pStyle w:val="44"/>
      <w:suff w:val="space"/>
      <w:lvlText w:val="%7)"/>
      <w:lvlJc w:val="left"/>
      <w:pPr>
        <w:ind w:left="0" w:firstLine="454"/>
      </w:pPr>
      <w:rPr>
        <w:rFonts w:hint="default" w:ascii="Times New Roman" w:hAnsi="Times New Roman" w:eastAsia="宋体"/>
        <w:b w:val="0"/>
        <w:i w:val="0"/>
        <w:sz w:val="24"/>
        <w:u w:val="none"/>
      </w:rPr>
    </w:lvl>
    <w:lvl w:ilvl="7" w:tentative="0">
      <w:start w:val="1"/>
      <w:numFmt w:val="decimal"/>
      <w:lvlRestart w:val="5"/>
      <w:pStyle w:val="40"/>
      <w:suff w:val="space"/>
      <w:lvlText w:val="表%1.%2.%3.%4-%8"/>
      <w:lvlJc w:val="left"/>
      <w:pPr>
        <w:ind w:left="0" w:firstLine="0"/>
      </w:pPr>
      <w:rPr>
        <w:rFonts w:hint="default" w:ascii="Times New Roman" w:hAnsi="Times New Roman" w:eastAsia="黑体"/>
        <w:b w:val="0"/>
        <w:i w:val="0"/>
        <w:sz w:val="24"/>
        <w:u w:val="none"/>
      </w:rPr>
    </w:lvl>
    <w:lvl w:ilvl="8" w:tentative="0">
      <w:start w:val="1"/>
      <w:numFmt w:val="decimal"/>
      <w:pStyle w:val="43"/>
      <w:suff w:val="space"/>
      <w:lvlText w:val="图%1.%2.%3.%4-%9"/>
      <w:lvlJc w:val="left"/>
      <w:pPr>
        <w:ind w:left="0" w:firstLine="0"/>
      </w:pPr>
      <w:rPr>
        <w:rFonts w:hint="default" w:ascii="Times New Roman" w:hAnsi="Times New Roman" w:eastAsia="黑体"/>
        <w:b w:val="0"/>
        <w:i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4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ZGJlYWQ3MTZkZGNmOTEwM2YzN2RkNTcyMmE4N2QifQ=="/>
  </w:docVars>
  <w:rsids>
    <w:rsidRoot w:val="007E76A6"/>
    <w:rsid w:val="00062C39"/>
    <w:rsid w:val="000F7EFD"/>
    <w:rsid w:val="002A31A6"/>
    <w:rsid w:val="003659BD"/>
    <w:rsid w:val="003875B7"/>
    <w:rsid w:val="0039587D"/>
    <w:rsid w:val="00475311"/>
    <w:rsid w:val="00491F62"/>
    <w:rsid w:val="004A37ED"/>
    <w:rsid w:val="004D3401"/>
    <w:rsid w:val="004E4275"/>
    <w:rsid w:val="00573F18"/>
    <w:rsid w:val="00596E56"/>
    <w:rsid w:val="00631A7F"/>
    <w:rsid w:val="006F7098"/>
    <w:rsid w:val="00706778"/>
    <w:rsid w:val="00766659"/>
    <w:rsid w:val="007A447F"/>
    <w:rsid w:val="007E76A6"/>
    <w:rsid w:val="00890361"/>
    <w:rsid w:val="008B5E37"/>
    <w:rsid w:val="009359BD"/>
    <w:rsid w:val="00A0634B"/>
    <w:rsid w:val="00A54DEB"/>
    <w:rsid w:val="00AA00B2"/>
    <w:rsid w:val="00AD18CF"/>
    <w:rsid w:val="00B2475E"/>
    <w:rsid w:val="00BE1CF5"/>
    <w:rsid w:val="00C90730"/>
    <w:rsid w:val="00CA6AD3"/>
    <w:rsid w:val="00CB371B"/>
    <w:rsid w:val="00EC5A47"/>
    <w:rsid w:val="00F16177"/>
    <w:rsid w:val="00F85266"/>
    <w:rsid w:val="01F26BAD"/>
    <w:rsid w:val="02F92940"/>
    <w:rsid w:val="03177CCA"/>
    <w:rsid w:val="07B920EB"/>
    <w:rsid w:val="0C175FAD"/>
    <w:rsid w:val="0C637573"/>
    <w:rsid w:val="0DCE08EE"/>
    <w:rsid w:val="107867F5"/>
    <w:rsid w:val="11073F01"/>
    <w:rsid w:val="115D327C"/>
    <w:rsid w:val="124A5078"/>
    <w:rsid w:val="15467A5C"/>
    <w:rsid w:val="157802C2"/>
    <w:rsid w:val="15D078F9"/>
    <w:rsid w:val="1AA53669"/>
    <w:rsid w:val="1EE07079"/>
    <w:rsid w:val="1FC5059E"/>
    <w:rsid w:val="1FFC578E"/>
    <w:rsid w:val="20956557"/>
    <w:rsid w:val="20A01862"/>
    <w:rsid w:val="21B56957"/>
    <w:rsid w:val="22621030"/>
    <w:rsid w:val="27A134A1"/>
    <w:rsid w:val="285A6902"/>
    <w:rsid w:val="294D2BB7"/>
    <w:rsid w:val="2C0E4A06"/>
    <w:rsid w:val="2D022974"/>
    <w:rsid w:val="2DE061AE"/>
    <w:rsid w:val="327E5DDD"/>
    <w:rsid w:val="34E832AD"/>
    <w:rsid w:val="38EF2E70"/>
    <w:rsid w:val="3EBE3EE3"/>
    <w:rsid w:val="3F4113C6"/>
    <w:rsid w:val="406D3E12"/>
    <w:rsid w:val="49DA3B9B"/>
    <w:rsid w:val="56AA7874"/>
    <w:rsid w:val="57D328E6"/>
    <w:rsid w:val="589E1050"/>
    <w:rsid w:val="5A79450D"/>
    <w:rsid w:val="5B264887"/>
    <w:rsid w:val="5BB97AB4"/>
    <w:rsid w:val="5DF9645B"/>
    <w:rsid w:val="5E33115F"/>
    <w:rsid w:val="622D3B44"/>
    <w:rsid w:val="64C47E01"/>
    <w:rsid w:val="6A3938D4"/>
    <w:rsid w:val="70621277"/>
    <w:rsid w:val="7203784C"/>
    <w:rsid w:val="721712AB"/>
    <w:rsid w:val="74485A21"/>
    <w:rsid w:val="7A8E6B87"/>
    <w:rsid w:val="7BE803EB"/>
    <w:rsid w:val="7D2F3C22"/>
    <w:rsid w:val="7D490E06"/>
    <w:rsid w:val="7EEC3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qFormat="1"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eastAsia="宋体" w:asciiTheme="minorHAnsi" w:hAnsiTheme="minorHAnsi" w:cstheme="minorBidi"/>
      <w:kern w:val="2"/>
      <w:sz w:val="24"/>
      <w:szCs w:val="21"/>
      <w:lang w:val="en-US" w:eastAsia="zh-CN" w:bidi="ar-SA"/>
    </w:rPr>
  </w:style>
  <w:style w:type="paragraph" w:styleId="2">
    <w:name w:val="heading 1"/>
    <w:basedOn w:val="1"/>
    <w:next w:val="1"/>
    <w:link w:val="34"/>
    <w:qFormat/>
    <w:uiPriority w:val="9"/>
    <w:pPr>
      <w:keepNext/>
      <w:keepLines/>
      <w:numPr>
        <w:ilvl w:val="0"/>
        <w:numId w:val="1"/>
      </w:numPr>
      <w:suppressLineNumbers/>
      <w:ind w:firstLineChars="0"/>
      <w:jc w:val="center"/>
      <w:outlineLvl w:val="0"/>
    </w:pPr>
    <w:rPr>
      <w:rFonts w:ascii="Times New Roman" w:hAnsi="Times New Roman"/>
      <w:b/>
      <w:bCs/>
      <w:kern w:val="44"/>
      <w:sz w:val="32"/>
      <w:szCs w:val="44"/>
    </w:rPr>
  </w:style>
  <w:style w:type="paragraph" w:styleId="3">
    <w:name w:val="heading 2"/>
    <w:basedOn w:val="1"/>
    <w:next w:val="1"/>
    <w:link w:val="35"/>
    <w:unhideWhenUsed/>
    <w:qFormat/>
    <w:uiPriority w:val="9"/>
    <w:pPr>
      <w:keepNext/>
      <w:keepLines/>
      <w:numPr>
        <w:ilvl w:val="1"/>
        <w:numId w:val="1"/>
      </w:numPr>
      <w:ind w:firstLineChars="0"/>
      <w:jc w:val="center"/>
      <w:outlineLvl w:val="1"/>
    </w:pPr>
    <w:rPr>
      <w:rFonts w:ascii="Times New Roman" w:hAnsi="Times New Roman" w:cstheme="majorBidi"/>
      <w:b/>
      <w:bCs/>
      <w:sz w:val="30"/>
      <w:szCs w:val="32"/>
    </w:rPr>
  </w:style>
  <w:style w:type="paragraph" w:styleId="4">
    <w:name w:val="heading 3"/>
    <w:basedOn w:val="1"/>
    <w:next w:val="1"/>
    <w:link w:val="37"/>
    <w:unhideWhenUsed/>
    <w:qFormat/>
    <w:uiPriority w:val="9"/>
    <w:pPr>
      <w:keepNext/>
      <w:keepLines/>
      <w:numPr>
        <w:ilvl w:val="2"/>
        <w:numId w:val="1"/>
      </w:numPr>
      <w:ind w:firstLineChars="0"/>
      <w:outlineLvl w:val="2"/>
    </w:pPr>
    <w:rPr>
      <w:rFonts w:ascii="Times New Roman" w:hAnsi="Times New Roman"/>
      <w:b/>
      <w:bCs/>
      <w:sz w:val="28"/>
      <w:szCs w:val="32"/>
    </w:rPr>
  </w:style>
  <w:style w:type="paragraph" w:styleId="5">
    <w:name w:val="heading 4"/>
    <w:basedOn w:val="1"/>
    <w:next w:val="1"/>
    <w:link w:val="36"/>
    <w:unhideWhenUsed/>
    <w:qFormat/>
    <w:uiPriority w:val="9"/>
    <w:pPr>
      <w:keepNext/>
      <w:keepLines/>
      <w:numPr>
        <w:ilvl w:val="3"/>
        <w:numId w:val="1"/>
      </w:numPr>
      <w:ind w:firstLineChars="0"/>
      <w:outlineLvl w:val="3"/>
    </w:pPr>
    <w:rPr>
      <w:rFonts w:ascii="Times New Roman" w:hAnsi="Times New Roman" w:cstheme="majorBidi"/>
      <w:bCs/>
      <w:szCs w:val="28"/>
    </w:rPr>
  </w:style>
  <w:style w:type="paragraph" w:styleId="6">
    <w:name w:val="heading 5"/>
    <w:basedOn w:val="1"/>
    <w:next w:val="1"/>
    <w:link w:val="41"/>
    <w:unhideWhenUsed/>
    <w:qFormat/>
    <w:uiPriority w:val="9"/>
    <w:pPr>
      <w:keepNext/>
      <w:keepLines/>
      <w:numPr>
        <w:ilvl w:val="4"/>
        <w:numId w:val="1"/>
      </w:numPr>
      <w:ind w:firstLineChars="0"/>
      <w:outlineLvl w:val="4"/>
    </w:pPr>
    <w:rPr>
      <w:rFonts w:ascii="Times New Roman" w:hAnsi="Times New Roman"/>
      <w:bCs/>
      <w:szCs w:val="28"/>
    </w:rPr>
  </w:style>
  <w:style w:type="character" w:default="1" w:styleId="27">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spacing w:line="240" w:lineRule="auto"/>
      <w:ind w:firstLine="0" w:firstLineChars="0"/>
      <w:jc w:val="center"/>
    </w:pPr>
    <w:rPr>
      <w:rFonts w:ascii="Times New Roman" w:hAnsi="Times New Roman"/>
    </w:rPr>
  </w:style>
  <w:style w:type="paragraph" w:styleId="8">
    <w:name w:val="Body Text 3"/>
    <w:basedOn w:val="1"/>
    <w:link w:val="42"/>
    <w:semiHidden/>
    <w:unhideWhenUsed/>
    <w:qFormat/>
    <w:uiPriority w:val="99"/>
    <w:pPr>
      <w:spacing w:after="120"/>
    </w:pPr>
    <w:rPr>
      <w:sz w:val="16"/>
      <w:szCs w:val="16"/>
    </w:rPr>
  </w:style>
  <w:style w:type="paragraph" w:styleId="9">
    <w:name w:val="Body Text"/>
    <w:basedOn w:val="1"/>
    <w:qFormat/>
    <w:uiPriority w:val="1"/>
    <w:pPr>
      <w:spacing w:before="1"/>
      <w:ind w:left="437"/>
    </w:pPr>
    <w:rPr>
      <w:sz w:val="24"/>
      <w:szCs w:val="24"/>
    </w:rPr>
  </w:style>
  <w:style w:type="paragraph" w:styleId="10">
    <w:name w:val="Body Text Indent"/>
    <w:basedOn w:val="1"/>
    <w:link w:val="45"/>
    <w:semiHidden/>
    <w:unhideWhenUsed/>
    <w:qFormat/>
    <w:uiPriority w:val="99"/>
    <w:pPr>
      <w:spacing w:after="120"/>
      <w:ind w:left="420" w:leftChars="200"/>
    </w:pPr>
  </w:style>
  <w:style w:type="paragraph" w:styleId="11">
    <w:name w:val="toc 3"/>
    <w:basedOn w:val="1"/>
    <w:next w:val="1"/>
    <w:semiHidden/>
    <w:unhideWhenUsed/>
    <w:qFormat/>
    <w:uiPriority w:val="39"/>
    <w:pPr>
      <w:ind w:left="840" w:leftChars="400"/>
    </w:pPr>
  </w:style>
  <w:style w:type="paragraph" w:styleId="12">
    <w:name w:val="Balloon Text"/>
    <w:basedOn w:val="1"/>
    <w:link w:val="50"/>
    <w:semiHidden/>
    <w:unhideWhenUsed/>
    <w:qFormat/>
    <w:uiPriority w:val="99"/>
    <w:pPr>
      <w:spacing w:line="240" w:lineRule="auto"/>
    </w:pPr>
    <w:rPr>
      <w:sz w:val="18"/>
      <w:szCs w:val="18"/>
    </w:rPr>
  </w:style>
  <w:style w:type="paragraph" w:styleId="13">
    <w:name w:val="footer"/>
    <w:basedOn w:val="1"/>
    <w:link w:val="32"/>
    <w:unhideWhenUsed/>
    <w:qFormat/>
    <w:uiPriority w:val="99"/>
    <w:pPr>
      <w:tabs>
        <w:tab w:val="center" w:pos="4153"/>
        <w:tab w:val="right" w:pos="8306"/>
      </w:tabs>
      <w:snapToGrid w:val="0"/>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toc 4"/>
    <w:basedOn w:val="1"/>
    <w:next w:val="1"/>
    <w:qFormat/>
    <w:uiPriority w:val="39"/>
    <w:pPr>
      <w:ind w:left="1260" w:leftChars="600"/>
    </w:pPr>
  </w:style>
  <w:style w:type="paragraph" w:styleId="17">
    <w:name w:val="Subtitle"/>
    <w:basedOn w:val="1"/>
    <w:next w:val="1"/>
    <w:qFormat/>
    <w:uiPriority w:val="11"/>
    <w:pPr>
      <w:spacing w:after="60"/>
      <w:jc w:val="center"/>
      <w:outlineLvl w:val="1"/>
    </w:pPr>
    <w:rPr>
      <w:rFonts w:ascii="Cambria" w:hAnsi="Cambria"/>
    </w:rPr>
  </w:style>
  <w:style w:type="paragraph" w:styleId="18">
    <w:name w:val="toc 2"/>
    <w:basedOn w:val="1"/>
    <w:next w:val="1"/>
    <w:semiHidden/>
    <w:unhideWhenUsed/>
    <w:qFormat/>
    <w:uiPriority w:val="39"/>
    <w:pPr>
      <w:ind w:left="420" w:leftChars="200"/>
    </w:pPr>
  </w:style>
  <w:style w:type="paragraph" w:styleId="19">
    <w:name w:val="Body Text 2"/>
    <w:basedOn w:val="1"/>
    <w:link w:val="39"/>
    <w:semiHidden/>
    <w:unhideWhenUsed/>
    <w:qFormat/>
    <w:uiPriority w:val="99"/>
    <w:pPr>
      <w:spacing w:after="120" w:line="480" w:lineRule="auto"/>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link w:val="38"/>
    <w:qFormat/>
    <w:uiPriority w:val="10"/>
    <w:pPr>
      <w:spacing w:before="240" w:after="60"/>
      <w:jc w:val="center"/>
      <w:outlineLvl w:val="0"/>
    </w:pPr>
    <w:rPr>
      <w:rFonts w:asciiTheme="majorHAnsi" w:hAnsiTheme="majorHAnsi" w:cstheme="majorBidi"/>
      <w:b/>
      <w:bCs/>
      <w:sz w:val="32"/>
      <w:szCs w:val="32"/>
    </w:rPr>
  </w:style>
  <w:style w:type="paragraph" w:styleId="22">
    <w:name w:val="Body Text First Indent"/>
    <w:basedOn w:val="9"/>
    <w:qFormat/>
    <w:uiPriority w:val="0"/>
    <w:pPr>
      <w:ind w:firstLine="420" w:firstLineChars="100"/>
    </w:pPr>
  </w:style>
  <w:style w:type="paragraph" w:styleId="23">
    <w:name w:val="Body Text First Indent 2"/>
    <w:basedOn w:val="10"/>
    <w:unhideWhenUsed/>
    <w:qFormat/>
    <w:uiPriority w:val="99"/>
    <w:pPr>
      <w:ind w:firstLine="420"/>
    </w:pPr>
    <w:rPr>
      <w:rFonts w:asciiTheme="minorHAnsi" w:hAnsiTheme="minorHAnsi"/>
    </w:rPr>
  </w:style>
  <w:style w:type="table" w:styleId="25">
    <w:name w:val="Table Grid"/>
    <w:basedOn w:val="24"/>
    <w:qFormat/>
    <w:uiPriority w:val="59"/>
    <w:pPr>
      <w:jc w:val="center"/>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tblStylePr w:type="firstRow">
      <w:rPr>
        <w:rFonts w:eastAsiaTheme="majorEastAsia"/>
      </w:rPr>
      <w:tcPr>
        <w:shd w:val="clear" w:color="auto" w:fill="C6D9F0" w:themeFill="text2" w:themeFillTint="33"/>
      </w:tcPr>
    </w:tblStylePr>
  </w:style>
  <w:style w:type="table" w:styleId="26">
    <w:name w:val="Colorful List Accent 6"/>
    <w:basedOn w:val="24"/>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character" w:styleId="28">
    <w:name w:val="Strong"/>
    <w:qFormat/>
    <w:uiPriority w:val="0"/>
    <w:rPr>
      <w:rFonts w:eastAsia="宋体"/>
      <w:bCs/>
      <w:sz w:val="24"/>
    </w:rPr>
  </w:style>
  <w:style w:type="character" w:styleId="29">
    <w:name w:val="Hyperlink"/>
    <w:qFormat/>
    <w:uiPriority w:val="99"/>
    <w:rPr>
      <w:color w:val="000000"/>
      <w:u w:val="none"/>
    </w:rPr>
  </w:style>
  <w:style w:type="paragraph" w:customStyle="1" w:styleId="30">
    <w:name w:val="样式 行距: 固定值 22 磅"/>
    <w:basedOn w:val="1"/>
    <w:qFormat/>
    <w:uiPriority w:val="0"/>
    <w:pPr>
      <w:widowControl/>
      <w:spacing w:line="440" w:lineRule="exact"/>
    </w:pPr>
    <w:rPr>
      <w:rFonts w:ascii="Calibri" w:hAnsi="Calibri"/>
      <w:sz w:val="24"/>
      <w:szCs w:val="20"/>
    </w:rPr>
  </w:style>
  <w:style w:type="character" w:customStyle="1" w:styleId="31">
    <w:name w:val="页眉 Char"/>
    <w:basedOn w:val="27"/>
    <w:link w:val="14"/>
    <w:qFormat/>
    <w:uiPriority w:val="99"/>
    <w:rPr>
      <w:sz w:val="18"/>
      <w:szCs w:val="18"/>
    </w:rPr>
  </w:style>
  <w:style w:type="character" w:customStyle="1" w:styleId="32">
    <w:name w:val="页脚 Char"/>
    <w:basedOn w:val="27"/>
    <w:link w:val="13"/>
    <w:qFormat/>
    <w:uiPriority w:val="99"/>
    <w:rPr>
      <w:sz w:val="18"/>
      <w:szCs w:val="18"/>
    </w:rPr>
  </w:style>
  <w:style w:type="paragraph" w:customStyle="1" w:styleId="33">
    <w:name w:val="正文1(1)"/>
    <w:basedOn w:val="1"/>
    <w:qFormat/>
    <w:uiPriority w:val="0"/>
    <w:pPr>
      <w:numPr>
        <w:ilvl w:val="5"/>
        <w:numId w:val="1"/>
      </w:numPr>
      <w:ind w:firstLineChars="0"/>
    </w:pPr>
    <w:rPr>
      <w:rFonts w:ascii="Times New Roman" w:hAnsi="Times New Roman"/>
    </w:rPr>
  </w:style>
  <w:style w:type="character" w:customStyle="1" w:styleId="34">
    <w:name w:val="标题 1 Char"/>
    <w:basedOn w:val="27"/>
    <w:link w:val="2"/>
    <w:qFormat/>
    <w:uiPriority w:val="9"/>
    <w:rPr>
      <w:rFonts w:ascii="Times New Roman" w:hAnsi="Times New Roman" w:eastAsia="宋体"/>
      <w:b/>
      <w:bCs/>
      <w:kern w:val="44"/>
      <w:sz w:val="32"/>
      <w:szCs w:val="44"/>
    </w:rPr>
  </w:style>
  <w:style w:type="character" w:customStyle="1" w:styleId="35">
    <w:name w:val="标题 2 Char"/>
    <w:basedOn w:val="27"/>
    <w:link w:val="3"/>
    <w:qFormat/>
    <w:uiPriority w:val="9"/>
    <w:rPr>
      <w:rFonts w:ascii="Times New Roman" w:hAnsi="Times New Roman" w:eastAsia="宋体" w:cstheme="majorBidi"/>
      <w:b/>
      <w:bCs/>
      <w:sz w:val="30"/>
      <w:szCs w:val="32"/>
    </w:rPr>
  </w:style>
  <w:style w:type="character" w:customStyle="1" w:styleId="36">
    <w:name w:val="标题 4 Char"/>
    <w:basedOn w:val="27"/>
    <w:link w:val="5"/>
    <w:qFormat/>
    <w:uiPriority w:val="9"/>
    <w:rPr>
      <w:rFonts w:ascii="Times New Roman" w:hAnsi="Times New Roman" w:eastAsia="宋体" w:cstheme="majorBidi"/>
      <w:bCs/>
      <w:sz w:val="24"/>
      <w:szCs w:val="28"/>
    </w:rPr>
  </w:style>
  <w:style w:type="character" w:customStyle="1" w:styleId="37">
    <w:name w:val="标题 3 Char"/>
    <w:basedOn w:val="27"/>
    <w:link w:val="4"/>
    <w:qFormat/>
    <w:uiPriority w:val="9"/>
    <w:rPr>
      <w:rFonts w:ascii="Times New Roman" w:hAnsi="Times New Roman" w:eastAsia="宋体"/>
      <w:b/>
      <w:bCs/>
      <w:sz w:val="28"/>
      <w:szCs w:val="32"/>
    </w:rPr>
  </w:style>
  <w:style w:type="character" w:customStyle="1" w:styleId="38">
    <w:name w:val="标题 Char"/>
    <w:basedOn w:val="27"/>
    <w:link w:val="21"/>
    <w:qFormat/>
    <w:uiPriority w:val="10"/>
    <w:rPr>
      <w:rFonts w:eastAsia="宋体" w:asciiTheme="majorHAnsi" w:hAnsiTheme="majorHAnsi" w:cstheme="majorBidi"/>
      <w:b/>
      <w:bCs/>
      <w:sz w:val="32"/>
      <w:szCs w:val="32"/>
    </w:rPr>
  </w:style>
  <w:style w:type="character" w:customStyle="1" w:styleId="39">
    <w:name w:val="正文文本 2 Char"/>
    <w:basedOn w:val="27"/>
    <w:link w:val="19"/>
    <w:semiHidden/>
    <w:qFormat/>
    <w:uiPriority w:val="99"/>
  </w:style>
  <w:style w:type="paragraph" w:customStyle="1" w:styleId="40">
    <w:name w:val="(表格)"/>
    <w:basedOn w:val="1"/>
    <w:qFormat/>
    <w:uiPriority w:val="0"/>
    <w:pPr>
      <w:numPr>
        <w:ilvl w:val="7"/>
        <w:numId w:val="1"/>
      </w:numPr>
      <w:spacing w:line="240" w:lineRule="auto"/>
      <w:ind w:firstLineChars="0"/>
      <w:jc w:val="center"/>
    </w:pPr>
    <w:rPr>
      <w:rFonts w:ascii="Times New Roman" w:hAnsi="Times New Roman" w:eastAsia="黑体"/>
    </w:rPr>
  </w:style>
  <w:style w:type="character" w:customStyle="1" w:styleId="41">
    <w:name w:val="标题 5 Char"/>
    <w:basedOn w:val="27"/>
    <w:link w:val="6"/>
    <w:qFormat/>
    <w:uiPriority w:val="9"/>
    <w:rPr>
      <w:rFonts w:ascii="Times New Roman" w:hAnsi="Times New Roman" w:eastAsia="宋体"/>
      <w:bCs/>
      <w:sz w:val="24"/>
      <w:szCs w:val="28"/>
    </w:rPr>
  </w:style>
  <w:style w:type="character" w:customStyle="1" w:styleId="42">
    <w:name w:val="正文文本 3 Char"/>
    <w:basedOn w:val="27"/>
    <w:link w:val="8"/>
    <w:semiHidden/>
    <w:qFormat/>
    <w:uiPriority w:val="99"/>
    <w:rPr>
      <w:sz w:val="16"/>
      <w:szCs w:val="16"/>
    </w:rPr>
  </w:style>
  <w:style w:type="paragraph" w:customStyle="1" w:styleId="43">
    <w:name w:val="（图片）"/>
    <w:basedOn w:val="1"/>
    <w:qFormat/>
    <w:uiPriority w:val="0"/>
    <w:pPr>
      <w:numPr>
        <w:ilvl w:val="8"/>
        <w:numId w:val="1"/>
      </w:numPr>
      <w:spacing w:line="240" w:lineRule="auto"/>
      <w:ind w:firstLineChars="0"/>
      <w:jc w:val="center"/>
    </w:pPr>
    <w:rPr>
      <w:rFonts w:eastAsia="黑体"/>
    </w:rPr>
  </w:style>
  <w:style w:type="paragraph" w:customStyle="1" w:styleId="44">
    <w:name w:val="正文 1)"/>
    <w:basedOn w:val="1"/>
    <w:qFormat/>
    <w:uiPriority w:val="0"/>
    <w:pPr>
      <w:numPr>
        <w:ilvl w:val="6"/>
        <w:numId w:val="1"/>
      </w:numPr>
      <w:ind w:firstLineChars="0"/>
    </w:pPr>
  </w:style>
  <w:style w:type="character" w:customStyle="1" w:styleId="45">
    <w:name w:val="正文文本缩进 Char"/>
    <w:basedOn w:val="27"/>
    <w:link w:val="10"/>
    <w:semiHidden/>
    <w:qFormat/>
    <w:uiPriority w:val="99"/>
    <w:rPr>
      <w:rFonts w:eastAsia="宋体"/>
      <w:sz w:val="24"/>
    </w:rPr>
  </w:style>
  <w:style w:type="paragraph" w:customStyle="1" w:styleId="46">
    <w:name w:val="表格内容居中"/>
    <w:basedOn w:val="1"/>
    <w:link w:val="48"/>
    <w:qFormat/>
    <w:uiPriority w:val="0"/>
    <w:pPr>
      <w:spacing w:line="360" w:lineRule="exact"/>
      <w:ind w:firstLine="0" w:firstLineChars="0"/>
      <w:jc w:val="center"/>
    </w:pPr>
    <w:rPr>
      <w:rFonts w:ascii="Times New Roman" w:hAnsi="Times New Roman"/>
      <w:sz w:val="21"/>
    </w:rPr>
  </w:style>
  <w:style w:type="paragraph" w:customStyle="1" w:styleId="47">
    <w:name w:val="表格内容左对齐"/>
    <w:basedOn w:val="1"/>
    <w:next w:val="1"/>
    <w:link w:val="49"/>
    <w:qFormat/>
    <w:uiPriority w:val="0"/>
    <w:pPr>
      <w:spacing w:line="240" w:lineRule="auto"/>
    </w:pPr>
    <w:rPr>
      <w:sz w:val="21"/>
    </w:rPr>
  </w:style>
  <w:style w:type="character" w:customStyle="1" w:styleId="48">
    <w:name w:val="表格内容居中 Char"/>
    <w:basedOn w:val="27"/>
    <w:link w:val="46"/>
    <w:qFormat/>
    <w:uiPriority w:val="0"/>
    <w:rPr>
      <w:rFonts w:ascii="Times New Roman" w:hAnsi="Times New Roman" w:eastAsia="宋体"/>
    </w:rPr>
  </w:style>
  <w:style w:type="character" w:customStyle="1" w:styleId="49">
    <w:name w:val="表格内容左对齐 Char"/>
    <w:basedOn w:val="27"/>
    <w:link w:val="47"/>
    <w:qFormat/>
    <w:uiPriority w:val="0"/>
    <w:rPr>
      <w:rFonts w:eastAsia="宋体"/>
    </w:rPr>
  </w:style>
  <w:style w:type="character" w:customStyle="1" w:styleId="50">
    <w:name w:val="批注框文本 Char"/>
    <w:basedOn w:val="27"/>
    <w:link w:val="12"/>
    <w:semiHidden/>
    <w:qFormat/>
    <w:uiPriority w:val="99"/>
    <w:rPr>
      <w:rFonts w:eastAsia="宋体"/>
      <w:sz w:val="18"/>
      <w:szCs w:val="18"/>
    </w:rPr>
  </w:style>
  <w:style w:type="paragraph" w:customStyle="1" w:styleId="51">
    <w:name w:val="WPSOffice手动目录 1"/>
    <w:qFormat/>
    <w:uiPriority w:val="0"/>
    <w:pPr>
      <w:ind w:leftChars="0"/>
    </w:pPr>
    <w:rPr>
      <w:rFonts w:ascii="Times New Roman" w:hAnsi="Times New Roman" w:eastAsia="宋体" w:cs="Times New Roman"/>
      <w:sz w:val="20"/>
      <w:szCs w:val="20"/>
    </w:rPr>
  </w:style>
  <w:style w:type="paragraph" w:customStyle="1" w:styleId="52">
    <w:name w:val="WPSOffice手动目录 2"/>
    <w:qFormat/>
    <w:uiPriority w:val="0"/>
    <w:pPr>
      <w:ind w:leftChars="200"/>
    </w:pPr>
    <w:rPr>
      <w:rFonts w:ascii="Times New Roman" w:hAnsi="Times New Roman" w:eastAsia="宋体" w:cs="Times New Roman"/>
      <w:sz w:val="20"/>
      <w:szCs w:val="20"/>
    </w:rPr>
  </w:style>
  <w:style w:type="paragraph" w:customStyle="1" w:styleId="53">
    <w:name w:val="WPSOffice手动目录 3"/>
    <w:qFormat/>
    <w:uiPriority w:val="0"/>
    <w:pPr>
      <w:ind w:leftChars="400"/>
    </w:pPr>
    <w:rPr>
      <w:rFonts w:ascii="Times New Roman" w:hAnsi="Times New Roman" w:eastAsia="宋体" w:cs="Times New Roman"/>
      <w:sz w:val="20"/>
      <w:szCs w:val="20"/>
    </w:rPr>
  </w:style>
  <w:style w:type="paragraph" w:customStyle="1" w:styleId="54">
    <w:name w:val="TOC Heading"/>
    <w:basedOn w:val="2"/>
    <w:next w:val="1"/>
    <w:unhideWhenUsed/>
    <w:qFormat/>
    <w:uiPriority w:val="39"/>
    <w:pPr>
      <w:keepNext/>
      <w:keepLines/>
      <w:widowControl/>
      <w:autoSpaceDE/>
      <w:autoSpaceDN/>
      <w:spacing w:before="240" w:line="259" w:lineRule="auto"/>
      <w:ind w:left="0" w:leftChars="0" w:right="0" w:rightChars="0"/>
      <w:jc w:val="left"/>
      <w:outlineLvl w:val="9"/>
    </w:pPr>
    <w:rPr>
      <w:rFonts w:asciiTheme="majorHAnsi" w:hAnsiTheme="majorHAnsi" w:eastAsiaTheme="majorEastAsia" w:cstheme="majorBidi"/>
      <w:b w:val="0"/>
      <w:bCs w:val="0"/>
      <w:color w:val="376092" w:themeColor="accent1" w:themeShade="BF"/>
      <w:sz w:val="32"/>
      <w:szCs w:val="32"/>
      <w:lang w:val="en-US" w:bidi="ar-SA"/>
    </w:rPr>
  </w:style>
  <w:style w:type="paragraph" w:customStyle="1" w:styleId="55">
    <w:name w:val="正文，A正文"/>
    <w:next w:val="1"/>
    <w:qFormat/>
    <w:uiPriority w:val="0"/>
    <w:pPr>
      <w:spacing w:line="360" w:lineRule="auto"/>
      <w:ind w:firstLine="200" w:firstLineChars="200"/>
      <w:jc w:val="both"/>
    </w:pPr>
    <w:rPr>
      <w:rFonts w:ascii="Calibri" w:hAnsi="Calibri" w:eastAsia="宋体" w:cs="Times New Roman"/>
      <w:bCs/>
      <w:kern w:val="2"/>
      <w:sz w:val="24"/>
      <w:szCs w:val="32"/>
      <w:lang w:val="en-US" w:eastAsia="zh-CN" w:bidi="ar-SA"/>
    </w:rPr>
  </w:style>
  <w:style w:type="paragraph" w:customStyle="1" w:styleId="56">
    <w:name w:val="111正文"/>
    <w:basedOn w:val="1"/>
    <w:qFormat/>
    <w:uiPriority w:val="0"/>
    <w:pPr>
      <w:spacing w:line="360" w:lineRule="auto"/>
      <w:ind w:firstLine="480" w:firstLineChars="200"/>
    </w:pPr>
    <w:rPr>
      <w:rFonts w:ascii="仿宋_GB2312" w:hAnsi="Calibri" w:eastAsia="仿宋_GB2312" w:cs="黑体"/>
      <w:sz w:val="24"/>
      <w:szCs w:val="24"/>
    </w:rPr>
  </w:style>
  <w:style w:type="paragraph" w:customStyle="1" w:styleId="57">
    <w:name w:val="红土地正文"/>
    <w:basedOn w:val="1"/>
    <w:qFormat/>
    <w:uiPriority w:val="0"/>
    <w:pPr>
      <w:spacing w:line="360" w:lineRule="auto"/>
      <w:ind w:firstLine="200" w:firstLineChars="200"/>
      <w:textAlignment w:val="baseline"/>
    </w:pPr>
    <w:rPr>
      <w:rFonts w:ascii="仿宋_GB2312" w:hAnsi="Times New Roman" w:eastAsia="仿宋_GB2312"/>
      <w:kern w:val="0"/>
      <w:sz w:val="28"/>
      <w:szCs w:val="28"/>
    </w:rPr>
  </w:style>
  <w:style w:type="paragraph" w:styleId="58">
    <w:name w:val="List Paragraph"/>
    <w:basedOn w:val="1"/>
    <w:qFormat/>
    <w:uiPriority w:val="34"/>
    <w:pPr>
      <w:spacing w:line="360" w:lineRule="auto"/>
      <w:ind w:firstLine="420" w:firstLineChars="200"/>
    </w:pPr>
    <w:rPr>
      <w:rFonts w:ascii="Calibri" w:hAnsi="Calibri"/>
      <w:sz w:val="24"/>
      <w:szCs w:val="24"/>
    </w:rPr>
  </w:style>
  <w:style w:type="paragraph" w:customStyle="1" w:styleId="59">
    <w:name w:val="样式 宋体 左 行距: 固定值 22 磅"/>
    <w:basedOn w:val="1"/>
    <w:qFormat/>
    <w:uiPriority w:val="0"/>
    <w:pPr>
      <w:spacing w:line="440" w:lineRule="exact"/>
      <w:ind w:firstLine="480" w:firstLineChars="200"/>
      <w:jc w:val="left"/>
    </w:pPr>
    <w:rPr>
      <w:rFonts w:ascii="宋体" w:hAnsi="宋体" w:cs="宋体"/>
      <w:sz w:val="24"/>
      <w:szCs w:val="20"/>
    </w:rPr>
  </w:style>
  <w:style w:type="paragraph" w:customStyle="1" w:styleId="60">
    <w:name w:val="左对齐首行缩进"/>
    <w:basedOn w:val="46"/>
    <w:qFormat/>
    <w:uiPriority w:val="0"/>
    <w:pPr>
      <w:spacing w:line="240" w:lineRule="auto"/>
      <w:ind w:firstLine="420" w:firstLineChars="200"/>
      <w:jc w:val="left"/>
    </w:pPr>
    <w:rPr>
      <w:szCs w:val="22"/>
    </w:rPr>
  </w:style>
  <w:style w:type="paragraph" w:customStyle="1" w:styleId="6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样式 表格文字 + 加粗"/>
    <w:basedOn w:val="1"/>
    <w:qFormat/>
    <w:uiPriority w:val="0"/>
    <w:pPr>
      <w:adjustRightInd w:val="0"/>
      <w:spacing w:before="0" w:after="0" w:line="240" w:lineRule="auto"/>
      <w:jc w:val="center"/>
    </w:pPr>
    <w:rPr>
      <w:rFonts w:ascii="宋体" w:hAnsi="宋体" w:eastAsia="黑体" w:cs="Times New Roman"/>
      <w:b/>
      <w:bCs/>
      <w:snapToGrid w:val="0"/>
      <w:kern w:val="0"/>
      <w:szCs w:val="21"/>
    </w:rPr>
  </w:style>
  <w:style w:type="paragraph" w:customStyle="1" w:styleId="63">
    <w:name w:val="CM126"/>
    <w:basedOn w:val="64"/>
    <w:next w:val="64"/>
    <w:unhideWhenUsed/>
    <w:qFormat/>
    <w:uiPriority w:val="99"/>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5">
    <w:name w:val="font41"/>
    <w:basedOn w:val="27"/>
    <w:qFormat/>
    <w:uiPriority w:val="0"/>
    <w:rPr>
      <w:rFonts w:hint="eastAsia" w:ascii="宋体" w:hAnsi="宋体" w:eastAsia="宋体" w:cs="宋体"/>
      <w:b/>
      <w:bCs/>
      <w:color w:val="FF0000"/>
      <w:sz w:val="18"/>
      <w:szCs w:val="18"/>
      <w:u w:val="none"/>
    </w:rPr>
  </w:style>
  <w:style w:type="character" w:customStyle="1" w:styleId="66">
    <w:name w:val="font31"/>
    <w:basedOn w:val="27"/>
    <w:qFormat/>
    <w:uiPriority w:val="0"/>
    <w:rPr>
      <w:rFonts w:hint="eastAsia" w:ascii="宋体" w:hAnsi="宋体" w:eastAsia="宋体" w:cs="宋体"/>
      <w:color w:val="000000"/>
      <w:sz w:val="18"/>
      <w:szCs w:val="18"/>
      <w:u w:val="none"/>
    </w:rPr>
  </w:style>
  <w:style w:type="character" w:customStyle="1" w:styleId="67">
    <w:name w:val="font51"/>
    <w:basedOn w:val="27"/>
    <w:qFormat/>
    <w:uiPriority w:val="0"/>
    <w:rPr>
      <w:rFonts w:hint="eastAsia" w:ascii="宋体" w:hAnsi="宋体" w:eastAsia="宋体" w:cs="宋体"/>
      <w:color w:val="FF0000"/>
      <w:sz w:val="18"/>
      <w:szCs w:val="18"/>
      <w:u w:val="none"/>
    </w:rPr>
  </w:style>
  <w:style w:type="paragraph" w:customStyle="1" w:styleId="68">
    <w:name w:val="_Style 13"/>
    <w:qFormat/>
    <w:uiPriority w:val="0"/>
    <w:pPr>
      <w:spacing w:before="120" w:after="120" w:line="288" w:lineRule="auto"/>
      <w:ind w:left="0"/>
      <w:jc w:val="left"/>
    </w:pPr>
    <w:rPr>
      <w:rFonts w:ascii="Arial" w:hAnsi="Arial" w:eastAsia="等线" w:cs="Arial"/>
      <w:sz w:val="22"/>
      <w:szCs w:val="22"/>
    </w:rPr>
  </w:style>
  <w:style w:type="table" w:customStyle="1" w:styleId="69">
    <w:name w:val="标书表格"/>
    <w:basedOn w:val="24"/>
    <w:qFormat/>
    <w:uiPriority w:val="0"/>
    <w:pPr>
      <w:jc w:val="center"/>
    </w:pPr>
    <w:rPr>
      <w:rFonts w:cs="Times New Roman"/>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
    <w:tcPr>
      <w:tcBorders>
        <w:top w:val="double" w:color="auto" w:sz="4" w:space="0"/>
        <w:left w:val="double" w:color="auto" w:sz="4" w:space="0"/>
        <w:bottom w:val="double" w:color="auto" w:sz="4" w:space="0"/>
        <w:right w:val="double" w:color="auto" w:sz="4" w:space="0"/>
      </w:tcBorders>
      <w:vAlign w:val="center"/>
    </w:tcPr>
    <w:tblStylePr w:type="firstRow">
      <w:rPr>
        <w:rFonts w:hint="default" w:ascii="Calibri" w:hAnsi="Calibri" w:eastAsia="宋体" w:cs="Calibri"/>
        <w:b/>
        <w:sz w:val="21"/>
        <w:szCs w:val="21"/>
      </w:rPr>
      <w:tcPr>
        <w:shd w:val="clear" w:color="auto" w:fill="CFAE78"/>
      </w:tcPr>
    </w:tblStylePr>
  </w:style>
  <w:style w:type="paragraph" w:customStyle="1" w:styleId="70">
    <w:name w:val="表格内容左对齐1"/>
    <w:basedOn w:val="46"/>
    <w:qFormat/>
    <w:uiPriority w:val="0"/>
    <w:pPr>
      <w:widowControl/>
      <w:spacing w:line="240" w:lineRule="auto"/>
      <w:ind w:firstLine="420" w:firstLineChars="200"/>
      <w:jc w:val="left"/>
    </w:pPr>
    <w:rPr>
      <w:rFonts w:hint="eastAsia" w:ascii="宋体" w:hAnsi="宋体"/>
      <w:szCs w:val="24"/>
    </w:rPr>
  </w:style>
  <w:style w:type="character" w:customStyle="1" w:styleId="71">
    <w:name w:val="font11"/>
    <w:basedOn w:val="27"/>
    <w:qFormat/>
    <w:uiPriority w:val="0"/>
    <w:rPr>
      <w:rFonts w:hint="eastAsia" w:ascii="宋体" w:hAnsi="宋体" w:eastAsia="宋体" w:cs="宋体"/>
      <w:color w:val="000000"/>
      <w:sz w:val="20"/>
      <w:szCs w:val="20"/>
      <w:u w:val="none"/>
    </w:rPr>
  </w:style>
  <w:style w:type="character" w:customStyle="1" w:styleId="72">
    <w:name w:val="font21"/>
    <w:basedOn w:val="27"/>
    <w:qFormat/>
    <w:uiPriority w:val="0"/>
    <w:rPr>
      <w:rFonts w:hint="default" w:ascii="Times New Roman" w:hAnsi="Times New Roman" w:cs="Times New Roman"/>
      <w:color w:val="000000"/>
      <w:sz w:val="20"/>
      <w:szCs w:val="20"/>
      <w:u w:val="none"/>
    </w:rPr>
  </w:style>
  <w:style w:type="paragraph" w:customStyle="1" w:styleId="73">
    <w:name w:val="正文样式1"/>
    <w:basedOn w:val="1"/>
    <w:qFormat/>
    <w:uiPriority w:val="0"/>
    <w:pPr>
      <w:spacing w:line="360" w:lineRule="auto"/>
      <w:ind w:firstLine="480" w:firstLineChars="200"/>
    </w:pPr>
    <w:rPr>
      <w:sz w:val="24"/>
    </w:rPr>
  </w:style>
  <w:style w:type="paragraph" w:customStyle="1" w:styleId="74">
    <w:name w:val="A-正文"/>
    <w:basedOn w:val="1"/>
    <w:qFormat/>
    <w:uiPriority w:val="99"/>
    <w:pPr>
      <w:spacing w:line="360" w:lineRule="auto"/>
      <w:ind w:firstLine="200" w:firstLineChars="200"/>
      <w:jc w:val="left"/>
    </w:pPr>
    <w:rPr>
      <w:rFonts w:ascii="Calibri" w:hAnsi="Calibri" w:eastAsia="宋体" w:cs="Times New Roman"/>
    </w:rPr>
  </w:style>
  <w:style w:type="paragraph" w:customStyle="1" w:styleId="75">
    <w:name w:val="标题5"/>
    <w:basedOn w:val="6"/>
    <w:qFormat/>
    <w:uiPriority w:val="0"/>
    <w:pPr>
      <w:spacing w:before="120" w:beforeLines="50" w:after="120" w:afterLines="50" w:line="360" w:lineRule="auto"/>
    </w:pPr>
    <w:rPr>
      <w:sz w:val="24"/>
    </w:rPr>
  </w:style>
  <w:style w:type="paragraph" w:customStyle="1" w:styleId="76">
    <w:name w:val="投标正文"/>
    <w:basedOn w:val="1"/>
    <w:qFormat/>
    <w:uiPriority w:val="0"/>
    <w:pPr>
      <w:snapToGrid w:val="0"/>
      <w:spacing w:line="360" w:lineRule="auto"/>
      <w:ind w:firstLine="480" w:firstLineChars="200"/>
      <w:jc w:val="left"/>
    </w:pPr>
    <w:rPr>
      <w:sz w:val="24"/>
      <w:szCs w:val="20"/>
    </w:rPr>
  </w:style>
  <w:style w:type="paragraph" w:customStyle="1" w:styleId="77">
    <w:name w:val="表格11"/>
    <w:basedOn w:val="1"/>
    <w:qFormat/>
    <w:uiPriority w:val="0"/>
    <w:pPr>
      <w:autoSpaceDE w:val="0"/>
      <w:autoSpaceDN w:val="0"/>
      <w:adjustRightInd w:val="0"/>
      <w:spacing w:line="360" w:lineRule="auto"/>
      <w:ind w:firstLine="0" w:firstLineChars="0"/>
      <w:jc w:val="center"/>
      <w:outlineLvl w:val="3"/>
    </w:pPr>
    <w:rPr>
      <w:rFonts w:hint="eastAsia" w:ascii="宋体" w:hAnsi="宋体" w:cs="宋体"/>
      <w:color w:val="000000"/>
      <w:sz w:val="21"/>
      <w:szCs w:val="24"/>
    </w:rPr>
  </w:style>
  <w:style w:type="paragraph" w:customStyle="1" w:styleId="78">
    <w:name w:val="图"/>
    <w:basedOn w:val="1"/>
    <w:qFormat/>
    <w:uiPriority w:val="0"/>
    <w:pPr>
      <w:spacing w:line="276" w:lineRule="auto"/>
      <w:jc w:val="center"/>
    </w:pPr>
    <w:rPr>
      <w:rFonts w:cs="Arial"/>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8656</Words>
  <Characters>9627</Characters>
  <Lines>1</Lines>
  <Paragraphs>1</Paragraphs>
  <TotalTime>17</TotalTime>
  <ScaleCrop>false</ScaleCrop>
  <LinksUpToDate>false</LinksUpToDate>
  <CharactersWithSpaces>9922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2020-03-31T01:27:00Z</dcterms:created>
  <dc:creator>坤</dc:creator>
  <cp:lastModifiedBy>下一秒</cp:lastModifiedBy>
  <dcterms:modified xsi:type="dcterms:W3CDTF">2026-01-06T00:37:23Z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556F499EF55E4782A844A2BD4B0CA869_13</vt:lpwstr>
  </property>
  <property fmtid="{D5CDD505-2E9C-101B-9397-08002B2CF9AE}" pid="4" name="KSOTemplateDocerSaveRecord">
    <vt:lpwstr>eyJoZGlkIjoiYzFhYTA2NzU1MTMwZjBkYjZmZTdlNGVmZTI4NWE3YTMiLCJ1c2VySWQiOiI1MTIyODQ3NTgifQ==</vt:lpwstr>
  </property>
</Properties>
</file>