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643"/>
        <w:jc w:val="center"/>
        <w:rPr>
          <w:rFonts w:ascii="宋体" w:hAnsi="宋体" w:eastAsia="宋体"/>
          <w:b/>
          <w:bCs/>
          <w:color w:val="auto"/>
          <w:sz w:val="32"/>
          <w:szCs w:val="32"/>
        </w:rPr>
      </w:pPr>
    </w:p>
    <w:p>
      <w:pPr>
        <w:ind w:firstLine="420"/>
        <w:jc w:val="center"/>
        <w:rPr>
          <w:rFonts w:hint="eastAsia" w:ascii="微软雅黑" w:hAnsi="微软雅黑" w:eastAsia="宋体"/>
          <w:color w:val="auto"/>
          <w:sz w:val="32"/>
          <w:szCs w:val="32"/>
          <w:lang w:val="en-US" w:eastAsia="zh-CN"/>
        </w:rPr>
      </w:pPr>
      <w:r>
        <w:rPr>
          <w:rFonts w:hint="eastAsia" w:ascii="宋体" w:hAnsi="宋体" w:eastAsia="宋体"/>
          <w:b/>
          <w:bCs/>
          <w:color w:val="auto"/>
          <w:sz w:val="32"/>
          <w:szCs w:val="32"/>
        </w:rPr>
        <w:t>珠海市香洲区中小学、幼儿园办学场所及停车场改造提升工程项</w:t>
      </w:r>
    </w:p>
    <w:p>
      <w:pPr>
        <w:ind w:firstLine="420"/>
        <w:jc w:val="center"/>
        <w:rPr>
          <w:rFonts w:hint="eastAsia" w:ascii="微软雅黑" w:hAnsi="微软雅黑" w:eastAsia="宋体"/>
          <w:color w:val="auto"/>
          <w:sz w:val="32"/>
          <w:szCs w:val="32"/>
          <w:lang w:val="en-US" w:eastAsia="zh-CN"/>
        </w:rPr>
      </w:pPr>
      <w:r>
        <w:rPr>
          <w:rFonts w:hint="eastAsia" w:ascii="宋体" w:hAnsi="宋体" w:eastAsia="宋体"/>
          <w:b/>
          <w:bCs/>
          <w:color w:val="auto"/>
          <w:sz w:val="32"/>
          <w:szCs w:val="32"/>
        </w:rPr>
        <w:t>目</w:t>
      </w:r>
      <w:r>
        <w:rPr>
          <w:rFonts w:hint="eastAsia" w:ascii="宋体" w:hAnsi="宋体" w:eastAsia="宋体"/>
          <w:b/>
          <w:bCs/>
          <w:color w:val="auto"/>
          <w:sz w:val="32"/>
          <w:szCs w:val="32"/>
          <w:lang w:val="en-US" w:eastAsia="zh-CN"/>
        </w:rPr>
        <w:t>-广昌小学主体结构</w:t>
      </w:r>
      <w:bookmarkStart w:id="0" w:name="_GoBack"/>
      <w:bookmarkEnd w:id="0"/>
      <w:r>
        <w:rPr>
          <w:rFonts w:hint="eastAsia" w:ascii="宋体" w:hAnsi="宋体" w:eastAsia="宋体"/>
          <w:b/>
          <w:bCs/>
          <w:color w:val="auto"/>
          <w:sz w:val="32"/>
          <w:szCs w:val="32"/>
          <w:lang w:val="en-US" w:eastAsia="zh-CN"/>
        </w:rPr>
        <w:t>大劳务招标要求</w:t>
      </w:r>
    </w:p>
    <w:p>
      <w:pPr>
        <w:ind w:firstLine="420"/>
        <w:jc w:val="center"/>
        <w:rPr>
          <w:rFonts w:ascii="宋体" w:hAnsi="宋体" w:eastAsia="宋体"/>
          <w:b/>
          <w:bCs/>
          <w:color w:val="auto"/>
          <w:szCs w:val="21"/>
        </w:rPr>
      </w:pPr>
    </w:p>
    <w:p>
      <w:pPr>
        <w:ind w:left="0" w:leftChars="0" w:firstLine="0" w:firstLineChars="0"/>
        <w:jc w:val="left"/>
        <w:rPr>
          <w:rFonts w:ascii="宋体" w:hAnsi="宋体" w:eastAsia="宋体"/>
          <w:color w:val="auto"/>
          <w:szCs w:val="21"/>
        </w:rPr>
      </w:pPr>
      <w:r>
        <w:rPr>
          <w:rFonts w:ascii="宋体" w:hAnsi="宋体" w:eastAsia="宋体"/>
          <w:b/>
          <w:bCs/>
          <w:color w:val="auto"/>
          <w:szCs w:val="21"/>
        </w:rPr>
        <w:t>第一条  招标范围：</w:t>
      </w:r>
    </w:p>
    <w:p>
      <w:pPr>
        <w:spacing w:line="360" w:lineRule="exact"/>
        <w:ind w:firstLine="422"/>
        <w:jc w:val="left"/>
        <w:rPr>
          <w:rFonts w:ascii="Times New Roman" w:hAnsi="Times New Roman" w:eastAsia="Times New Roman"/>
          <w:color w:val="auto"/>
          <w:szCs w:val="21"/>
        </w:rPr>
      </w:pPr>
      <w:r>
        <w:rPr>
          <w:rFonts w:ascii="Times New Roman" w:hAnsi="Times New Roman" w:eastAsia="Times New Roman"/>
          <w:b/>
          <w:bCs/>
          <w:color w:val="auto"/>
          <w:szCs w:val="21"/>
        </w:rPr>
        <w:t>1.1</w:t>
      </w:r>
      <w:r>
        <w:rPr>
          <w:rFonts w:ascii="Times New Roman" w:hAnsi="Times New Roman" w:eastAsia="Times New Roman"/>
          <w:color w:val="auto"/>
          <w:szCs w:val="21"/>
        </w:rPr>
        <w:t xml:space="preserve"> 承包范围：</w:t>
      </w:r>
    </w:p>
    <w:p>
      <w:pPr>
        <w:ind w:firstLine="420"/>
        <w:jc w:val="both"/>
        <w:rPr>
          <w:color w:val="auto"/>
        </w:rPr>
      </w:pPr>
      <w:r>
        <w:rPr>
          <w:rFonts w:hint="eastAsia"/>
          <w:color w:val="auto"/>
          <w:lang w:val="en-US" w:eastAsia="zh-CN"/>
        </w:rPr>
        <w:t>本项目所属项目广昌小学主体劳务，包括基础土方、主体结构（钢筋、混凝土、模板施工）、外架搭设、所有二次构件、</w:t>
      </w:r>
      <w:r>
        <w:rPr>
          <w:rFonts w:hint="eastAsia"/>
          <w:color w:val="auto"/>
          <w:lang w:eastAsia="zh-CN"/>
        </w:rPr>
        <w:t>砖砌体及水电安装预埋等，招标清单内容</w:t>
      </w:r>
      <w:r>
        <w:rPr>
          <w:color w:val="auto"/>
        </w:rPr>
        <w:t>及工程设计变更内容的全部劳务及甲供材料以外的所有辅材，包括但不限于如下各分项工程。</w:t>
      </w:r>
    </w:p>
    <w:p>
      <w:pPr>
        <w:ind w:firstLine="0" w:firstLineChars="0"/>
        <w:rPr>
          <w:rFonts w:ascii="宋体" w:hAnsi="宋体" w:eastAsia="宋体"/>
          <w:color w:val="auto"/>
          <w:szCs w:val="21"/>
        </w:rPr>
      </w:pPr>
      <w:r>
        <w:rPr>
          <w:rFonts w:ascii="宋体" w:hAnsi="宋体" w:eastAsia="宋体"/>
          <w:b/>
          <w:bCs/>
          <w:color w:val="auto"/>
          <w:szCs w:val="21"/>
        </w:rPr>
        <w:t>第二条  投标人的资格要求：</w:t>
      </w:r>
    </w:p>
    <w:p>
      <w:pPr>
        <w:ind w:firstLine="420"/>
        <w:rPr>
          <w:color w:val="auto"/>
        </w:rPr>
      </w:pPr>
      <w:r>
        <w:rPr>
          <w:color w:val="auto"/>
        </w:rPr>
        <w:t>2.1 具有独立法人资格，持有工商行政管理部门核发的法人营业执照，按国家法律经营；</w:t>
      </w:r>
    </w:p>
    <w:p>
      <w:pPr>
        <w:ind w:firstLine="420"/>
        <w:rPr>
          <w:color w:val="auto"/>
        </w:rPr>
      </w:pPr>
      <w:r>
        <w:rPr>
          <w:color w:val="auto"/>
        </w:rPr>
        <w:t xml:space="preserve">2.2 </w:t>
      </w:r>
      <w:r>
        <w:rPr>
          <w:rFonts w:hint="eastAsia"/>
          <w:color w:val="auto"/>
          <w:lang w:val="en-US" w:eastAsia="zh-CN"/>
        </w:rPr>
        <w:t>具备施工劳务资质以及</w:t>
      </w:r>
      <w:r>
        <w:rPr>
          <w:color w:val="auto"/>
        </w:rPr>
        <w:t>安全生产许可证，且在有效期内；</w:t>
      </w:r>
    </w:p>
    <w:p>
      <w:pPr>
        <w:ind w:firstLine="420"/>
        <w:rPr>
          <w:color w:val="auto"/>
        </w:rPr>
      </w:pPr>
      <w:r>
        <w:rPr>
          <w:color w:val="auto"/>
        </w:rPr>
        <w:t>2.</w:t>
      </w:r>
      <w:r>
        <w:rPr>
          <w:rFonts w:hint="eastAsia"/>
          <w:color w:val="auto"/>
          <w:lang w:val="en-US" w:eastAsia="zh-CN"/>
        </w:rPr>
        <w:t>3</w:t>
      </w:r>
      <w:r>
        <w:rPr>
          <w:color w:val="auto"/>
        </w:rPr>
        <w:t xml:space="preserve"> 投标人没有处于被本地建设行政主管部门取消投标资格的处罚期内；</w:t>
      </w:r>
    </w:p>
    <w:p>
      <w:pPr>
        <w:ind w:firstLine="420"/>
        <w:rPr>
          <w:color w:val="auto"/>
        </w:rPr>
      </w:pPr>
      <w:r>
        <w:rPr>
          <w:color w:val="auto"/>
        </w:rPr>
        <w:t>2.</w:t>
      </w:r>
      <w:r>
        <w:rPr>
          <w:rFonts w:hint="eastAsia"/>
          <w:color w:val="auto"/>
          <w:lang w:val="en-US" w:eastAsia="zh-CN"/>
        </w:rPr>
        <w:t>4</w:t>
      </w:r>
      <w:r>
        <w:rPr>
          <w:color w:val="auto"/>
        </w:rPr>
        <w:t xml:space="preserve"> 投标人</w:t>
      </w:r>
      <w:r>
        <w:rPr>
          <w:rFonts w:hint="eastAsia"/>
          <w:color w:val="auto"/>
        </w:rPr>
        <w:t>为一般纳税人，能够开具增值税专用发票</w:t>
      </w:r>
      <w:r>
        <w:rPr>
          <w:color w:val="auto"/>
        </w:rPr>
        <w:t>。</w:t>
      </w:r>
    </w:p>
    <w:p>
      <w:pPr>
        <w:ind w:firstLine="420"/>
        <w:rPr>
          <w:color w:val="auto"/>
        </w:rPr>
      </w:pPr>
      <w:r>
        <w:rPr>
          <w:color w:val="auto"/>
        </w:rPr>
        <w:t>2.</w:t>
      </w:r>
      <w:r>
        <w:rPr>
          <w:rFonts w:hint="eastAsia"/>
          <w:color w:val="auto"/>
          <w:lang w:val="en-US" w:eastAsia="zh-CN"/>
        </w:rPr>
        <w:t>5</w:t>
      </w:r>
      <w:r>
        <w:rPr>
          <w:color w:val="auto"/>
        </w:rPr>
        <w:t xml:space="preserve"> 本招标项目不允许联合体投标。</w:t>
      </w:r>
    </w:p>
    <w:p>
      <w:pPr>
        <w:ind w:firstLine="420"/>
        <w:rPr>
          <w:color w:val="auto"/>
        </w:rPr>
      </w:pPr>
      <w:r>
        <w:rPr>
          <w:color w:val="auto"/>
        </w:rPr>
        <w:t>2.</w:t>
      </w:r>
      <w:r>
        <w:rPr>
          <w:rFonts w:hint="eastAsia"/>
          <w:color w:val="auto"/>
          <w:lang w:val="en-US" w:eastAsia="zh-CN"/>
        </w:rPr>
        <w:t>6</w:t>
      </w:r>
      <w:r>
        <w:rPr>
          <w:color w:val="auto"/>
        </w:rPr>
        <w:t xml:space="preserve"> 不允许承包方将本工程转包给其他单位。如有违反作退场处理。</w:t>
      </w:r>
    </w:p>
    <w:p>
      <w:pPr>
        <w:ind w:firstLine="420"/>
        <w:rPr>
          <w:color w:val="auto"/>
        </w:rPr>
      </w:pPr>
    </w:p>
    <w:p>
      <w:pPr>
        <w:spacing w:line="360" w:lineRule="exact"/>
        <w:ind w:firstLine="422"/>
        <w:rPr>
          <w:rFonts w:ascii="宋体" w:hAnsi="宋体" w:eastAsia="宋体"/>
          <w:color w:val="auto"/>
          <w:szCs w:val="21"/>
        </w:rPr>
      </w:pPr>
      <w:r>
        <w:rPr>
          <w:rFonts w:ascii="宋体" w:hAnsi="宋体" w:eastAsia="宋体"/>
          <w:b/>
          <w:bCs/>
          <w:color w:val="auto"/>
          <w:szCs w:val="21"/>
        </w:rPr>
        <w:t>第三条  人员、机械、设备要求：</w:t>
      </w:r>
    </w:p>
    <w:p>
      <w:pPr>
        <w:ind w:firstLine="422"/>
        <w:rPr>
          <w:color w:val="auto"/>
        </w:rPr>
      </w:pPr>
      <w:r>
        <w:rPr>
          <w:b/>
          <w:bCs/>
          <w:color w:val="auto"/>
        </w:rPr>
        <w:t>3.1</w:t>
      </w:r>
      <w:r>
        <w:rPr>
          <w:rFonts w:ascii="宋体" w:hAnsi="宋体" w:eastAsia="宋体"/>
          <w:color w:val="auto"/>
        </w:rPr>
        <w:t xml:space="preserve"> </w:t>
      </w:r>
      <w:r>
        <w:rPr>
          <w:color w:val="auto"/>
        </w:rPr>
        <w:t>承包方需健全现场管理团队并指定1名项目经理</w:t>
      </w:r>
      <w:r>
        <w:rPr>
          <w:rFonts w:hint="eastAsia"/>
          <w:color w:val="auto"/>
        </w:rPr>
        <w:t>，报发包方面试审核通过后，方可作为现场项目经理</w:t>
      </w:r>
      <w:r>
        <w:rPr>
          <w:color w:val="auto"/>
        </w:rPr>
        <w:t>。</w:t>
      </w:r>
    </w:p>
    <w:p>
      <w:pPr>
        <w:ind w:firstLine="422"/>
        <w:rPr>
          <w:color w:val="auto"/>
        </w:rPr>
      </w:pPr>
      <w:r>
        <w:rPr>
          <w:b/>
          <w:bCs/>
          <w:color w:val="auto"/>
        </w:rPr>
        <w:t>3.2</w:t>
      </w:r>
      <w:r>
        <w:rPr>
          <w:color w:val="auto"/>
        </w:rPr>
        <w:t xml:space="preserve"> 另需全过程配备</w:t>
      </w:r>
      <w:r>
        <w:rPr>
          <w:rFonts w:hint="eastAsia"/>
          <w:color w:val="auto"/>
          <w:lang w:eastAsia="zh-CN"/>
        </w:rPr>
        <w:t>现场</w:t>
      </w:r>
      <w:r>
        <w:rPr>
          <w:color w:val="auto"/>
        </w:rPr>
        <w:t>技术管理人员不少于</w:t>
      </w:r>
      <w:r>
        <w:rPr>
          <w:rFonts w:hint="eastAsia" w:eastAsia="宋体"/>
          <w:color w:val="auto"/>
          <w:lang w:val="en-US" w:eastAsia="zh-CN"/>
        </w:rPr>
        <w:t>5</w:t>
      </w:r>
      <w:r>
        <w:rPr>
          <w:color w:val="auto"/>
        </w:rPr>
        <w:t>名（其</w:t>
      </w:r>
      <w:r>
        <w:rPr>
          <w:rFonts w:hint="eastAsia"/>
          <w:color w:val="auto"/>
          <w:lang w:eastAsia="zh-CN"/>
        </w:rPr>
        <w:t>中项目负责人</w:t>
      </w:r>
      <w:r>
        <w:rPr>
          <w:rFonts w:hint="eastAsia"/>
          <w:color w:val="auto"/>
          <w:lang w:val="en-US" w:eastAsia="zh-CN"/>
        </w:rPr>
        <w:t>1名、</w:t>
      </w:r>
      <w:r>
        <w:rPr>
          <w:rFonts w:hint="eastAsia" w:eastAsia="宋体"/>
          <w:color w:val="auto"/>
        </w:rPr>
        <w:t>施工员</w:t>
      </w:r>
      <w:r>
        <w:rPr>
          <w:rFonts w:hint="eastAsia" w:eastAsia="宋体"/>
          <w:color w:val="auto"/>
          <w:lang w:val="en-US" w:eastAsia="zh-CN"/>
        </w:rPr>
        <w:t>1名</w:t>
      </w:r>
      <w:r>
        <w:rPr>
          <w:rFonts w:hint="eastAsia" w:eastAsia="宋体"/>
          <w:color w:val="auto"/>
        </w:rPr>
        <w:t>、</w:t>
      </w:r>
      <w:r>
        <w:rPr>
          <w:color w:val="auto"/>
        </w:rPr>
        <w:t>测量放线技术人员</w:t>
      </w:r>
      <w:r>
        <w:rPr>
          <w:rFonts w:hint="eastAsia" w:eastAsia="宋体"/>
          <w:color w:val="auto"/>
          <w:lang w:val="en-US" w:eastAsia="zh-CN"/>
        </w:rPr>
        <w:t>1</w:t>
      </w:r>
      <w:r>
        <w:rPr>
          <w:rFonts w:hint="eastAsia" w:eastAsia="宋体"/>
          <w:color w:val="auto"/>
        </w:rPr>
        <w:t>名</w:t>
      </w:r>
      <w:r>
        <w:rPr>
          <w:rFonts w:hint="eastAsia" w:eastAsia="宋体"/>
          <w:color w:val="auto"/>
          <w:lang w:eastAsia="zh-CN"/>
        </w:rPr>
        <w:t>，专职安全员</w:t>
      </w:r>
      <w:r>
        <w:rPr>
          <w:rFonts w:hint="eastAsia" w:eastAsia="宋体"/>
          <w:color w:val="auto"/>
          <w:lang w:val="en-US" w:eastAsia="zh-CN"/>
        </w:rPr>
        <w:t>1名、电工1名）</w:t>
      </w:r>
      <w:r>
        <w:rPr>
          <w:rFonts w:hint="eastAsia" w:eastAsia="宋体"/>
          <w:color w:val="auto"/>
        </w:rPr>
        <w:t>，</w:t>
      </w:r>
      <w:r>
        <w:rPr>
          <w:color w:val="auto"/>
        </w:rPr>
        <w:t>各专业工种人员</w:t>
      </w:r>
      <w:r>
        <w:rPr>
          <w:rFonts w:hint="eastAsia"/>
          <w:color w:val="auto"/>
          <w:lang w:eastAsia="zh-CN"/>
        </w:rPr>
        <w:t>合计</w:t>
      </w:r>
      <w:r>
        <w:rPr>
          <w:color w:val="auto"/>
        </w:rPr>
        <w:t>不少于</w:t>
      </w:r>
      <w:r>
        <w:rPr>
          <w:rFonts w:hint="eastAsia"/>
          <w:color w:val="auto"/>
          <w:lang w:val="en-US" w:eastAsia="zh-CN"/>
        </w:rPr>
        <w:t>3</w:t>
      </w:r>
      <w:r>
        <w:rPr>
          <w:color w:val="auto"/>
        </w:rPr>
        <w:t>0人（视现场实际情况自行安排</w:t>
      </w:r>
      <w:r>
        <w:rPr>
          <w:rFonts w:hint="eastAsia" w:ascii="宋体" w:hAnsi="宋体" w:eastAsia="宋体" w:cs="宋体"/>
          <w:color w:val="auto"/>
        </w:rPr>
        <w:t>，并满足甲方特别要求的作业人员数量</w:t>
      </w:r>
      <w:r>
        <w:rPr>
          <w:color w:val="auto"/>
        </w:rPr>
        <w:t>）。</w:t>
      </w:r>
    </w:p>
    <w:p>
      <w:pPr>
        <w:spacing w:line="360" w:lineRule="exact"/>
        <w:ind w:firstLine="420"/>
        <w:jc w:val="center"/>
        <w:rPr>
          <w:rFonts w:ascii="Times New Roman" w:hAnsi="Times New Roman"/>
          <w:b/>
          <w:bCs/>
          <w:color w:val="auto"/>
          <w:szCs w:val="21"/>
        </w:rPr>
      </w:pPr>
      <w:r>
        <w:rPr>
          <w:rFonts w:hint="eastAsia" w:ascii="Times New Roman" w:hAnsi="Times New Roman"/>
          <w:color w:val="auto"/>
          <w:szCs w:val="21"/>
        </w:rPr>
        <w:t>项目组织架构职能及人员需求</w:t>
      </w:r>
    </w:p>
    <w:tbl>
      <w:tblPr>
        <w:tblStyle w:val="5"/>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2587"/>
        <w:gridCol w:w="2416"/>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5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序号</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项目岗位</w:t>
            </w:r>
          </w:p>
        </w:tc>
        <w:tc>
          <w:tcPr>
            <w:tcW w:w="2416"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人数</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5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1</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项目经理或负责人</w:t>
            </w:r>
          </w:p>
        </w:tc>
        <w:tc>
          <w:tcPr>
            <w:tcW w:w="2416"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1</w:t>
            </w:r>
          </w:p>
        </w:tc>
        <w:tc>
          <w:tcPr>
            <w:tcW w:w="2587" w:type="dxa"/>
          </w:tcPr>
          <w:p>
            <w:pPr>
              <w:spacing w:line="360" w:lineRule="exact"/>
              <w:ind w:firstLine="422"/>
              <w:jc w:val="center"/>
              <w:rPr>
                <w:rFonts w:ascii="Times New Roman" w:hAnsi="Times New Roman" w:eastAsia="Times New Roman"/>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57" w:type="dxa"/>
          </w:tcPr>
          <w:p>
            <w:pPr>
              <w:spacing w:line="360" w:lineRule="exact"/>
              <w:ind w:firstLine="422"/>
              <w:jc w:val="center"/>
              <w:rPr>
                <w:rFonts w:hint="eastAsia" w:ascii="Times New Roman" w:hAnsi="Times New Roman" w:eastAsiaTheme="minorEastAsia"/>
                <w:b/>
                <w:bCs/>
                <w:color w:val="auto"/>
                <w:szCs w:val="21"/>
                <w:lang w:eastAsia="zh-CN"/>
              </w:rPr>
            </w:pPr>
            <w:r>
              <w:rPr>
                <w:rFonts w:hint="eastAsia" w:ascii="Times New Roman" w:hAnsi="Times New Roman"/>
                <w:b/>
                <w:bCs/>
                <w:color w:val="auto"/>
                <w:szCs w:val="21"/>
                <w:lang w:val="en-US" w:eastAsia="zh-CN"/>
              </w:rPr>
              <w:t>2</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安全员</w:t>
            </w:r>
          </w:p>
        </w:tc>
        <w:tc>
          <w:tcPr>
            <w:tcW w:w="2416" w:type="dxa"/>
          </w:tcPr>
          <w:p>
            <w:pPr>
              <w:spacing w:line="360" w:lineRule="exact"/>
              <w:ind w:firstLine="422"/>
              <w:jc w:val="center"/>
              <w:rPr>
                <w:rFonts w:hint="eastAsia" w:ascii="Times New Roman" w:hAnsi="Times New Roman" w:eastAsiaTheme="minorEastAsia"/>
                <w:b/>
                <w:bCs/>
                <w:color w:val="auto"/>
                <w:szCs w:val="21"/>
                <w:lang w:eastAsia="zh-CN"/>
              </w:rPr>
            </w:pPr>
            <w:r>
              <w:rPr>
                <w:rFonts w:hint="eastAsia" w:ascii="Times New Roman" w:hAnsi="Times New Roman"/>
                <w:b/>
                <w:bCs/>
                <w:color w:val="auto"/>
                <w:szCs w:val="21"/>
                <w:lang w:val="en-US" w:eastAsia="zh-CN"/>
              </w:rPr>
              <w:t>1</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必须持证上岗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57" w:type="dxa"/>
          </w:tcPr>
          <w:p>
            <w:pPr>
              <w:spacing w:line="360" w:lineRule="exact"/>
              <w:ind w:firstLine="422"/>
              <w:jc w:val="center"/>
              <w:rPr>
                <w:rFonts w:hint="eastAsia" w:ascii="Times New Roman" w:hAnsi="Times New Roman" w:eastAsiaTheme="minorEastAsia"/>
                <w:b/>
                <w:bCs/>
                <w:color w:val="auto"/>
                <w:szCs w:val="21"/>
                <w:lang w:eastAsia="zh-CN"/>
              </w:rPr>
            </w:pPr>
            <w:r>
              <w:rPr>
                <w:rFonts w:hint="eastAsia" w:ascii="Times New Roman" w:hAnsi="Times New Roman"/>
                <w:b/>
                <w:bCs/>
                <w:color w:val="auto"/>
                <w:szCs w:val="21"/>
                <w:lang w:val="en-US" w:eastAsia="zh-CN"/>
              </w:rPr>
              <w:t>3</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施工员</w:t>
            </w:r>
          </w:p>
        </w:tc>
        <w:tc>
          <w:tcPr>
            <w:tcW w:w="2416" w:type="dxa"/>
          </w:tcPr>
          <w:p>
            <w:pPr>
              <w:spacing w:line="360" w:lineRule="exact"/>
              <w:ind w:firstLine="422"/>
              <w:jc w:val="center"/>
              <w:rPr>
                <w:rFonts w:hint="eastAsia" w:ascii="Times New Roman" w:hAnsi="Times New Roman" w:eastAsiaTheme="minorEastAsia"/>
                <w:b/>
                <w:bCs/>
                <w:color w:val="auto"/>
                <w:szCs w:val="21"/>
                <w:lang w:eastAsia="zh-CN"/>
              </w:rPr>
            </w:pPr>
            <w:r>
              <w:rPr>
                <w:rFonts w:hint="eastAsia" w:ascii="Times New Roman" w:hAnsi="Times New Roman"/>
                <w:b/>
                <w:bCs/>
                <w:color w:val="auto"/>
                <w:szCs w:val="21"/>
                <w:lang w:val="en-US" w:eastAsia="zh-CN"/>
              </w:rPr>
              <w:t>1</w:t>
            </w:r>
          </w:p>
        </w:tc>
        <w:tc>
          <w:tcPr>
            <w:tcW w:w="2587" w:type="dxa"/>
          </w:tcPr>
          <w:p>
            <w:pPr>
              <w:spacing w:line="360" w:lineRule="exact"/>
              <w:ind w:firstLine="422"/>
              <w:jc w:val="center"/>
              <w:rPr>
                <w:rFonts w:ascii="Times New Roman" w:hAnsi="Times New Roman" w:eastAsia="Times New Roman"/>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57" w:type="dxa"/>
          </w:tcPr>
          <w:p>
            <w:pPr>
              <w:spacing w:line="360" w:lineRule="exact"/>
              <w:ind w:firstLine="422"/>
              <w:jc w:val="center"/>
              <w:rPr>
                <w:rFonts w:hint="eastAsia" w:ascii="Times New Roman" w:hAnsi="Times New Roman" w:eastAsiaTheme="minorEastAsia"/>
                <w:b/>
                <w:bCs/>
                <w:color w:val="auto"/>
                <w:szCs w:val="21"/>
                <w:lang w:eastAsia="zh-CN"/>
              </w:rPr>
            </w:pPr>
            <w:r>
              <w:rPr>
                <w:rFonts w:hint="eastAsia" w:ascii="Times New Roman" w:hAnsi="Times New Roman"/>
                <w:b/>
                <w:bCs/>
                <w:color w:val="auto"/>
                <w:szCs w:val="21"/>
                <w:lang w:val="en-US" w:eastAsia="zh-CN"/>
              </w:rPr>
              <w:t>4</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测量施工员</w:t>
            </w:r>
          </w:p>
        </w:tc>
        <w:tc>
          <w:tcPr>
            <w:tcW w:w="2416" w:type="dxa"/>
          </w:tcPr>
          <w:p>
            <w:pPr>
              <w:spacing w:line="360" w:lineRule="exact"/>
              <w:ind w:firstLine="422"/>
              <w:jc w:val="center"/>
              <w:rPr>
                <w:rFonts w:hint="eastAsia" w:ascii="Times New Roman" w:hAnsi="Times New Roman" w:eastAsiaTheme="minorEastAsia"/>
                <w:b/>
                <w:bCs/>
                <w:color w:val="auto"/>
                <w:szCs w:val="21"/>
                <w:lang w:eastAsia="zh-CN"/>
              </w:rPr>
            </w:pPr>
            <w:r>
              <w:rPr>
                <w:rFonts w:hint="eastAsia" w:ascii="Times New Roman" w:hAnsi="Times New Roman"/>
                <w:b/>
                <w:bCs/>
                <w:color w:val="auto"/>
                <w:szCs w:val="21"/>
                <w:lang w:val="en-US" w:eastAsia="zh-CN"/>
              </w:rPr>
              <w:t>1</w:t>
            </w:r>
          </w:p>
        </w:tc>
        <w:tc>
          <w:tcPr>
            <w:tcW w:w="2587" w:type="dxa"/>
          </w:tcPr>
          <w:p>
            <w:pPr>
              <w:spacing w:line="360" w:lineRule="exact"/>
              <w:ind w:firstLine="422"/>
              <w:jc w:val="center"/>
              <w:rPr>
                <w:rFonts w:ascii="Times New Roman" w:hAnsi="Times New Roman" w:eastAsia="Times New Roman"/>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57" w:type="dxa"/>
          </w:tcPr>
          <w:p>
            <w:pPr>
              <w:spacing w:line="360" w:lineRule="exact"/>
              <w:ind w:firstLine="422"/>
              <w:jc w:val="center"/>
              <w:rPr>
                <w:rFonts w:hint="default" w:ascii="Times New Roman" w:hAnsi="Times New Roman" w:eastAsiaTheme="minorEastAsia"/>
                <w:b/>
                <w:bCs/>
                <w:color w:val="auto"/>
                <w:szCs w:val="21"/>
                <w:lang w:val="en-US" w:eastAsia="zh-CN"/>
              </w:rPr>
            </w:pPr>
            <w:r>
              <w:rPr>
                <w:rFonts w:hint="eastAsia" w:ascii="Times New Roman" w:hAnsi="Times New Roman"/>
                <w:b/>
                <w:bCs/>
                <w:color w:val="auto"/>
                <w:szCs w:val="21"/>
                <w:lang w:val="en-US" w:eastAsia="zh-CN"/>
              </w:rPr>
              <w:t>5</w:t>
            </w:r>
          </w:p>
        </w:tc>
        <w:tc>
          <w:tcPr>
            <w:tcW w:w="2587" w:type="dxa"/>
          </w:tcPr>
          <w:p>
            <w:pPr>
              <w:spacing w:line="360" w:lineRule="exact"/>
              <w:ind w:firstLine="422"/>
              <w:jc w:val="center"/>
              <w:rPr>
                <w:rFonts w:ascii="Times New Roman" w:hAnsi="Times New Roman"/>
                <w:b/>
                <w:bCs/>
                <w:color w:val="auto"/>
                <w:szCs w:val="21"/>
              </w:rPr>
            </w:pPr>
            <w:r>
              <w:rPr>
                <w:rFonts w:hint="eastAsia" w:ascii="Times New Roman" w:hAnsi="Times New Roman"/>
                <w:b/>
                <w:bCs/>
                <w:color w:val="auto"/>
                <w:szCs w:val="21"/>
              </w:rPr>
              <w:t>电工</w:t>
            </w:r>
          </w:p>
        </w:tc>
        <w:tc>
          <w:tcPr>
            <w:tcW w:w="2416" w:type="dxa"/>
          </w:tcPr>
          <w:p>
            <w:pPr>
              <w:spacing w:line="360" w:lineRule="exact"/>
              <w:ind w:firstLine="422"/>
              <w:jc w:val="center"/>
              <w:rPr>
                <w:rFonts w:hint="eastAsia" w:ascii="Times New Roman" w:hAnsi="Times New Roman" w:eastAsiaTheme="minorEastAsia"/>
                <w:b/>
                <w:bCs/>
                <w:color w:val="auto"/>
                <w:szCs w:val="21"/>
                <w:lang w:eastAsia="zh-CN"/>
              </w:rPr>
            </w:pPr>
            <w:r>
              <w:rPr>
                <w:rFonts w:hint="eastAsia" w:ascii="Times New Roman" w:hAnsi="Times New Roman"/>
                <w:b/>
                <w:bCs/>
                <w:color w:val="auto"/>
                <w:szCs w:val="21"/>
                <w:lang w:val="en-US" w:eastAsia="zh-CN"/>
              </w:rPr>
              <w:t>1</w:t>
            </w:r>
          </w:p>
        </w:tc>
        <w:tc>
          <w:tcPr>
            <w:tcW w:w="2587" w:type="dxa"/>
          </w:tcPr>
          <w:p>
            <w:pPr>
              <w:spacing w:line="360" w:lineRule="exact"/>
              <w:ind w:firstLine="422"/>
              <w:jc w:val="center"/>
              <w:rPr>
                <w:rFonts w:ascii="Times New Roman" w:hAnsi="Times New Roman" w:eastAsia="Times New Roman"/>
                <w:b/>
                <w:bCs/>
                <w:color w:val="auto"/>
                <w:szCs w:val="21"/>
              </w:rPr>
            </w:pPr>
            <w:r>
              <w:rPr>
                <w:rFonts w:hint="eastAsia" w:ascii="Times New Roman" w:hAnsi="Times New Roman"/>
                <w:b/>
                <w:bCs/>
                <w:color w:val="auto"/>
                <w:szCs w:val="21"/>
              </w:rPr>
              <w:t>必须持证上岗</w:t>
            </w:r>
          </w:p>
        </w:tc>
      </w:tr>
    </w:tbl>
    <w:p>
      <w:pPr>
        <w:spacing w:line="360" w:lineRule="exact"/>
        <w:ind w:firstLine="420"/>
        <w:jc w:val="left"/>
        <w:rPr>
          <w:rFonts w:ascii="Times New Roman" w:hAnsi="Times New Roman" w:eastAsia="Times New Roman"/>
          <w:color w:val="auto"/>
          <w:szCs w:val="21"/>
        </w:rPr>
      </w:pPr>
    </w:p>
    <w:p>
      <w:pPr>
        <w:ind w:firstLine="422"/>
        <w:rPr>
          <w:color w:val="auto"/>
        </w:rPr>
      </w:pPr>
      <w:r>
        <w:rPr>
          <w:b/>
          <w:bCs/>
          <w:color w:val="auto"/>
        </w:rPr>
        <w:t>3.3</w:t>
      </w:r>
      <w:r>
        <w:rPr>
          <w:color w:val="auto"/>
        </w:rPr>
        <w:t> 专职安全员和电工必须持证上岗，报发包方备案，并应服从发包方安全工程师指挥安排。安全员不得从事与安全管理无关的事务，开工日期起必须到场。</w:t>
      </w:r>
    </w:p>
    <w:p>
      <w:pPr>
        <w:ind w:firstLine="422"/>
        <w:rPr>
          <w:color w:val="auto"/>
        </w:rPr>
      </w:pPr>
      <w:r>
        <w:rPr>
          <w:b/>
          <w:bCs/>
          <w:color w:val="auto"/>
        </w:rPr>
        <w:t>3.4</w:t>
      </w:r>
      <w:r>
        <w:rPr>
          <w:color w:val="auto"/>
        </w:rPr>
        <w:t> 管理人员原则上不允许中标后进行更换，若出现不可抗因素（离职、退休、离世等），在具备条件的情况下必须提前一个月办理更换手续，待发包方同意后方可进行人员变更；其他人员在确保单项不少于最低人数时，新到岗人员资历不得低于被更换人员，且在具备条件的情况下必须提前一周办理更换手续，待发包方经面试并同意后方可进行人员变更。现场所有管理人员，每周工作不得少于6天，夜间施工时管理人员必须全程在现场跟进，主要管理人员请假必须提前一天征得发包方的同意。</w:t>
      </w:r>
    </w:p>
    <w:p>
      <w:pPr>
        <w:ind w:firstLine="422"/>
        <w:rPr>
          <w:color w:val="auto"/>
        </w:rPr>
      </w:pPr>
      <w:r>
        <w:rPr>
          <w:b/>
          <w:bCs/>
          <w:color w:val="auto"/>
        </w:rPr>
        <w:t>3.5</w:t>
      </w:r>
      <w:r>
        <w:rPr>
          <w:color w:val="auto"/>
        </w:rPr>
        <w:t> 承包方在整个合同施工期间（自开工至完成竣工验收交接），必须每天上报各工种现场施工人员数量、当天施工内容、相关机械设备名目及数量、当天运抵工地的材料名目及数量以备发包方核查。</w:t>
      </w:r>
    </w:p>
    <w:p>
      <w:pPr>
        <w:ind w:firstLine="422"/>
        <w:rPr>
          <w:color w:val="auto"/>
        </w:rPr>
      </w:pPr>
      <w:r>
        <w:rPr>
          <w:b/>
          <w:bCs/>
          <w:color w:val="auto"/>
        </w:rPr>
        <w:t>3.6</w:t>
      </w:r>
      <w:r>
        <w:rPr>
          <w:color w:val="auto"/>
        </w:rPr>
        <w:t xml:space="preserve"> 垂直运输机械</w:t>
      </w:r>
    </w:p>
    <w:p>
      <w:pPr>
        <w:ind w:firstLine="420"/>
        <w:rPr>
          <w:color w:val="auto"/>
        </w:rPr>
      </w:pPr>
      <w:r>
        <w:rPr>
          <w:color w:val="auto"/>
        </w:rPr>
        <w:t>3.6.1发包方仅负责</w:t>
      </w:r>
      <w:r>
        <w:rPr>
          <w:rFonts w:hint="eastAsia"/>
          <w:color w:val="auto"/>
          <w:lang w:eastAsia="zh-CN"/>
        </w:rPr>
        <w:t>超重吊车</w:t>
      </w:r>
      <w:r>
        <w:rPr>
          <w:color w:val="auto"/>
        </w:rPr>
        <w:t>，其他的提升设备由承包方负责，所有施工所需机械设备必须满足发包方进度要求，所有费用均由承包方自行考虑，包含在投标总价中。</w:t>
      </w:r>
    </w:p>
    <w:p>
      <w:pPr>
        <w:ind w:firstLine="420"/>
        <w:rPr>
          <w:color w:val="auto"/>
        </w:rPr>
      </w:pPr>
      <w:r>
        <w:rPr>
          <w:color w:val="auto"/>
        </w:rPr>
        <w:t>3.6.2内部转运所有费用均由承包方自行考虑，包含在投标总价中。</w:t>
      </w:r>
    </w:p>
    <w:p>
      <w:pPr>
        <w:ind w:firstLine="422"/>
        <w:rPr>
          <w:color w:val="auto"/>
        </w:rPr>
      </w:pPr>
      <w:r>
        <w:rPr>
          <w:b/>
          <w:bCs/>
          <w:color w:val="auto"/>
        </w:rPr>
        <w:t>3.7</w:t>
      </w:r>
      <w:r>
        <w:rPr>
          <w:color w:val="auto"/>
        </w:rPr>
        <w:t>为了保证工程进度及提高文明施工标准，承包方应及时组织全部机械进场施工，并保证符合安全文明施工相关标准。</w:t>
      </w:r>
    </w:p>
    <w:p>
      <w:pPr>
        <w:spacing w:line="360" w:lineRule="exact"/>
        <w:ind w:firstLine="422"/>
        <w:jc w:val="left"/>
        <w:rPr>
          <w:rFonts w:ascii="宋体" w:hAnsi="宋体" w:eastAsia="宋体"/>
          <w:color w:val="auto"/>
          <w:szCs w:val="21"/>
        </w:rPr>
      </w:pPr>
      <w:r>
        <w:rPr>
          <w:rFonts w:ascii="宋体" w:hAnsi="宋体" w:eastAsia="宋体"/>
          <w:b/>
          <w:bCs/>
          <w:color w:val="auto"/>
          <w:szCs w:val="21"/>
        </w:rPr>
        <w:t>第四条  工期进度要求：</w:t>
      </w:r>
    </w:p>
    <w:p>
      <w:pPr>
        <w:ind w:firstLine="422"/>
        <w:rPr>
          <w:color w:val="auto"/>
        </w:rPr>
      </w:pPr>
      <w:r>
        <w:rPr>
          <w:b/>
          <w:bCs/>
          <w:color w:val="auto"/>
        </w:rPr>
        <w:t>4.1</w:t>
      </w:r>
      <w:r>
        <w:rPr>
          <w:color w:val="auto"/>
        </w:rPr>
        <w:t xml:space="preserve"> </w:t>
      </w:r>
      <w:r>
        <w:rPr>
          <w:rFonts w:hint="eastAsia" w:ascii="Times New Roman" w:hAnsi="Times New Roman"/>
          <w:color w:val="auto"/>
        </w:rPr>
        <w:t>项目</w:t>
      </w:r>
      <w:r>
        <w:rPr>
          <w:color w:val="auto"/>
        </w:rPr>
        <w:t>工期进度要求</w:t>
      </w:r>
    </w:p>
    <w:p>
      <w:pPr>
        <w:ind w:firstLine="420"/>
        <w:rPr>
          <w:rFonts w:hint="default" w:ascii="Times New Roman" w:hAnsi="Times New Roman" w:eastAsiaTheme="minorEastAsia"/>
          <w:color w:val="auto"/>
          <w:lang w:val="en-US" w:eastAsia="zh-CN"/>
        </w:rPr>
      </w:pPr>
      <w:r>
        <w:rPr>
          <w:rFonts w:ascii="Times New Roman" w:hAnsi="Times New Roman" w:eastAsia="Times New Roman"/>
          <w:color w:val="auto"/>
        </w:rPr>
        <w:t>4.2</w:t>
      </w:r>
      <w:r>
        <w:rPr>
          <w:rFonts w:hint="eastAsia" w:ascii="宋体" w:hAnsi="宋体" w:eastAsia="宋体" w:cs="宋体"/>
          <w:color w:val="auto"/>
        </w:rPr>
        <w:t>工期要求：</w:t>
      </w:r>
      <w:r>
        <w:rPr>
          <w:rFonts w:hint="eastAsia" w:ascii="Times New Roman" w:hAnsi="Times New Roman"/>
          <w:color w:val="auto"/>
        </w:rPr>
        <w:t xml:space="preserve"> </w:t>
      </w:r>
      <w:r>
        <w:rPr>
          <w:rFonts w:hint="eastAsia" w:ascii="Times New Roman" w:hAnsi="Times New Roman"/>
          <w:color w:val="auto"/>
          <w:lang w:eastAsia="zh-CN"/>
        </w:rPr>
        <w:t>结构</w:t>
      </w:r>
      <w:r>
        <w:rPr>
          <w:rFonts w:hint="eastAsia" w:ascii="Times New Roman" w:hAnsi="Times New Roman"/>
          <w:color w:val="auto"/>
          <w:lang w:val="en-US" w:eastAsia="zh-CN"/>
        </w:rPr>
        <w:t>封顶时间：2026年5月30日</w:t>
      </w:r>
    </w:p>
    <w:p>
      <w:pPr>
        <w:ind w:firstLine="422"/>
        <w:rPr>
          <w:rFonts w:ascii="微软雅黑" w:hAnsi="微软雅黑" w:eastAsia="微软雅黑"/>
          <w:color w:val="auto"/>
        </w:rPr>
      </w:pPr>
      <w:r>
        <w:rPr>
          <w:b/>
          <w:bCs/>
          <w:color w:val="auto"/>
        </w:rPr>
        <w:t>4.3</w:t>
      </w:r>
      <w:r>
        <w:rPr>
          <w:color w:val="auto"/>
        </w:rPr>
        <w:t> 工期违约：根据发包方要求，承包方自愿接受按上述节点完成，如因承包方原因造成工期延误，工期每延误一天，承包方承担不少于</w:t>
      </w:r>
      <w:r>
        <w:rPr>
          <w:rFonts w:hint="eastAsia"/>
          <w:color w:val="auto"/>
          <w:lang w:val="en-US" w:eastAsia="zh-CN"/>
        </w:rPr>
        <w:t>2</w:t>
      </w:r>
      <w:r>
        <w:rPr>
          <w:color w:val="auto"/>
        </w:rPr>
        <w:t>000元/天的违约金，并赔偿相关单位的窝工费和赶工费用。上述违约金由工程款中扣除。</w:t>
      </w:r>
    </w:p>
    <w:p>
      <w:pPr>
        <w:ind w:firstLine="422"/>
        <w:rPr>
          <w:rFonts w:ascii="微软雅黑" w:hAnsi="微软雅黑" w:eastAsia="微软雅黑"/>
          <w:color w:val="auto"/>
        </w:rPr>
      </w:pPr>
      <w:r>
        <w:rPr>
          <w:b/>
          <w:bCs/>
          <w:color w:val="auto"/>
        </w:rPr>
        <w:t>4.4</w:t>
      </w:r>
      <w:r>
        <w:rPr>
          <w:color w:val="auto"/>
        </w:rPr>
        <w:t> 工期不可顺延，赶工所需加班倒班费用，由投标单位自行考虑。</w:t>
      </w:r>
    </w:p>
    <w:p>
      <w:pPr>
        <w:ind w:firstLine="422"/>
        <w:rPr>
          <w:rFonts w:ascii="微软雅黑" w:hAnsi="微软雅黑" w:eastAsia="微软雅黑"/>
          <w:color w:val="auto"/>
        </w:rPr>
      </w:pPr>
      <w:r>
        <w:rPr>
          <w:b/>
          <w:bCs/>
          <w:color w:val="auto"/>
        </w:rPr>
        <w:t>4.5</w:t>
      </w:r>
      <w:r>
        <w:rPr>
          <w:color w:val="auto"/>
        </w:rPr>
        <w:t> 如因承包方原因导致施工进度无法满足工期节点及施工进度要求，发包方有权将承包方施工内容指令其他单位进行施工；如仍无法满足工期节点要求，发包方有权要求承包方无条件撤场；承包方不得以前述原因为由向发包方提出费用索赔。</w:t>
      </w:r>
    </w:p>
    <w:p>
      <w:pPr>
        <w:ind w:firstLine="422"/>
        <w:rPr>
          <w:rFonts w:ascii="微软雅黑" w:hAnsi="微软雅黑" w:eastAsia="微软雅黑"/>
          <w:color w:val="auto"/>
          <w:szCs w:val="21"/>
        </w:rPr>
      </w:pPr>
      <w:r>
        <w:rPr>
          <w:b/>
          <w:bCs/>
          <w:color w:val="auto"/>
        </w:rPr>
        <w:t>4.6</w:t>
      </w:r>
      <w:r>
        <w:rPr>
          <w:color w:val="auto"/>
        </w:rPr>
        <w:t> 投标人在投标之前必须对施工现场进行全面踏勘，并充分考虑周边交通、民居、夜间施工声光污染对施工的制约。</w:t>
      </w:r>
    </w:p>
    <w:p>
      <w:pPr>
        <w:spacing w:line="360" w:lineRule="exact"/>
        <w:ind w:firstLine="422"/>
        <w:jc w:val="left"/>
        <w:rPr>
          <w:rFonts w:ascii="宋体" w:hAnsi="宋体" w:eastAsia="宋体"/>
          <w:color w:val="auto"/>
          <w:szCs w:val="21"/>
        </w:rPr>
      </w:pPr>
      <w:r>
        <w:rPr>
          <w:rFonts w:ascii="宋体" w:hAnsi="宋体" w:eastAsia="宋体"/>
          <w:b/>
          <w:bCs/>
          <w:color w:val="auto"/>
          <w:szCs w:val="21"/>
        </w:rPr>
        <w:t>第五条  质量管理要求</w:t>
      </w:r>
    </w:p>
    <w:p>
      <w:pPr>
        <w:ind w:firstLine="420"/>
      </w:pPr>
      <w:r>
        <w:t>5.1   质量标准要求 承包方劳务作业施工质量除了需满足发包方《施工组织设计》和《技术交底》上的要求以外，还应满足相关分项工程质量验收标准合格规定，主控项目和一般项目（包括实测实量内容）均须一次验收合格。承包方应掌握质量合格标准，作业班组、工人在每一部位工序操作达到一次施工合格，保证每一楼层、每一部位工程实体质量一次施工至全部合格。</w:t>
      </w:r>
    </w:p>
    <w:p>
      <w:pPr>
        <w:ind w:firstLine="420"/>
      </w:pPr>
      <w:r>
        <w:t>5.2  钢筋工绑扎完一面墙钢筋、一个房间梁板等部位钢筋，或者木工支设完一个房间等部位模板，离开该部位时，必须保证其操作质量是合格的。</w:t>
      </w:r>
    </w:p>
    <w:p>
      <w:pPr>
        <w:ind w:firstLine="420"/>
      </w:pPr>
      <w:r>
        <w:t>5.3 作业班组在每一部位操作完应立即有承包方质量检查员检查验收，钢筋、模板操作完2小时内完成承包方检查和班组整改，达到合格。不得在发包方检查验收时仍有问题，否则视为承包方违约，并向发包方支付违约金。</w:t>
      </w:r>
    </w:p>
    <w:p>
      <w:pPr>
        <w:ind w:firstLine="420"/>
      </w:pPr>
      <w:r>
        <w:t>5.4 承包方应及时全数自检，并记录和标识。承包方应采取可靠措施预防混凝土结构涨模、漏浆、错台（尤其是层间漏浆错台）、裂纹裂缝、露筋、楼面高差大、平整度及垂直度超差等问题。全部构件全部部位在养护期内必须（洒水）养护到位，采用覆盖塑料膜、喷雾洒水养护等措施进行养护。</w:t>
      </w:r>
    </w:p>
    <w:p>
      <w:pPr>
        <w:ind w:firstLine="420"/>
        <w:rPr>
          <w:color w:val="auto"/>
        </w:rPr>
      </w:pPr>
      <w:r>
        <w:rPr>
          <w:color w:val="auto"/>
        </w:rPr>
        <w:t xml:space="preserve">5.5 测量放线工程 </w:t>
      </w:r>
    </w:p>
    <w:p>
      <w:pPr>
        <w:ind w:firstLine="420"/>
        <w:rPr>
          <w:rFonts w:ascii="微软雅黑" w:hAnsi="微软雅黑" w:eastAsia="微软雅黑"/>
        </w:rPr>
      </w:pPr>
      <w:r>
        <w:t>5.5.1发包方负责向承包方提供符合要求的坐标和高程控制点各不少于三个，测量资料和点位的移交经双方指定现场负责人签字并加盖发包方项目章后生效。</w:t>
      </w:r>
    </w:p>
    <w:p>
      <w:pPr>
        <w:ind w:firstLine="420"/>
        <w:rPr>
          <w:rFonts w:ascii="微软雅黑" w:hAnsi="微软雅黑" w:eastAsia="微软雅黑"/>
        </w:rPr>
      </w:pPr>
      <w:r>
        <w:t>5.5.2测量资料和点位的移交后，承包方负责后续的测量放线工作包括但不限于各楼层的</w:t>
      </w:r>
      <w:r>
        <w:rPr>
          <w:rFonts w:hint="eastAsia"/>
          <w:lang w:eastAsia="zh-CN"/>
        </w:rPr>
        <w:t>梁、墙、柱、</w:t>
      </w:r>
      <w:r>
        <w:t xml:space="preserve">墙体定位放线（墙边线、控制线）洞口线、楼梯的放线，各楼层抄测建筑50控制线，包括室内砼墙上的建筑50线的放线，主楼外大角100mm控制线的放线，屋面女儿墙的建筑50线，屋面墙及其他构件的放线，沉降观测点的布置安装测量，二次施工的阳台栏板、凸窗栏板、空调隔板的放线，放线洞的恢复封堵，文明施工的清理，等所有的施工范围的作业内容。 </w:t>
      </w:r>
    </w:p>
    <w:p>
      <w:pPr>
        <w:ind w:firstLine="420"/>
        <w:rPr>
          <w:rFonts w:ascii="微软雅黑" w:hAnsi="微软雅黑" w:eastAsia="微软雅黑"/>
        </w:rPr>
      </w:pPr>
      <w:r>
        <w:t>5.5.3测量放线工作所需要包括但不限于的所有仪器、对讲机及现有的测量构配件均由承包方负责，并包含在本大劳务合同价款内。</w:t>
      </w:r>
    </w:p>
    <w:p>
      <w:pPr>
        <w:ind w:firstLine="422"/>
        <w:rPr>
          <w:rFonts w:ascii="微软雅黑" w:hAnsi="微软雅黑" w:eastAsia="微软雅黑"/>
        </w:rPr>
      </w:pPr>
      <w:r>
        <w:rPr>
          <w:b/>
          <w:bCs/>
        </w:rPr>
        <w:t>5.6</w:t>
      </w:r>
      <w:r>
        <w:t> </w:t>
      </w:r>
      <w:r>
        <w:rPr>
          <w:rFonts w:ascii="宋体" w:hAnsi="宋体" w:eastAsia="宋体"/>
        </w:rPr>
        <w:t>模板及支架工程</w:t>
      </w:r>
      <w:r>
        <w:rPr>
          <w:rFonts w:hint="eastAsia" w:ascii="宋体" w:hAnsi="宋体" w:eastAsia="宋体"/>
          <w:lang w:val="en-US" w:eastAsia="zh-CN"/>
        </w:rPr>
        <w:t>满足相关</w:t>
      </w:r>
      <w:r>
        <w:t>标准外，对其质量标准细化约定如下：</w:t>
      </w:r>
    </w:p>
    <w:p>
      <w:pPr>
        <w:ind w:firstLine="420"/>
      </w:pPr>
      <w:r>
        <w:t>模板安装前应放设上下口控制线,控制线距墙柱边300mm,在楼面钢筋安装前需经发包方按控制线复核墙梁位置。具体参照下图。</w:t>
      </w:r>
    </w:p>
    <w:p>
      <w:pPr>
        <w:spacing w:line="360" w:lineRule="exact"/>
        <w:ind w:firstLine="422"/>
        <w:jc w:val="left"/>
        <w:rPr>
          <w:rFonts w:ascii="Times New Roman" w:hAnsi="Times New Roman" w:eastAsia="Times New Roman"/>
          <w:color w:val="000000"/>
          <w:szCs w:val="21"/>
        </w:rPr>
      </w:pPr>
      <w:r>
        <w:rPr>
          <w:rFonts w:hint="eastAsia" w:ascii="仿宋" w:hAnsi="仿宋" w:eastAsia="仿宋"/>
          <w:b/>
          <w:bCs/>
        </w:rPr>
        <w:drawing>
          <wp:anchor distT="0" distB="0" distL="114300" distR="114300" simplePos="0" relativeHeight="251659264" behindDoc="0" locked="0" layoutInCell="1" allowOverlap="1">
            <wp:simplePos x="0" y="0"/>
            <wp:positionH relativeFrom="column">
              <wp:posOffset>850265</wp:posOffset>
            </wp:positionH>
            <wp:positionV relativeFrom="paragraph">
              <wp:posOffset>49530</wp:posOffset>
            </wp:positionV>
            <wp:extent cx="3965575" cy="2747010"/>
            <wp:effectExtent l="0" t="0" r="15875" b="15240"/>
            <wp:wrapNone/>
            <wp:docPr id="4" name="图片 4" descr="38ba614938bc143262b1390ca3aa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8ba614938bc143262b1390ca3aaf42"/>
                    <pic:cNvPicPr>
                      <a:picLocks noChangeAspect="1"/>
                    </pic:cNvPicPr>
                  </pic:nvPicPr>
                  <pic:blipFill>
                    <a:blip r:embed="rId12"/>
                    <a:stretch>
                      <a:fillRect/>
                    </a:stretch>
                  </pic:blipFill>
                  <pic:spPr>
                    <a:xfrm>
                      <a:off x="0" y="0"/>
                      <a:ext cx="3965575" cy="2747010"/>
                    </a:xfrm>
                    <a:prstGeom prst="rect">
                      <a:avLst/>
                    </a:prstGeom>
                  </pic:spPr>
                </pic:pic>
              </a:graphicData>
            </a:graphic>
          </wp:anchor>
        </w:drawing>
      </w: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left"/>
        <w:rPr>
          <w:rFonts w:ascii="Times New Roman" w:hAnsi="Times New Roman" w:eastAsia="Times New Roman"/>
          <w:color w:val="000000"/>
          <w:szCs w:val="21"/>
        </w:rPr>
      </w:pPr>
    </w:p>
    <w:p>
      <w:pPr>
        <w:spacing w:line="360" w:lineRule="exact"/>
        <w:ind w:firstLine="420"/>
        <w:jc w:val="center"/>
        <w:rPr>
          <w:rFonts w:ascii="微软雅黑" w:hAnsi="微软雅黑" w:eastAsia="微软雅黑"/>
          <w:b/>
          <w:bCs/>
          <w:szCs w:val="21"/>
        </w:rPr>
      </w:pPr>
      <w:r>
        <w:rPr>
          <w:rFonts w:hint="eastAsia" w:ascii="微软雅黑" w:hAnsi="微软雅黑" w:eastAsia="微软雅黑"/>
          <w:b/>
          <w:bCs/>
          <w:szCs w:val="21"/>
        </w:rPr>
        <w:t>图5.6.1</w:t>
      </w:r>
    </w:p>
    <w:p>
      <w:pPr>
        <w:spacing w:line="360" w:lineRule="exact"/>
        <w:ind w:firstLine="420"/>
        <w:jc w:val="center"/>
        <w:rPr>
          <w:rFonts w:ascii="微软雅黑" w:hAnsi="微软雅黑" w:eastAsia="微软雅黑"/>
          <w:b/>
          <w:bCs/>
          <w:szCs w:val="21"/>
        </w:rPr>
      </w:pPr>
    </w:p>
    <w:p>
      <w:pPr>
        <w:ind w:firstLine="420"/>
        <w:rPr>
          <w:rFonts w:ascii="微软雅黑" w:hAnsi="微软雅黑" w:eastAsia="微软雅黑"/>
        </w:rPr>
      </w:pPr>
      <w:r>
        <w:t>模板、支架必须严格按照《施工方案》和《施工技术交底卡》执行，达到一次验收合格；模板及支架应保证工程结构和构件各部位形状、尺寸和位置准确，且应便于钢筋安装和混凝土浇筑。后浇带的模板及支架应单独支设，不得随两侧模架拆除，须待后浇带混凝土达到设计强度后拆除。承包方应绘制《满堂支撑立杆布置点位图》、特殊部位《配模板图》提交发包方项目总工签字核准，照此布置扫地杆及立杆、配模，并保证上下层立杆位置对准。楼梯段施工缝必须留在中间1/3范围（</w:t>
      </w:r>
      <w:r>
        <w:rPr>
          <w:rFonts w:hint="eastAsia" w:eastAsia="宋体"/>
        </w:rPr>
        <w:t>或</w:t>
      </w:r>
      <w:r>
        <w:t>楼梯第3台阶或者以上）。</w:t>
      </w:r>
    </w:p>
    <w:p>
      <w:pPr>
        <w:ind w:firstLine="420"/>
        <w:rPr>
          <w:rFonts w:ascii="微软雅黑" w:hAnsi="微软雅黑" w:eastAsia="微软雅黑"/>
        </w:rPr>
      </w:pPr>
      <w:r>
        <w:t>接触混凝土的模板表面应平整，必须清理模板并将变形和损坏部位修整好。应涂刷</w:t>
      </w:r>
      <w:r>
        <w:rPr>
          <w:rFonts w:ascii="宋体" w:hAnsi="宋体" w:eastAsia="宋体"/>
        </w:rPr>
        <w:t>合格的</w:t>
      </w:r>
      <w:r>
        <w:t>（非油性）脱模剂，脱模剂应有一定的成膜强度。模板拼缝应严密，</w:t>
      </w:r>
      <w:r>
        <w:rPr>
          <w:rFonts w:ascii="宋体" w:hAnsi="宋体" w:eastAsia="宋体"/>
        </w:rPr>
        <w:t>模板边缘应贴海绵条防漏浆</w:t>
      </w:r>
      <w:r>
        <w:t>。必须从楼板绑扎钢筋开始及时铺设马道板（或旧模板）防止踩坏钢筋。易漏浆的外墙、楼梯间墙等模板的下边应贴海棉条，并向下加长模板和龙骨（将龙骨末端拉结于对拉螺栓处）。</w:t>
      </w:r>
    </w:p>
    <w:p>
      <w:pPr>
        <w:ind w:firstLine="420"/>
        <w:rPr>
          <w:rFonts w:ascii="微软雅黑" w:hAnsi="微软雅黑" w:eastAsia="微软雅黑"/>
        </w:rPr>
      </w:pPr>
      <w:r>
        <w:t>支架立柱钢管下设置具有足够强度和支撑面积的垫板。在土层上支模板时，必须夯实基层、采用脚手板做垫板。</w:t>
      </w:r>
    </w:p>
    <w:p>
      <w:pPr>
        <w:ind w:firstLine="420"/>
        <w:rPr>
          <w:rFonts w:ascii="微软雅黑" w:hAnsi="微软雅黑" w:eastAsia="微软雅黑"/>
        </w:rPr>
      </w:pPr>
      <w:r>
        <w:t>安装外墙模板时，上层模板应深入下层墙体，下层墙体相应位置预留钢筋限位，以防跑模或错台。墙柱侧模拼接，小块模板必须放置在中部拼接，不允许在顶部或底部拼接。墙柱阴角采用方木收口，竖楞伸至方木底。外独立柱双向拉顶结合，楼面上预埋钢筋拉结点。</w:t>
      </w:r>
    </w:p>
    <w:p>
      <w:pPr>
        <w:ind w:firstLine="420"/>
        <w:rPr>
          <w:rFonts w:ascii="微软雅黑" w:hAnsi="微软雅黑" w:eastAsia="微软雅黑"/>
        </w:rPr>
      </w:pPr>
      <w:r>
        <w:t>墙柱模板下口提前一天用砂浆封堵，保证强度。预留垃圾清理口，浇筑前封堵，墙柱模板缝隙采用双面胶封堵防止漏浆。</w:t>
      </w:r>
    </w:p>
    <w:p>
      <w:pPr>
        <w:ind w:firstLine="422"/>
        <w:rPr>
          <w:rFonts w:ascii="微软雅黑" w:hAnsi="微软雅黑" w:eastAsia="微软雅黑"/>
        </w:rPr>
      </w:pPr>
      <w:r>
        <w:rPr>
          <w:b/>
          <w:bCs/>
        </w:rPr>
        <w:t>5.</w:t>
      </w:r>
      <w:r>
        <w:rPr>
          <w:rFonts w:hint="eastAsia"/>
          <w:b/>
          <w:bCs/>
          <w:lang w:val="en-US" w:eastAsia="zh-CN"/>
        </w:rPr>
        <w:t>7</w:t>
      </w:r>
      <w:r>
        <w:rPr>
          <w:rFonts w:ascii="宋体" w:hAnsi="宋体" w:eastAsia="宋体"/>
          <w:b/>
          <w:bCs/>
        </w:rPr>
        <w:t xml:space="preserve"> </w:t>
      </w:r>
      <w:r>
        <w:rPr>
          <w:rFonts w:ascii="宋体" w:hAnsi="宋体" w:eastAsia="宋体"/>
        </w:rPr>
        <w:t>钢筋工程</w:t>
      </w:r>
      <w:r>
        <w:t>除了执行GB50204第5章标准外，对其质量标准细化约定如下：</w:t>
      </w:r>
    </w:p>
    <w:p>
      <w:pPr>
        <w:ind w:firstLine="420"/>
      </w:pPr>
      <w:r>
        <w:t>钢筋加工、安装和绑扎必须严格按照设计图纸、规范标准、《施工方案》和《施工技术交底卡》执行，达到一次验收合格（</w:t>
      </w:r>
      <w:r>
        <w:rPr>
          <w:rFonts w:ascii="宋体" w:hAnsi="宋体" w:eastAsia="宋体"/>
        </w:rPr>
        <w:t>一次验收</w:t>
      </w:r>
      <w:r>
        <w:t>通过</w:t>
      </w:r>
      <w:r>
        <w:rPr>
          <w:rFonts w:ascii="宋体" w:hAnsi="宋体" w:eastAsia="宋体"/>
        </w:rPr>
        <w:t>率</w:t>
      </w:r>
      <w:r>
        <w:t>须不低于90%）；</w:t>
      </w:r>
      <w:r>
        <w:rPr>
          <w:rFonts w:ascii="宋体" w:hAnsi="宋体" w:eastAsia="宋体"/>
        </w:rPr>
        <w:t>《钢筋加工放样单》</w:t>
      </w:r>
      <w:r>
        <w:t>应经承包方项目经理审批后提交发包方责任工程师和商务经理审核合格签字后方可实施。钢筋弯折、弯钩方向角度和弯折后平直段长度应符合设计及规范。</w:t>
      </w:r>
      <w:r>
        <w:rPr>
          <w:rFonts w:ascii="宋体" w:hAnsi="宋体" w:eastAsia="宋体"/>
        </w:rPr>
        <w:t>光圆钢筋</w:t>
      </w:r>
      <w:r>
        <w:t>（主筋、分布筋、搭接处）末端作180度弯钩，且弯折后平直段长度不应小于钢筋直径的3倍，并符合设计值。箍筋弯折角度及弯后平直部分长度符合设计要求。</w:t>
      </w:r>
    </w:p>
    <w:p>
      <w:pPr>
        <w:ind w:firstLine="420"/>
        <w:rPr>
          <w:rFonts w:ascii="微软雅黑" w:hAnsi="微软雅黑" w:eastAsia="微软雅黑"/>
        </w:rPr>
      </w:pPr>
      <w:r>
        <w:t>钢筋加工下料应长短料配合使用，锚固和搭接长度严格按照16G101图集执行，如有浪费，发现一次，处罚一次。钢筋废料放入指定的废料池中，严禁乱丢乱放。加工及连接钢筋接头操作人员、钢筋焊接的焊工应经专业培训合格后持证上岗。在现场条件试连接、试焊（工艺检验）获得合格的检验报告后，方可进行正式连接或焊接。</w:t>
      </w:r>
    </w:p>
    <w:p>
      <w:pPr>
        <w:ind w:firstLine="420"/>
        <w:rPr>
          <w:rFonts w:ascii="微软雅黑" w:hAnsi="微软雅黑" w:eastAsia="微软雅黑"/>
        </w:rPr>
      </w:pPr>
      <w:r>
        <w:rPr>
          <w:rFonts w:ascii="宋体" w:hAnsi="宋体" w:eastAsia="宋体"/>
        </w:rPr>
        <w:t>钢筋绑扎</w:t>
      </w:r>
      <w:r>
        <w:t>搭接接头应在中间和两端用铁丝扎牢（共3点）。墙、柱、梁、楼梯钢筋骨架中各面钢筋网交叉点应全数绑扎；板上部钢筋网交叉点应全数绑扎，板底部钢筋网除边缘部分两排交叉点全数绑扎外可间隔交错绑扎。任何一个部位，只要工人绑扎完成就必须达到合格，承包方质量员验收合格后方可到另一部位操作。采取“</w:t>
      </w:r>
      <w:r>
        <w:rPr>
          <w:rFonts w:ascii="宋体" w:hAnsi="宋体" w:eastAsia="宋体"/>
        </w:rPr>
        <w:t>用砂浆顶棍控制墙体厚度”措施时，承包方必须将砂浆顶棍下扣在外排横筋上并且绑牢</w:t>
      </w:r>
      <w:r>
        <w:t>（以便起到控制墙厚和钢筋保护层作用）。</w:t>
      </w:r>
    </w:p>
    <w:p>
      <w:pPr>
        <w:ind w:firstLine="422"/>
        <w:rPr>
          <w:rFonts w:ascii="微软雅黑" w:hAnsi="微软雅黑" w:eastAsia="微软雅黑"/>
        </w:rPr>
      </w:pPr>
      <w:r>
        <w:rPr>
          <w:b/>
          <w:bCs/>
        </w:rPr>
        <w:t>5.</w:t>
      </w:r>
      <w:r>
        <w:rPr>
          <w:rFonts w:hint="eastAsia"/>
          <w:b/>
          <w:bCs/>
          <w:lang w:val="en-US" w:eastAsia="zh-CN"/>
        </w:rPr>
        <w:t>8</w:t>
      </w:r>
      <w:r>
        <w:t> </w:t>
      </w:r>
      <w:r>
        <w:rPr>
          <w:rFonts w:ascii="宋体" w:hAnsi="宋体" w:eastAsia="宋体"/>
        </w:rPr>
        <w:t>混凝土工程</w:t>
      </w:r>
      <w:r>
        <w:t>除了执行GB50204第7、8章标准外，对质量标准细化约定如下：</w:t>
      </w:r>
    </w:p>
    <w:p>
      <w:pPr>
        <w:ind w:firstLine="420"/>
        <w:rPr>
          <w:rFonts w:ascii="微软雅黑" w:hAnsi="微软雅黑" w:eastAsia="微软雅黑"/>
        </w:rPr>
      </w:pPr>
      <w:r>
        <w:t>混凝土结构工程——主控项目的质量经抽样检验合格，一般项目的质量经抽样检验合格，一般项目的允许偏差项目合格点率应达80%及以上，且现浇结构的外观质量不得有严重缺陷和一般项目。对出现严重缺陷和一般缺陷的，按栋号及楼层分别追究承包方违约金。</w:t>
      </w:r>
    </w:p>
    <w:p>
      <w:pPr>
        <w:ind w:firstLine="420"/>
        <w:rPr>
          <w:rFonts w:ascii="微软雅黑" w:hAnsi="微软雅黑" w:eastAsia="微软雅黑"/>
        </w:rPr>
      </w:pPr>
      <w:r>
        <w:t>5.</w:t>
      </w:r>
      <w:r>
        <w:rPr>
          <w:rFonts w:hint="eastAsia"/>
          <w:lang w:val="en-US" w:eastAsia="zh-CN"/>
        </w:rPr>
        <w:t>8</w:t>
      </w:r>
      <w:r>
        <w:t xml:space="preserve">.1 </w:t>
      </w:r>
      <w:r>
        <w:rPr>
          <w:rFonts w:ascii="宋体" w:hAnsi="宋体" w:eastAsia="宋体"/>
        </w:rPr>
        <w:t>国家质量验收规范对混凝土结构施工质量的规定</w:t>
      </w:r>
    </w:p>
    <w:p>
      <w:pPr>
        <w:ind w:firstLine="420"/>
        <w:rPr>
          <w:rFonts w:ascii="微软雅黑" w:hAnsi="微软雅黑" w:eastAsia="微软雅黑"/>
        </w:rPr>
      </w:pPr>
      <w:r>
        <w:t>根据GB50204第8.1.1条，现浇结构外观质量缺陷规定如下表：</w:t>
      </w:r>
    </w:p>
    <w:tbl>
      <w:tblPr>
        <w:tblStyle w:val="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0"/>
        <w:gridCol w:w="30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名称</w:t>
            </w:r>
          </w:p>
        </w:tc>
        <w:tc>
          <w:tcPr>
            <w:tcW w:w="2520" w:type="dxa"/>
          </w:tcPr>
          <w:p>
            <w:pPr>
              <w:pStyle w:val="11"/>
            </w:pPr>
            <w:r>
              <w:rPr>
                <w:rFonts w:hint="eastAsia"/>
              </w:rPr>
              <w:t>现  象</w:t>
            </w:r>
          </w:p>
        </w:tc>
        <w:tc>
          <w:tcPr>
            <w:tcW w:w="3060" w:type="dxa"/>
          </w:tcPr>
          <w:p>
            <w:pPr>
              <w:pStyle w:val="11"/>
            </w:pPr>
            <w:r>
              <w:rPr>
                <w:rFonts w:hint="eastAsia"/>
              </w:rPr>
              <w:t>严重缺陷</w:t>
            </w:r>
          </w:p>
        </w:tc>
        <w:tc>
          <w:tcPr>
            <w:tcW w:w="2880" w:type="dxa"/>
          </w:tcPr>
          <w:p>
            <w:pPr>
              <w:pStyle w:val="11"/>
            </w:pPr>
            <w:r>
              <w:rPr>
                <w:rFonts w:hint="eastAsia"/>
              </w:rPr>
              <w:t>一般缺陷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露筋</w:t>
            </w:r>
          </w:p>
        </w:tc>
        <w:tc>
          <w:tcPr>
            <w:tcW w:w="2520" w:type="dxa"/>
          </w:tcPr>
          <w:p>
            <w:pPr>
              <w:pStyle w:val="11"/>
            </w:pPr>
            <w:r>
              <w:rPr>
                <w:rFonts w:hint="eastAsia"/>
              </w:rPr>
              <w:t>构件内钢筋未被混凝土包裹而外露</w:t>
            </w:r>
          </w:p>
        </w:tc>
        <w:tc>
          <w:tcPr>
            <w:tcW w:w="3060" w:type="dxa"/>
          </w:tcPr>
          <w:p>
            <w:pPr>
              <w:pStyle w:val="11"/>
            </w:pPr>
            <w:r>
              <w:rPr>
                <w:rFonts w:hint="eastAsia"/>
              </w:rPr>
              <w:t>纵向受力钢筋有露筋</w:t>
            </w:r>
          </w:p>
        </w:tc>
        <w:tc>
          <w:tcPr>
            <w:tcW w:w="2880" w:type="dxa"/>
          </w:tcPr>
          <w:p>
            <w:pPr>
              <w:pStyle w:val="11"/>
            </w:pPr>
            <w:r>
              <w:rPr>
                <w:rFonts w:hint="eastAsia"/>
              </w:rPr>
              <w:t>其他钢筋有少量露筋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蜂窝</w:t>
            </w:r>
          </w:p>
        </w:tc>
        <w:tc>
          <w:tcPr>
            <w:tcW w:w="2520" w:type="dxa"/>
          </w:tcPr>
          <w:p>
            <w:pPr>
              <w:pStyle w:val="11"/>
            </w:pPr>
            <w:r>
              <w:rPr>
                <w:rFonts w:hint="eastAsia"/>
              </w:rPr>
              <w:t>混凝土表面缺少水泥砂浆而形成石子外露</w:t>
            </w:r>
          </w:p>
        </w:tc>
        <w:tc>
          <w:tcPr>
            <w:tcW w:w="3060" w:type="dxa"/>
          </w:tcPr>
          <w:p>
            <w:pPr>
              <w:pStyle w:val="11"/>
            </w:pPr>
            <w:r>
              <w:rPr>
                <w:rFonts w:hint="eastAsia"/>
              </w:rPr>
              <w:t>构件主要受力部位有蜂窝</w:t>
            </w:r>
          </w:p>
        </w:tc>
        <w:tc>
          <w:tcPr>
            <w:tcW w:w="2880" w:type="dxa"/>
          </w:tcPr>
          <w:p>
            <w:pPr>
              <w:pStyle w:val="11"/>
            </w:pPr>
            <w:r>
              <w:rPr>
                <w:rFonts w:hint="eastAsia"/>
              </w:rPr>
              <w:t>其他部位有少量蜂窝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孔洞</w:t>
            </w:r>
          </w:p>
        </w:tc>
        <w:tc>
          <w:tcPr>
            <w:tcW w:w="2520" w:type="dxa"/>
          </w:tcPr>
          <w:p>
            <w:pPr>
              <w:pStyle w:val="11"/>
            </w:pPr>
            <w:r>
              <w:rPr>
                <w:rFonts w:hint="eastAsia"/>
              </w:rPr>
              <w:t>混凝土中孔穴深度和长度均超过保护层厚度</w:t>
            </w:r>
          </w:p>
        </w:tc>
        <w:tc>
          <w:tcPr>
            <w:tcW w:w="3060" w:type="dxa"/>
          </w:tcPr>
          <w:p>
            <w:pPr>
              <w:pStyle w:val="11"/>
            </w:pPr>
            <w:r>
              <w:rPr>
                <w:rFonts w:hint="eastAsia"/>
              </w:rPr>
              <w:t>构件主要受力部位有孔洞</w:t>
            </w:r>
          </w:p>
        </w:tc>
        <w:tc>
          <w:tcPr>
            <w:tcW w:w="2880" w:type="dxa"/>
          </w:tcPr>
          <w:p>
            <w:pPr>
              <w:pStyle w:val="11"/>
            </w:pPr>
            <w:r>
              <w:rPr>
                <w:rFonts w:hint="eastAsia"/>
              </w:rPr>
              <w:t>其他部位有少量孔洞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夹渣</w:t>
            </w:r>
          </w:p>
        </w:tc>
        <w:tc>
          <w:tcPr>
            <w:tcW w:w="2520" w:type="dxa"/>
          </w:tcPr>
          <w:p>
            <w:pPr>
              <w:pStyle w:val="11"/>
            </w:pPr>
            <w:r>
              <w:rPr>
                <w:rFonts w:hint="eastAsia"/>
              </w:rPr>
              <w:t>混凝土中夹杂物且深度超过保护层厚度</w:t>
            </w:r>
          </w:p>
        </w:tc>
        <w:tc>
          <w:tcPr>
            <w:tcW w:w="3060" w:type="dxa"/>
          </w:tcPr>
          <w:p>
            <w:pPr>
              <w:pStyle w:val="11"/>
            </w:pPr>
            <w:r>
              <w:rPr>
                <w:rFonts w:hint="eastAsia"/>
              </w:rPr>
              <w:t>构件主要受力部位有夹渣</w:t>
            </w:r>
          </w:p>
        </w:tc>
        <w:tc>
          <w:tcPr>
            <w:tcW w:w="2880" w:type="dxa"/>
          </w:tcPr>
          <w:p>
            <w:pPr>
              <w:pStyle w:val="11"/>
            </w:pPr>
            <w:r>
              <w:rPr>
                <w:rFonts w:hint="eastAsia"/>
              </w:rPr>
              <w:t>其他部位有少量夹渣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疏松</w:t>
            </w:r>
          </w:p>
        </w:tc>
        <w:tc>
          <w:tcPr>
            <w:tcW w:w="2520" w:type="dxa"/>
          </w:tcPr>
          <w:p>
            <w:pPr>
              <w:pStyle w:val="11"/>
            </w:pPr>
            <w:r>
              <w:rPr>
                <w:rFonts w:hint="eastAsia"/>
              </w:rPr>
              <w:t>混凝土中局部不密实</w:t>
            </w:r>
          </w:p>
        </w:tc>
        <w:tc>
          <w:tcPr>
            <w:tcW w:w="3060" w:type="dxa"/>
          </w:tcPr>
          <w:p>
            <w:pPr>
              <w:pStyle w:val="11"/>
            </w:pPr>
            <w:r>
              <w:rPr>
                <w:rFonts w:hint="eastAsia"/>
              </w:rPr>
              <w:t>构件主要受力部位有疏松</w:t>
            </w:r>
          </w:p>
        </w:tc>
        <w:tc>
          <w:tcPr>
            <w:tcW w:w="2880" w:type="dxa"/>
          </w:tcPr>
          <w:p>
            <w:pPr>
              <w:pStyle w:val="11"/>
            </w:pPr>
            <w:r>
              <w:rPr>
                <w:rFonts w:hint="eastAsia"/>
              </w:rPr>
              <w:t>其他部位有少量疏松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裂缝</w:t>
            </w:r>
          </w:p>
        </w:tc>
        <w:tc>
          <w:tcPr>
            <w:tcW w:w="2520" w:type="dxa"/>
          </w:tcPr>
          <w:p>
            <w:pPr>
              <w:pStyle w:val="11"/>
            </w:pPr>
            <w:r>
              <w:rPr>
                <w:rFonts w:hint="eastAsia"/>
              </w:rPr>
              <w:t>缝隙从混凝土表面延伸至混凝土内部</w:t>
            </w:r>
          </w:p>
        </w:tc>
        <w:tc>
          <w:tcPr>
            <w:tcW w:w="3060" w:type="dxa"/>
          </w:tcPr>
          <w:p>
            <w:pPr>
              <w:pStyle w:val="11"/>
            </w:pPr>
            <w:r>
              <w:rPr>
                <w:rFonts w:hint="eastAsia"/>
              </w:rPr>
              <w:t>构件主要受力部位有影响结构性能或使用性能的裂缝</w:t>
            </w:r>
          </w:p>
        </w:tc>
        <w:tc>
          <w:tcPr>
            <w:tcW w:w="2880" w:type="dxa"/>
          </w:tcPr>
          <w:p>
            <w:pPr>
              <w:pStyle w:val="11"/>
            </w:pPr>
            <w:r>
              <w:rPr>
                <w:rFonts w:hint="eastAsia"/>
              </w:rPr>
              <w:t>其他部位有少量不影响结构性能或使用功能的裂缝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连接部位缺陷</w:t>
            </w:r>
          </w:p>
        </w:tc>
        <w:tc>
          <w:tcPr>
            <w:tcW w:w="2520" w:type="dxa"/>
          </w:tcPr>
          <w:p>
            <w:pPr>
              <w:pStyle w:val="11"/>
            </w:pPr>
            <w:r>
              <w:rPr>
                <w:rFonts w:hint="eastAsia"/>
              </w:rPr>
              <w:t>构件连接处混凝土缺陷及连接钢筋、连接件松动</w:t>
            </w:r>
          </w:p>
        </w:tc>
        <w:tc>
          <w:tcPr>
            <w:tcW w:w="3060" w:type="dxa"/>
          </w:tcPr>
          <w:p>
            <w:pPr>
              <w:pStyle w:val="11"/>
            </w:pPr>
            <w:r>
              <w:rPr>
                <w:rFonts w:hint="eastAsia"/>
              </w:rPr>
              <w:t>连接部位有影响传力性能的缺陷</w:t>
            </w:r>
          </w:p>
        </w:tc>
        <w:tc>
          <w:tcPr>
            <w:tcW w:w="2880" w:type="dxa"/>
          </w:tcPr>
          <w:p>
            <w:pPr>
              <w:pStyle w:val="11"/>
            </w:pPr>
            <w:r>
              <w:rPr>
                <w:rFonts w:hint="eastAsia"/>
              </w:rPr>
              <w:t>连接部位有基本不影响结构传力性能的缺陷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外形缺陷</w:t>
            </w:r>
          </w:p>
        </w:tc>
        <w:tc>
          <w:tcPr>
            <w:tcW w:w="2520" w:type="dxa"/>
          </w:tcPr>
          <w:p>
            <w:pPr>
              <w:pStyle w:val="11"/>
            </w:pPr>
            <w:r>
              <w:rPr>
                <w:rFonts w:hint="eastAsia"/>
              </w:rPr>
              <w:t>缺棱掉角、棱角不直、翘曲不平、飞边凸肋等</w:t>
            </w:r>
          </w:p>
        </w:tc>
        <w:tc>
          <w:tcPr>
            <w:tcW w:w="3060" w:type="dxa"/>
          </w:tcPr>
          <w:p>
            <w:pPr>
              <w:pStyle w:val="11"/>
            </w:pPr>
            <w:r>
              <w:rPr>
                <w:rFonts w:hint="eastAsia"/>
              </w:rPr>
              <w:t>清水混凝土构件有影响使用功能或装饰效果的外形缺陷</w:t>
            </w:r>
          </w:p>
        </w:tc>
        <w:tc>
          <w:tcPr>
            <w:tcW w:w="2880" w:type="dxa"/>
          </w:tcPr>
          <w:p>
            <w:pPr>
              <w:pStyle w:val="11"/>
            </w:pPr>
            <w:r>
              <w:rPr>
                <w:rFonts w:hint="eastAsia"/>
              </w:rPr>
              <w:t>其他混凝土构件有不影响使用功能的外形缺陷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11"/>
            </w:pPr>
            <w:r>
              <w:rPr>
                <w:rFonts w:hint="eastAsia"/>
              </w:rPr>
              <w:t>外表缺陷</w:t>
            </w:r>
          </w:p>
        </w:tc>
        <w:tc>
          <w:tcPr>
            <w:tcW w:w="2520" w:type="dxa"/>
          </w:tcPr>
          <w:p>
            <w:pPr>
              <w:pStyle w:val="11"/>
            </w:pPr>
            <w:r>
              <w:rPr>
                <w:rFonts w:hint="eastAsia"/>
              </w:rPr>
              <w:t>构件表面麻面、掉皮、起砂、沾污等</w:t>
            </w:r>
          </w:p>
        </w:tc>
        <w:tc>
          <w:tcPr>
            <w:tcW w:w="3060" w:type="dxa"/>
          </w:tcPr>
          <w:p>
            <w:pPr>
              <w:pStyle w:val="11"/>
            </w:pPr>
            <w:r>
              <w:rPr>
                <w:rFonts w:hint="eastAsia"/>
              </w:rPr>
              <w:t>具有重要装饰效果的清水混凝土构件有外表缺陷</w:t>
            </w:r>
          </w:p>
        </w:tc>
        <w:tc>
          <w:tcPr>
            <w:tcW w:w="2880" w:type="dxa"/>
          </w:tcPr>
          <w:p>
            <w:pPr>
              <w:pStyle w:val="11"/>
            </w:pPr>
            <w:r>
              <w:rPr>
                <w:rFonts w:hint="eastAsia"/>
              </w:rPr>
              <w:t>其他混凝土构件有不影响使用功能的外表缺陷</w:t>
            </w:r>
          </w:p>
        </w:tc>
      </w:tr>
    </w:tbl>
    <w:p>
      <w:pPr>
        <w:spacing w:line="360" w:lineRule="exact"/>
        <w:ind w:firstLine="420"/>
        <w:jc w:val="left"/>
        <w:rPr>
          <w:rFonts w:ascii="Times New Roman" w:hAnsi="Times New Roman" w:eastAsia="Times New Roman"/>
          <w:color w:val="000000"/>
          <w:szCs w:val="21"/>
        </w:rPr>
      </w:pPr>
    </w:p>
    <w:p>
      <w:pPr>
        <w:ind w:firstLine="420"/>
        <w:rPr>
          <w:rFonts w:ascii="微软雅黑" w:hAnsi="微软雅黑" w:eastAsia="微软雅黑"/>
        </w:rPr>
      </w:pPr>
      <w:r>
        <w:t>现浇结构不应有影响结构性能和使用功能的尺寸偏差。混凝土设备基础不应有影响结构性能和设备安装的尺寸偏差。（GB50204第8.3.1条，强制性条文）。对于出现影响较大的允许偏差，追究承包方违约金。  </w:t>
      </w:r>
    </w:p>
    <w:p>
      <w:pPr>
        <w:spacing w:line="360" w:lineRule="exact"/>
        <w:ind w:firstLine="420"/>
        <w:jc w:val="left"/>
        <w:rPr>
          <w:rFonts w:ascii="微软雅黑" w:hAnsi="微软雅黑" w:eastAsia="微软雅黑"/>
          <w:color w:val="000000"/>
          <w:szCs w:val="21"/>
        </w:rPr>
      </w:pPr>
      <w:r>
        <w:rPr>
          <w:rFonts w:ascii="Times New Roman" w:hAnsi="Times New Roman" w:eastAsia="Times New Roman"/>
          <w:color w:val="000000"/>
          <w:szCs w:val="21"/>
        </w:rPr>
        <w:t> GB50204  </w:t>
      </w:r>
      <w:r>
        <w:rPr>
          <w:rFonts w:ascii="宋体" w:hAnsi="宋体" w:eastAsia="宋体"/>
          <w:b/>
          <w:bCs/>
          <w:color w:val="000000"/>
          <w:szCs w:val="21"/>
        </w:rPr>
        <w:t>表8.3.2-1   现浇结构尺寸允许偏差和检验方法</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080"/>
        <w:gridCol w:w="180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320" w:type="dxa"/>
            <w:gridSpan w:val="3"/>
          </w:tcPr>
          <w:p>
            <w:pPr>
              <w:pStyle w:val="11"/>
            </w:pPr>
            <w:r>
              <w:rPr>
                <w:rFonts w:hint="eastAsia"/>
              </w:rPr>
              <w:t>项   目</w:t>
            </w:r>
          </w:p>
        </w:tc>
        <w:tc>
          <w:tcPr>
            <w:tcW w:w="1800" w:type="dxa"/>
          </w:tcPr>
          <w:p>
            <w:pPr>
              <w:pStyle w:val="11"/>
            </w:pPr>
            <w:r>
              <w:rPr>
                <w:rFonts w:hint="eastAsia"/>
              </w:rPr>
              <w:t>允许偏差（mm）</w:t>
            </w:r>
          </w:p>
        </w:tc>
        <w:tc>
          <w:tcPr>
            <w:tcW w:w="2640" w:type="dxa"/>
          </w:tcPr>
          <w:p>
            <w:pPr>
              <w:pStyle w:val="11"/>
            </w:pPr>
            <w:r>
              <w:rPr>
                <w:rFonts w:hint="eastAsi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restart"/>
          </w:tcPr>
          <w:p>
            <w:pPr>
              <w:pStyle w:val="11"/>
            </w:pPr>
          </w:p>
          <w:p>
            <w:pPr>
              <w:pStyle w:val="11"/>
            </w:pPr>
          </w:p>
          <w:p>
            <w:pPr>
              <w:pStyle w:val="11"/>
            </w:pPr>
            <w:r>
              <w:rPr>
                <w:rFonts w:hint="eastAsia"/>
              </w:rPr>
              <w:t>轴线位置</w:t>
            </w:r>
          </w:p>
        </w:tc>
        <w:tc>
          <w:tcPr>
            <w:tcW w:w="2700" w:type="dxa"/>
            <w:gridSpan w:val="2"/>
          </w:tcPr>
          <w:p>
            <w:pPr>
              <w:pStyle w:val="11"/>
            </w:pPr>
            <w:r>
              <w:rPr>
                <w:rFonts w:hint="eastAsia"/>
              </w:rPr>
              <w:t>基础</w:t>
            </w:r>
          </w:p>
        </w:tc>
        <w:tc>
          <w:tcPr>
            <w:tcW w:w="1800" w:type="dxa"/>
          </w:tcPr>
          <w:p>
            <w:pPr>
              <w:pStyle w:val="11"/>
            </w:pPr>
            <w:r>
              <w:rPr>
                <w:rFonts w:hint="eastAsia"/>
              </w:rPr>
              <w:t>15</w:t>
            </w:r>
          </w:p>
        </w:tc>
        <w:tc>
          <w:tcPr>
            <w:tcW w:w="2640" w:type="dxa"/>
            <w:vMerge w:val="restart"/>
          </w:tcPr>
          <w:p>
            <w:pPr>
              <w:pStyle w:val="11"/>
            </w:pPr>
          </w:p>
          <w:p>
            <w:pPr>
              <w:pStyle w:val="11"/>
            </w:pPr>
            <w:r>
              <w:rPr>
                <w:rFonts w:hint="eastAsia"/>
              </w:rPr>
              <w:t>钢尺检查</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独立基础</w:t>
            </w:r>
          </w:p>
        </w:tc>
        <w:tc>
          <w:tcPr>
            <w:tcW w:w="1800" w:type="dxa"/>
          </w:tcPr>
          <w:p>
            <w:pPr>
              <w:pStyle w:val="11"/>
            </w:pPr>
            <w:r>
              <w:rPr>
                <w:rFonts w:hint="eastAsia"/>
              </w:rPr>
              <w:t>10</w:t>
            </w:r>
          </w:p>
        </w:tc>
        <w:tc>
          <w:tcPr>
            <w:tcW w:w="2640" w:type="dxa"/>
            <w:vMerge w:val="continue"/>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墙、柱、梁</w:t>
            </w:r>
          </w:p>
        </w:tc>
        <w:tc>
          <w:tcPr>
            <w:tcW w:w="1800" w:type="dxa"/>
          </w:tcPr>
          <w:p>
            <w:pPr>
              <w:pStyle w:val="11"/>
            </w:pPr>
            <w:r>
              <w:rPr>
                <w:rFonts w:hint="eastAsia"/>
              </w:rPr>
              <w:t>8</w:t>
            </w:r>
          </w:p>
        </w:tc>
        <w:tc>
          <w:tcPr>
            <w:tcW w:w="2640" w:type="dxa"/>
            <w:vMerge w:val="continue"/>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剪力墙</w:t>
            </w:r>
          </w:p>
        </w:tc>
        <w:tc>
          <w:tcPr>
            <w:tcW w:w="1800" w:type="dxa"/>
          </w:tcPr>
          <w:p>
            <w:pPr>
              <w:pStyle w:val="11"/>
            </w:pPr>
            <w:r>
              <w:rPr>
                <w:rFonts w:hint="eastAsia"/>
              </w:rPr>
              <w:t>5</w:t>
            </w:r>
          </w:p>
        </w:tc>
        <w:tc>
          <w:tcPr>
            <w:tcW w:w="2640" w:type="dxa"/>
            <w:vMerge w:val="continue"/>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restart"/>
          </w:tcPr>
          <w:p>
            <w:pPr>
              <w:pStyle w:val="11"/>
            </w:pPr>
          </w:p>
          <w:p>
            <w:pPr>
              <w:pStyle w:val="11"/>
            </w:pPr>
            <w:r>
              <w:rPr>
                <w:rFonts w:hint="eastAsia"/>
              </w:rPr>
              <w:t>垂直度</w:t>
            </w:r>
          </w:p>
        </w:tc>
        <w:tc>
          <w:tcPr>
            <w:tcW w:w="1620" w:type="dxa"/>
            <w:vMerge w:val="restart"/>
          </w:tcPr>
          <w:p>
            <w:pPr>
              <w:pStyle w:val="11"/>
            </w:pPr>
            <w:r>
              <w:rPr>
                <w:rFonts w:hint="eastAsia"/>
              </w:rPr>
              <w:t>层高</w:t>
            </w:r>
          </w:p>
        </w:tc>
        <w:tc>
          <w:tcPr>
            <w:tcW w:w="1080" w:type="dxa"/>
          </w:tcPr>
          <w:p>
            <w:pPr>
              <w:pStyle w:val="11"/>
            </w:pPr>
            <w:r>
              <w:rPr>
                <w:rFonts w:hint="eastAsia"/>
              </w:rPr>
              <w:t>≤5</w:t>
            </w:r>
          </w:p>
        </w:tc>
        <w:tc>
          <w:tcPr>
            <w:tcW w:w="1800" w:type="dxa"/>
          </w:tcPr>
          <w:p>
            <w:pPr>
              <w:pStyle w:val="11"/>
            </w:pPr>
            <w:r>
              <w:rPr>
                <w:rFonts w:hint="eastAsia"/>
              </w:rPr>
              <w:t>8</w:t>
            </w:r>
          </w:p>
        </w:tc>
        <w:tc>
          <w:tcPr>
            <w:tcW w:w="2640" w:type="dxa"/>
            <w:vMerge w:val="restart"/>
          </w:tcPr>
          <w:p>
            <w:pPr>
              <w:pStyle w:val="11"/>
            </w:pPr>
            <w:r>
              <w:rPr>
                <w:rFonts w:hint="eastAsia"/>
              </w:rPr>
              <w:t>托线板、经纬仪或吊线、钢尺检查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1620" w:type="dxa"/>
            <w:vMerge w:val="continue"/>
          </w:tcPr>
          <w:p>
            <w:pPr>
              <w:pStyle w:val="11"/>
            </w:pPr>
          </w:p>
        </w:tc>
        <w:tc>
          <w:tcPr>
            <w:tcW w:w="1080" w:type="dxa"/>
          </w:tcPr>
          <w:p>
            <w:pPr>
              <w:pStyle w:val="11"/>
            </w:pPr>
            <w:r>
              <w:rPr>
                <w:rFonts w:hint="eastAsia"/>
              </w:rPr>
              <w:t>＞5</w:t>
            </w:r>
          </w:p>
        </w:tc>
        <w:tc>
          <w:tcPr>
            <w:tcW w:w="1800" w:type="dxa"/>
          </w:tcPr>
          <w:p>
            <w:pPr>
              <w:pStyle w:val="11"/>
            </w:pPr>
            <w:r>
              <w:rPr>
                <w:rFonts w:hint="eastAsia"/>
              </w:rPr>
              <w:t>10</w:t>
            </w:r>
          </w:p>
        </w:tc>
        <w:tc>
          <w:tcPr>
            <w:tcW w:w="2640" w:type="dxa"/>
            <w:vMerge w:val="continue"/>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全高（H）</w:t>
            </w:r>
          </w:p>
        </w:tc>
        <w:tc>
          <w:tcPr>
            <w:tcW w:w="1800" w:type="dxa"/>
          </w:tcPr>
          <w:p>
            <w:pPr>
              <w:pStyle w:val="11"/>
            </w:pPr>
            <w:r>
              <w:rPr>
                <w:rFonts w:hint="eastAsia"/>
                <w:i/>
                <w:iCs/>
              </w:rPr>
              <w:t>H</w:t>
            </w:r>
            <w:r>
              <w:rPr>
                <w:rFonts w:hint="eastAsia"/>
              </w:rPr>
              <w:t>/1000且≤30</w:t>
            </w:r>
          </w:p>
        </w:tc>
        <w:tc>
          <w:tcPr>
            <w:tcW w:w="2640" w:type="dxa"/>
          </w:tcPr>
          <w:p>
            <w:pPr>
              <w:pStyle w:val="11"/>
            </w:pPr>
            <w:r>
              <w:rPr>
                <w:rFonts w:hint="eastAsia"/>
              </w:rPr>
              <w:t>经纬仪、钢尺检查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restart"/>
          </w:tcPr>
          <w:p>
            <w:pPr>
              <w:pStyle w:val="11"/>
            </w:pPr>
            <w:r>
              <w:rPr>
                <w:rFonts w:hint="eastAsia"/>
              </w:rPr>
              <w:t>标高</w:t>
            </w:r>
          </w:p>
        </w:tc>
        <w:tc>
          <w:tcPr>
            <w:tcW w:w="2700" w:type="dxa"/>
            <w:gridSpan w:val="2"/>
          </w:tcPr>
          <w:p>
            <w:pPr>
              <w:pStyle w:val="11"/>
            </w:pPr>
            <w:r>
              <w:rPr>
                <w:rFonts w:hint="eastAsia"/>
              </w:rPr>
              <w:t>层高</w:t>
            </w:r>
          </w:p>
        </w:tc>
        <w:tc>
          <w:tcPr>
            <w:tcW w:w="1800" w:type="dxa"/>
          </w:tcPr>
          <w:p>
            <w:pPr>
              <w:pStyle w:val="11"/>
            </w:pPr>
            <w:r>
              <w:rPr>
                <w:rFonts w:hint="eastAsia"/>
              </w:rPr>
              <w:t>±10</w:t>
            </w:r>
          </w:p>
        </w:tc>
        <w:tc>
          <w:tcPr>
            <w:tcW w:w="2640" w:type="dxa"/>
            <w:vMerge w:val="restart"/>
          </w:tcPr>
          <w:p>
            <w:pPr>
              <w:pStyle w:val="11"/>
            </w:pPr>
            <w:r>
              <w:rPr>
                <w:rFonts w:hint="eastAsia"/>
              </w:rPr>
              <w:t>水准仪或拉线、钢尺检查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全高</w:t>
            </w:r>
          </w:p>
        </w:tc>
        <w:tc>
          <w:tcPr>
            <w:tcW w:w="1800" w:type="dxa"/>
          </w:tcPr>
          <w:p>
            <w:pPr>
              <w:pStyle w:val="11"/>
            </w:pPr>
            <w:r>
              <w:rPr>
                <w:rFonts w:hint="eastAsia"/>
              </w:rPr>
              <w:t>±30</w:t>
            </w:r>
          </w:p>
        </w:tc>
        <w:tc>
          <w:tcPr>
            <w:tcW w:w="2640" w:type="dxa"/>
            <w:vMerge w:val="continue"/>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320" w:type="dxa"/>
            <w:gridSpan w:val="3"/>
          </w:tcPr>
          <w:p>
            <w:pPr>
              <w:pStyle w:val="11"/>
            </w:pPr>
            <w:r>
              <w:rPr>
                <w:rFonts w:hint="eastAsia"/>
              </w:rPr>
              <w:t>截面尺寸</w:t>
            </w:r>
          </w:p>
        </w:tc>
        <w:tc>
          <w:tcPr>
            <w:tcW w:w="1800" w:type="dxa"/>
          </w:tcPr>
          <w:p>
            <w:pPr>
              <w:pStyle w:val="11"/>
            </w:pPr>
            <w:r>
              <w:rPr>
                <w:rFonts w:hint="eastAsia"/>
              </w:rPr>
              <w:t>+8，-5</w:t>
            </w:r>
          </w:p>
        </w:tc>
        <w:tc>
          <w:tcPr>
            <w:tcW w:w="2640" w:type="dxa"/>
          </w:tcPr>
          <w:p>
            <w:pPr>
              <w:pStyle w:val="11"/>
            </w:pPr>
            <w:r>
              <w:rPr>
                <w:rFonts w:hint="eastAsia"/>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restart"/>
          </w:tcPr>
          <w:p>
            <w:pPr>
              <w:pStyle w:val="11"/>
            </w:pPr>
          </w:p>
          <w:p>
            <w:pPr>
              <w:pStyle w:val="11"/>
            </w:pPr>
            <w:r>
              <w:rPr>
                <w:rFonts w:hint="eastAsia"/>
              </w:rPr>
              <w:t>电梯井</w:t>
            </w:r>
          </w:p>
        </w:tc>
        <w:tc>
          <w:tcPr>
            <w:tcW w:w="2700" w:type="dxa"/>
            <w:gridSpan w:val="2"/>
          </w:tcPr>
          <w:p>
            <w:pPr>
              <w:pStyle w:val="11"/>
            </w:pPr>
            <w:r>
              <w:rPr>
                <w:rFonts w:hint="eastAsia"/>
              </w:rPr>
              <w:t>井筒长、宽对定位中心线</w:t>
            </w:r>
          </w:p>
        </w:tc>
        <w:tc>
          <w:tcPr>
            <w:tcW w:w="1800" w:type="dxa"/>
          </w:tcPr>
          <w:p>
            <w:pPr>
              <w:pStyle w:val="11"/>
            </w:pPr>
            <w:r>
              <w:rPr>
                <w:rFonts w:hint="eastAsia"/>
              </w:rPr>
              <w:t>+25，0</w:t>
            </w:r>
          </w:p>
        </w:tc>
        <w:tc>
          <w:tcPr>
            <w:tcW w:w="2640" w:type="dxa"/>
          </w:tcPr>
          <w:p>
            <w:pPr>
              <w:pStyle w:val="11"/>
            </w:pPr>
            <w:r>
              <w:rPr>
                <w:rFonts w:hint="eastAsia"/>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井筒全高（H）垂直度</w:t>
            </w:r>
          </w:p>
        </w:tc>
        <w:tc>
          <w:tcPr>
            <w:tcW w:w="1800" w:type="dxa"/>
          </w:tcPr>
          <w:p>
            <w:pPr>
              <w:pStyle w:val="11"/>
            </w:pPr>
            <w:r>
              <w:rPr>
                <w:rFonts w:hint="eastAsia"/>
                <w:i/>
                <w:iCs/>
              </w:rPr>
              <w:t>H</w:t>
            </w:r>
            <w:r>
              <w:rPr>
                <w:rFonts w:hint="eastAsia"/>
              </w:rPr>
              <w:t>/1000且≤30</w:t>
            </w:r>
          </w:p>
        </w:tc>
        <w:tc>
          <w:tcPr>
            <w:tcW w:w="2640" w:type="dxa"/>
          </w:tcPr>
          <w:p>
            <w:pPr>
              <w:pStyle w:val="11"/>
            </w:pPr>
            <w:r>
              <w:rPr>
                <w:rFonts w:hint="eastAsia"/>
              </w:rPr>
              <w:t>经纬仪、钢尺检查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320" w:type="dxa"/>
            <w:gridSpan w:val="3"/>
          </w:tcPr>
          <w:p>
            <w:pPr>
              <w:pStyle w:val="11"/>
            </w:pPr>
            <w:r>
              <w:rPr>
                <w:rFonts w:hint="eastAsia"/>
              </w:rPr>
              <w:t>表面平整度</w:t>
            </w:r>
          </w:p>
        </w:tc>
        <w:tc>
          <w:tcPr>
            <w:tcW w:w="1800" w:type="dxa"/>
          </w:tcPr>
          <w:p>
            <w:pPr>
              <w:pStyle w:val="11"/>
            </w:pPr>
            <w:r>
              <w:rPr>
                <w:rFonts w:hint="eastAsia"/>
              </w:rPr>
              <w:t>8</w:t>
            </w:r>
          </w:p>
        </w:tc>
        <w:tc>
          <w:tcPr>
            <w:tcW w:w="2640" w:type="dxa"/>
          </w:tcPr>
          <w:p>
            <w:pPr>
              <w:pStyle w:val="11"/>
            </w:pPr>
            <w:r>
              <w:rPr>
                <w:rFonts w:hint="eastAsia"/>
              </w:rPr>
              <w:t>2m靠尺和塞尺检查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restart"/>
          </w:tcPr>
          <w:p>
            <w:pPr>
              <w:pStyle w:val="11"/>
            </w:pPr>
            <w:r>
              <w:rPr>
                <w:rFonts w:hint="eastAsia"/>
              </w:rPr>
              <w:t>预埋设施中心线位置</w:t>
            </w:r>
          </w:p>
        </w:tc>
        <w:tc>
          <w:tcPr>
            <w:tcW w:w="2700" w:type="dxa"/>
            <w:gridSpan w:val="2"/>
          </w:tcPr>
          <w:p>
            <w:pPr>
              <w:pStyle w:val="11"/>
            </w:pPr>
            <w:r>
              <w:rPr>
                <w:rFonts w:hint="eastAsia"/>
              </w:rPr>
              <w:t>预埋件</w:t>
            </w:r>
          </w:p>
        </w:tc>
        <w:tc>
          <w:tcPr>
            <w:tcW w:w="1800" w:type="dxa"/>
          </w:tcPr>
          <w:p>
            <w:pPr>
              <w:pStyle w:val="11"/>
            </w:pPr>
            <w:r>
              <w:rPr>
                <w:rFonts w:hint="eastAsia"/>
              </w:rPr>
              <w:t>10</w:t>
            </w:r>
          </w:p>
        </w:tc>
        <w:tc>
          <w:tcPr>
            <w:tcW w:w="2640" w:type="dxa"/>
            <w:vMerge w:val="restart"/>
          </w:tcPr>
          <w:p>
            <w:pPr>
              <w:pStyle w:val="11"/>
            </w:pPr>
            <w:r>
              <w:rPr>
                <w:rFonts w:hint="eastAsia"/>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预埋螺栓</w:t>
            </w:r>
          </w:p>
        </w:tc>
        <w:tc>
          <w:tcPr>
            <w:tcW w:w="1800" w:type="dxa"/>
          </w:tcPr>
          <w:p>
            <w:pPr>
              <w:pStyle w:val="11"/>
            </w:pPr>
            <w:r>
              <w:rPr>
                <w:rFonts w:hint="eastAsia"/>
              </w:rPr>
              <w:t>5</w:t>
            </w:r>
          </w:p>
        </w:tc>
        <w:tc>
          <w:tcPr>
            <w:tcW w:w="2640" w:type="dxa"/>
            <w:vMerge w:val="continue"/>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20" w:type="dxa"/>
            <w:vMerge w:val="continue"/>
          </w:tcPr>
          <w:p>
            <w:pPr>
              <w:pStyle w:val="11"/>
            </w:pPr>
          </w:p>
        </w:tc>
        <w:tc>
          <w:tcPr>
            <w:tcW w:w="2700" w:type="dxa"/>
            <w:gridSpan w:val="2"/>
          </w:tcPr>
          <w:p>
            <w:pPr>
              <w:pStyle w:val="11"/>
            </w:pPr>
            <w:r>
              <w:rPr>
                <w:rFonts w:hint="eastAsia"/>
              </w:rPr>
              <w:t>预埋管</w:t>
            </w:r>
          </w:p>
        </w:tc>
        <w:tc>
          <w:tcPr>
            <w:tcW w:w="1800" w:type="dxa"/>
          </w:tcPr>
          <w:p>
            <w:pPr>
              <w:pStyle w:val="11"/>
            </w:pPr>
            <w:r>
              <w:rPr>
                <w:rFonts w:hint="eastAsia"/>
              </w:rPr>
              <w:t>5</w:t>
            </w:r>
          </w:p>
        </w:tc>
        <w:tc>
          <w:tcPr>
            <w:tcW w:w="2640" w:type="dxa"/>
            <w:vMerge w:val="continue"/>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320" w:type="dxa"/>
            <w:gridSpan w:val="3"/>
          </w:tcPr>
          <w:p>
            <w:pPr>
              <w:pStyle w:val="11"/>
            </w:pPr>
            <w:r>
              <w:rPr>
                <w:rFonts w:hint="eastAsia"/>
              </w:rPr>
              <w:t>预留洞中心线位置</w:t>
            </w:r>
          </w:p>
        </w:tc>
        <w:tc>
          <w:tcPr>
            <w:tcW w:w="1800" w:type="dxa"/>
          </w:tcPr>
          <w:p>
            <w:pPr>
              <w:pStyle w:val="11"/>
            </w:pPr>
            <w:r>
              <w:rPr>
                <w:rFonts w:hint="eastAsia"/>
              </w:rPr>
              <w:t>15</w:t>
            </w:r>
          </w:p>
        </w:tc>
        <w:tc>
          <w:tcPr>
            <w:tcW w:w="2640" w:type="dxa"/>
          </w:tcPr>
          <w:p>
            <w:pPr>
              <w:pStyle w:val="11"/>
            </w:pPr>
            <w:r>
              <w:rPr>
                <w:rFonts w:hint="eastAsia"/>
              </w:rPr>
              <w:t>钢尺检查</w:t>
            </w:r>
          </w:p>
        </w:tc>
      </w:tr>
    </w:tbl>
    <w:p>
      <w:pPr>
        <w:spacing w:line="360" w:lineRule="exact"/>
        <w:ind w:firstLine="420"/>
        <w:jc w:val="center"/>
        <w:rPr>
          <w:rFonts w:ascii="微软雅黑" w:hAnsi="微软雅黑" w:eastAsia="微软雅黑"/>
          <w:color w:val="000000"/>
          <w:szCs w:val="21"/>
        </w:rPr>
      </w:pPr>
      <w:r>
        <w:rPr>
          <w:rFonts w:ascii="Times New Roman" w:hAnsi="Times New Roman" w:eastAsia="Times New Roman"/>
          <w:color w:val="000000"/>
          <w:szCs w:val="21"/>
        </w:rPr>
        <w:t>注：检查轴线、中心线位置时，应沿纵、横两个方向量测，并取其中的较大值。</w:t>
      </w:r>
    </w:p>
    <w:p>
      <w:pPr>
        <w:ind w:firstLine="420"/>
        <w:rPr>
          <w:rFonts w:ascii="微软雅黑" w:hAnsi="微软雅黑" w:eastAsia="微软雅黑"/>
        </w:rPr>
      </w:pPr>
      <w:r>
        <w:rPr>
          <w:rFonts w:ascii="Times New Roman" w:hAnsi="Times New Roman" w:eastAsia="Times New Roman"/>
        </w:rPr>
        <w:t>5.</w:t>
      </w:r>
      <w:r>
        <w:rPr>
          <w:rFonts w:hint="eastAsia" w:ascii="Times New Roman" w:hAnsi="Times New Roman" w:eastAsia="宋体"/>
          <w:lang w:val="en-US" w:eastAsia="zh-CN"/>
        </w:rPr>
        <w:t>8</w:t>
      </w:r>
      <w:r>
        <w:rPr>
          <w:rFonts w:ascii="Times New Roman" w:hAnsi="Times New Roman" w:eastAsia="Times New Roman"/>
        </w:rPr>
        <w:t>.2</w:t>
      </w:r>
      <w:r>
        <w:t xml:space="preserve"> 对混凝土结构质量的其他约定</w:t>
      </w:r>
    </w:p>
    <w:p>
      <w:pPr>
        <w:ind w:firstLine="420"/>
        <w:rPr>
          <w:rFonts w:ascii="宋体" w:hAnsi="宋体" w:eastAsia="宋体"/>
        </w:rPr>
      </w:pPr>
      <w:r>
        <w:t>承包方施工员和质量员须旁站监督，不漏振、不过振。浇筑楼板混凝土用耙子、铲子等工具摊铺平整（防止材质不均匀），用平板振动器全面振实。采取措施防止漏浆、错台、露筋等质量问题，严防混凝土遗撒浪费，对于浇筑过程遗落的混凝土，应尽快收集运至作业面及时使用。承包方</w:t>
      </w:r>
      <w:r>
        <w:rPr>
          <w:rFonts w:ascii="宋体" w:hAnsi="宋体" w:eastAsia="宋体"/>
        </w:rPr>
        <w:t>应及时全面自检，做到处处点点一次合格。</w:t>
      </w:r>
    </w:p>
    <w:p>
      <w:pPr>
        <w:ind w:firstLine="420"/>
      </w:pPr>
      <w:r>
        <w:t>混凝土原材进场后，浇筑之前做塌落度试验，检测塌落度是否与配合比报告相符，如若混凝土存在离析现象可要求随车司机添加外加剂或者退场，坚决不允许私自加水，发现一次处罚一次。</w:t>
      </w:r>
    </w:p>
    <w:p>
      <w:pPr>
        <w:ind w:firstLine="420"/>
        <w:rPr>
          <w:rFonts w:ascii="微软雅黑" w:hAnsi="微软雅黑" w:eastAsia="微软雅黑"/>
        </w:rPr>
      </w:pPr>
      <w:r>
        <w:rPr>
          <w:rFonts w:ascii="宋体" w:hAnsi="宋体" w:eastAsia="宋体"/>
        </w:rPr>
        <w:t>及时、明智、正确修整漏浆涨模。承包方</w:t>
      </w:r>
      <w:r>
        <w:t>在拆模板后48小时内完成修整（用剁斧、打磨机修整完涨模、漏浆、错台处）及全数自检工作。禁止在涨模处修整过程中过度过深剔凿结构。</w:t>
      </w:r>
      <w:r>
        <w:rPr>
          <w:rFonts w:ascii="宋体" w:hAnsi="宋体" w:eastAsia="宋体"/>
        </w:rPr>
        <w:t>对于涨模处贴近构件表面10～15mm必须用剁斧剁平、磨平，不得越过构件表面基准面、</w:t>
      </w:r>
      <w:r>
        <w:t>且修整后的垂直度和平整度均不应超过8mm。结构修整后</w:t>
      </w:r>
      <w:r>
        <w:rPr>
          <w:rFonts w:ascii="宋体" w:hAnsi="宋体" w:eastAsia="宋体"/>
        </w:rPr>
        <w:t>不得抹灰刮浆掩盖。严防在修整结构和装饰施工期间剔凿损坏混凝土结构。承包方不得擅自动用冲击钻、风镐等工具剔凿结构</w:t>
      </w:r>
      <w:r>
        <w:t>（发包方制定的处理方案中需要动用此类工具时，承包方应办理发包方项目总工批准手续）</w:t>
      </w:r>
      <w:r>
        <w:rPr>
          <w:rFonts w:ascii="宋体" w:hAnsi="宋体" w:eastAsia="宋体"/>
        </w:rPr>
        <w:t>。</w:t>
      </w:r>
    </w:p>
    <w:p>
      <w:pPr>
        <w:ind w:firstLine="420"/>
        <w:rPr>
          <w:rFonts w:ascii="微软雅黑" w:hAnsi="微软雅黑" w:eastAsia="微软雅黑"/>
        </w:rPr>
      </w:pPr>
      <w:r>
        <w:rPr>
          <w:rFonts w:ascii="宋体" w:hAnsi="宋体" w:eastAsia="宋体"/>
        </w:rPr>
        <w:t>不得过早上荷载、荷载不得集中堆放。</w:t>
      </w:r>
      <w:r>
        <w:t>在正温条件（春夏秋季节）混凝土结构浇筑后20～24h起应覆盖并洒水养护至7昼夜。洒水养护应包括楼梯、墙柱及其施工缝、梁板等全部部位。防水混凝土必须处处点点、时刻保湿养护14昼夜。构造柱、圈梁、返台、窗台、楼面构造层等应洒水养护。</w:t>
      </w:r>
    </w:p>
    <w:p>
      <w:pPr>
        <w:spacing w:line="360" w:lineRule="exact"/>
        <w:ind w:firstLine="422"/>
        <w:jc w:val="left"/>
        <w:rPr>
          <w:rFonts w:ascii="宋体" w:hAnsi="宋体" w:eastAsia="宋体"/>
          <w:color w:val="000000"/>
          <w:szCs w:val="21"/>
        </w:rPr>
      </w:pPr>
      <w:r>
        <w:rPr>
          <w:rFonts w:ascii="宋体" w:hAnsi="宋体" w:eastAsia="宋体"/>
          <w:b/>
          <w:bCs/>
          <w:color w:val="000000"/>
          <w:szCs w:val="21"/>
        </w:rPr>
        <w:t>第六条  安全文明施工要求</w:t>
      </w:r>
    </w:p>
    <w:p>
      <w:pPr>
        <w:spacing w:line="360" w:lineRule="exact"/>
        <w:ind w:firstLine="422"/>
        <w:jc w:val="left"/>
        <w:rPr>
          <w:rFonts w:ascii="微软雅黑" w:hAnsi="微软雅黑" w:eastAsia="微软雅黑"/>
          <w:color w:val="auto"/>
          <w:szCs w:val="21"/>
        </w:rPr>
      </w:pPr>
      <w:r>
        <w:rPr>
          <w:rFonts w:ascii="宋体" w:hAnsi="宋体" w:eastAsia="宋体"/>
          <w:b/>
          <w:bCs/>
          <w:color w:val="auto"/>
          <w:szCs w:val="21"/>
        </w:rPr>
        <w:t>6.1 安全约定</w:t>
      </w:r>
    </w:p>
    <w:p>
      <w:pPr>
        <w:ind w:firstLine="420"/>
        <w:rPr>
          <w:rFonts w:ascii="微软雅黑" w:hAnsi="微软雅黑" w:eastAsia="微软雅黑"/>
          <w:color w:val="auto"/>
        </w:rPr>
      </w:pPr>
      <w:r>
        <w:rPr>
          <w:color w:val="auto"/>
        </w:rPr>
        <w:t>6.1.1 责任承担</w:t>
      </w:r>
    </w:p>
    <w:p>
      <w:pPr>
        <w:ind w:firstLine="420"/>
        <w:rPr>
          <w:rFonts w:ascii="微软雅黑" w:hAnsi="微软雅黑" w:eastAsia="微软雅黑"/>
          <w:color w:val="auto"/>
        </w:rPr>
      </w:pPr>
      <w:r>
        <w:rPr>
          <w:color w:val="auto"/>
        </w:rPr>
        <w:t>承包方对其施工作业的安全质量承担全部责任。承包方应遵守国家及地方政府部门颁布的一切有关施工安全生产、劳动保护、文明施工、卫生管理、环境保护等法规制度和发包方编制的本工程安全施工组织要求，做好本工程的安全管理工作，采取必要的安全防护措施，消除事故隐患，并随时接受行业安全检查人员依法实施的监督检查。由于承包方安全措施不力造成事故的责任和因此而发生的费用，由承包方承担。</w:t>
      </w:r>
    </w:p>
    <w:p>
      <w:pPr>
        <w:ind w:firstLine="420"/>
        <w:rPr>
          <w:rFonts w:ascii="微软雅黑" w:hAnsi="微软雅黑" w:eastAsia="微软雅黑"/>
          <w:color w:val="auto"/>
        </w:rPr>
      </w:pPr>
      <w:r>
        <w:rPr>
          <w:color w:val="auto"/>
        </w:rPr>
        <w:t>6.1.2 发生安全事故</w:t>
      </w:r>
    </w:p>
    <w:p>
      <w:pPr>
        <w:ind w:firstLine="420"/>
        <w:rPr>
          <w:rFonts w:ascii="微软雅黑" w:hAnsi="微软雅黑" w:eastAsia="微软雅黑"/>
        </w:rPr>
      </w:pPr>
      <w:r>
        <w:t>承包方应按有关规定立即报告发包方，同时按国家有关法律法规和规章的规定对事故进行报告和处理。</w:t>
      </w:r>
    </w:p>
    <w:p>
      <w:pPr>
        <w:ind w:firstLine="420"/>
        <w:rPr>
          <w:rFonts w:ascii="微软雅黑" w:hAnsi="微软雅黑" w:eastAsia="微软雅黑"/>
        </w:rPr>
      </w:pPr>
      <w:r>
        <w:t>承包方发生安全事故（含人身伤亡事故）及其他人身、财产损害的，其责任和费用由承包方承担。承包方应对自有人员在施工过程中发生的一切伤亡事故（包括任何原因引起的因工或非因工伤亡事件等）自行负责处理并承担一切责任，承包方未及时妥善处理或承担所有责任，造成发包方损失的，应承担给发包方造成的一切损失，如导致第三人或承包方员工向发包方主张权利的，发包方有权向承包方追偿，如承包方未及时处理完毕或未赔偿给第三人造成的损害的，发包方有权扣留相应款项直至承包方履行完相关义务为止。</w:t>
      </w:r>
    </w:p>
    <w:p>
      <w:pPr>
        <w:ind w:firstLine="420"/>
        <w:rPr>
          <w:rFonts w:ascii="微软雅黑" w:hAnsi="微软雅黑" w:eastAsia="微软雅黑"/>
        </w:rPr>
      </w:pPr>
      <w:r>
        <w:t>6.1.3 人员配备</w:t>
      </w:r>
    </w:p>
    <w:p>
      <w:pPr>
        <w:ind w:firstLine="420"/>
        <w:rPr>
          <w:rFonts w:ascii="微软雅黑" w:hAnsi="微软雅黑" w:eastAsia="微软雅黑"/>
        </w:rPr>
      </w:pPr>
      <w:r>
        <w:t>承包方需按照标准配备相应数量的专职安全管理人员</w:t>
      </w:r>
      <w:r>
        <w:rPr>
          <w:rFonts w:hint="eastAsia"/>
          <w:lang w:eastAsia="zh-CN"/>
        </w:rPr>
        <w:t>，</w:t>
      </w:r>
      <w:r>
        <w:t>必须配备1名专职安全员和一名专职建筑电工，专职安全员和电工必须持证上岗，报发包方备案，并应服从发包方安全工程师指挥安排。特殊工种要经过专业技术培训，取得省建设厅及以上机构颁发的操作证，在证件有效期内，方能上岗操作。施工作业人员未经安全生产教育培训，不得上岗作业。承包方必须接受发包方对其施工作业人员的培训，并且应当配合发包方做好安全教育培训的记录和存档。安全员不得从事与安全管理无关的事务，开工日期起必须到场，未按要求配置到位对承办方500/天处罚。</w:t>
      </w:r>
    </w:p>
    <w:p>
      <w:pPr>
        <w:ind w:firstLine="420"/>
        <w:rPr>
          <w:rFonts w:ascii="微软雅黑" w:hAnsi="微软雅黑" w:eastAsia="微软雅黑"/>
        </w:rPr>
      </w:pPr>
      <w:r>
        <w:t>6.1.4 安全防护</w:t>
      </w:r>
    </w:p>
    <w:p>
      <w:pPr>
        <w:ind w:firstLine="420"/>
        <w:rPr>
          <w:rFonts w:ascii="微软雅黑" w:hAnsi="微软雅黑" w:eastAsia="微软雅黑"/>
        </w:rPr>
      </w:pPr>
      <w:r>
        <w:t>承包方在整个施工期间必须为其工作人员提供必要的安全防护和劳动保护用品、购买人身保险，保险费用承包方承担。如承包方为其工作人员提供的安全劳动保护用品不能满足发包方要求时，发包方有权代为提供，其费用在承包方当期结算中扣除。承包方作业人员必须严格按照要求正确使用劳动防护用品。</w:t>
      </w:r>
    </w:p>
    <w:p>
      <w:pPr>
        <w:ind w:firstLine="420"/>
        <w:rPr>
          <w:rFonts w:ascii="微软雅黑" w:hAnsi="微软雅黑" w:eastAsia="微软雅黑"/>
        </w:rPr>
      </w:pPr>
      <w:r>
        <w:t>在施工期间承包方须遵守发包方的各项规章制度，若承包方违反发包方制定的各项规章制度而发生的任何人身伤亡、伤残、疾病或财产的损失等均由承包方承担全部赔偿责任。</w:t>
      </w:r>
    </w:p>
    <w:p>
      <w:pPr>
        <w:ind w:firstLine="420"/>
        <w:rPr>
          <w:rFonts w:ascii="微软雅黑" w:hAnsi="微软雅黑" w:eastAsia="微软雅黑"/>
        </w:rPr>
      </w:pPr>
      <w:r>
        <w:t>6.1.5 设备管理</w:t>
      </w:r>
    </w:p>
    <w:p>
      <w:pPr>
        <w:ind w:firstLine="420"/>
        <w:rPr>
          <w:rFonts w:ascii="微软雅黑" w:hAnsi="微软雅黑" w:eastAsia="微软雅黑"/>
        </w:rPr>
      </w:pPr>
      <w:r>
        <w:t> 承包方使用的特种设备必须“三证”齐全，并报发包方备案。承包方应加强对特种设备的日常检查及维修。</w:t>
      </w:r>
    </w:p>
    <w:p>
      <w:pPr>
        <w:ind w:firstLine="420"/>
        <w:rPr>
          <w:rFonts w:ascii="微软雅黑" w:hAnsi="微软雅黑" w:eastAsia="微软雅黑"/>
          <w:color w:val="auto"/>
        </w:rPr>
      </w:pPr>
      <w:r>
        <w:rPr>
          <w:color w:val="auto"/>
        </w:rPr>
        <w:t>6.1.6 安全文明施工</w:t>
      </w:r>
    </w:p>
    <w:p>
      <w:pPr>
        <w:ind w:firstLine="420"/>
        <w:rPr>
          <w:rFonts w:ascii="微软雅黑" w:hAnsi="微软雅黑" w:eastAsia="微软雅黑"/>
          <w:b w:val="0"/>
          <w:bCs w:val="0"/>
        </w:rPr>
      </w:pPr>
      <w:r>
        <w:rPr>
          <w:b w:val="0"/>
          <w:bCs w:val="0"/>
        </w:rPr>
        <w:t>搞好文明施工和标准化作业，遵守环境保护法，对已完工的各类建筑物，在交工前负责保管并清理好场地。因承包方施工产生的垃圾，由承包方清理并弃至工地外；否则，发包方将委派他人清理，清理产生的费用由承包方承担 。</w:t>
      </w:r>
    </w:p>
    <w:p>
      <w:pPr>
        <w:ind w:firstLine="420"/>
        <w:rPr>
          <w:rFonts w:ascii="微软雅黑" w:hAnsi="微软雅黑" w:eastAsia="微软雅黑"/>
        </w:rPr>
      </w:pPr>
      <w:r>
        <w:t>6.1.7 人员管理</w:t>
      </w:r>
    </w:p>
    <w:p>
      <w:pPr>
        <w:ind w:firstLine="420"/>
        <w:rPr>
          <w:rFonts w:ascii="微软雅黑" w:hAnsi="微软雅黑" w:eastAsia="微软雅黑"/>
        </w:rPr>
      </w:pPr>
      <w:r>
        <w:t>按照《中华人民共和国职业病防治法》的规定，承包方应自行承担投入本工程的所有人员的职业病预防、检查、治疗、康复等工作，并承担由此而发生的相关费用。</w:t>
      </w:r>
    </w:p>
    <w:p>
      <w:pPr>
        <w:ind w:firstLine="420"/>
        <w:rPr>
          <w:rFonts w:ascii="微软雅黑" w:hAnsi="微软雅黑" w:eastAsia="微软雅黑"/>
        </w:rPr>
      </w:pPr>
      <w:r>
        <w:t>承包方对其员工（包括农民工）负有治安管理责任，如发生打架斗殴等治安或刑事案件，由此给发包方造成的损失由承包方承担。</w:t>
      </w:r>
    </w:p>
    <w:p>
      <w:pPr>
        <w:ind w:firstLine="420"/>
        <w:rPr>
          <w:rFonts w:ascii="微软雅黑" w:hAnsi="微软雅黑" w:eastAsia="微软雅黑"/>
        </w:rPr>
      </w:pPr>
      <w:r>
        <w:t>承包方同意：在工程开工前，与发包方签订“安全管理协议书”。</w:t>
      </w:r>
    </w:p>
    <w:p>
      <w:pPr>
        <w:ind w:firstLine="420"/>
        <w:rPr>
          <w:rFonts w:ascii="微软雅黑" w:hAnsi="微软雅黑" w:eastAsia="微软雅黑"/>
        </w:rPr>
      </w:pPr>
      <w:r>
        <w:t>承包方员工</w:t>
      </w:r>
      <w:r>
        <w:rPr>
          <w:rFonts w:hint="eastAsia"/>
          <w:lang w:val="en-US" w:eastAsia="zh-CN"/>
        </w:rPr>
        <w:t>进场</w:t>
      </w:r>
      <w:r>
        <w:t>时，需</w:t>
      </w:r>
      <w:r>
        <w:rPr>
          <w:rFonts w:hint="eastAsia"/>
          <w:lang w:val="en-US" w:eastAsia="zh-CN"/>
        </w:rPr>
        <w:t>按</w:t>
      </w:r>
      <w:r>
        <w:t>发包方</w:t>
      </w:r>
      <w:r>
        <w:rPr>
          <w:rFonts w:hint="eastAsia"/>
          <w:lang w:val="en-US" w:eastAsia="zh-CN"/>
        </w:rPr>
        <w:t>要求配置工人安全帽、反光衣、安全嗲等个人</w:t>
      </w:r>
      <w:r>
        <w:t>劳动保护用品。</w:t>
      </w:r>
    </w:p>
    <w:p>
      <w:pPr>
        <w:ind w:firstLine="420"/>
        <w:rPr>
          <w:rFonts w:ascii="微软雅黑" w:hAnsi="微软雅黑" w:eastAsia="微软雅黑"/>
        </w:rPr>
      </w:pPr>
      <w:r>
        <w:t>安全、文明、环保费用，发包方按合同总价的5%单独列入承包方《劳务量清单》中，该费用由承包方包干使用。施工过程中，按照当月计价额的80%乘以“安全文明施工综合评分”得分百分比计价，综合评分满分100分。综合评分表作为计价资料的一部分，每月由项目部负责编制、评分，与清单同时交予成本部，承包方需提供相应的发票复印件。因承包方安全文明施工达不到要求，发包方有权按照实际情况扣除承包方或者全部安全文明施工费用，不予计量；如因承包方安全文明施工达不到要求，业主或者政府部门检查时所扣款项由承包方承担，在当月计价款中扣除。</w:t>
      </w:r>
    </w:p>
    <w:p>
      <w:pPr>
        <w:ind w:firstLine="420"/>
        <w:rPr>
          <w:rFonts w:ascii="微软雅黑" w:hAnsi="微软雅黑" w:eastAsia="微软雅黑"/>
        </w:rPr>
      </w:pPr>
      <w:r>
        <w:t>承包方应严格贯彻执行珠海市文明工地标准及公司CI手册标准，上述未涉及的根据发包方要求应有承包方投入施工的安全文明施工内容，承包方应按照发包方要求执行，如未执行到位，发包方有权另行委托第三方施工，按实际发生的费用双倍在结算时扣除。</w:t>
      </w:r>
    </w:p>
    <w:p>
      <w:pPr>
        <w:ind w:firstLine="420"/>
        <w:rPr>
          <w:rFonts w:ascii="宋体" w:hAnsi="宋体" w:eastAsia="宋体"/>
        </w:rPr>
      </w:pPr>
      <w:r>
        <w:t>承包方应严格遵守公司及项目的安全管理规定及规章制度，否则，发包方将按照相应的条款进行处罚。</w:t>
      </w:r>
    </w:p>
    <w:p>
      <w:pPr>
        <w:ind w:firstLine="420"/>
        <w:jc w:val="left"/>
        <w:rPr>
          <w:rFonts w:ascii="微软雅黑" w:hAnsi="微软雅黑" w:eastAsia="微软雅黑"/>
          <w:szCs w:val="21"/>
        </w:rPr>
      </w:pPr>
    </w:p>
    <w:p>
      <w:pPr>
        <w:spacing w:line="360" w:lineRule="exact"/>
        <w:ind w:firstLine="422"/>
        <w:jc w:val="left"/>
        <w:rPr>
          <w:rFonts w:ascii="宋体" w:hAnsi="宋体" w:eastAsia="宋体"/>
          <w:color w:val="000000"/>
          <w:szCs w:val="21"/>
        </w:rPr>
      </w:pPr>
      <w:r>
        <w:rPr>
          <w:rFonts w:ascii="宋体" w:hAnsi="宋体" w:eastAsia="宋体"/>
          <w:b/>
          <w:bCs/>
          <w:color w:val="000000"/>
          <w:szCs w:val="21"/>
        </w:rPr>
        <w:t>第七条  材料与设备要求</w:t>
      </w:r>
    </w:p>
    <w:p>
      <w:pPr>
        <w:ind w:firstLine="422"/>
        <w:rPr>
          <w:rFonts w:ascii="微软雅黑" w:hAnsi="微软雅黑" w:eastAsia="微软雅黑"/>
        </w:rPr>
      </w:pPr>
      <w:r>
        <w:rPr>
          <w:rFonts w:ascii="宋体" w:hAnsi="宋体" w:eastAsia="宋体"/>
          <w:b/>
          <w:bCs/>
        </w:rPr>
        <w:t>7.1</w:t>
      </w:r>
      <w:r>
        <w:t xml:space="preserve"> 本工程所需部分材料由承包方采购，承包方采购材料必须符合国家及行业现行的技术规范、规程和施工图纸、设计变更文件上对材料的要求。承包方提供的材料必须按有关规定提供出厂检测报告、质量合格证，有需要第三方检测要求的必须提供第三方检测报告，承包方必须对所提供的材料的质量负全责，不以发包方验收合格签字确认而免除责任。</w:t>
      </w:r>
    </w:p>
    <w:p>
      <w:pPr>
        <w:ind w:firstLine="422"/>
        <w:rPr>
          <w:rFonts w:ascii="微软雅黑" w:hAnsi="微软雅黑" w:eastAsia="微软雅黑"/>
        </w:rPr>
      </w:pPr>
      <w:r>
        <w:rPr>
          <w:rFonts w:ascii="宋体" w:hAnsi="宋体" w:eastAsia="宋体"/>
          <w:b/>
          <w:bCs/>
        </w:rPr>
        <w:t>7.2</w:t>
      </w:r>
      <w:r>
        <w:t xml:space="preserve"> 承包方材料进场前，应按发包方要求提交材料品种、品牌、规格、型号、颜色、材质等的清单及样板（若需），经发包方代表签字确认合格后，方可进场施工。需提前24小时通知发包方到达现场后，经发包方代表验收合格后签字确认，方可施工，因材料质量问题退场的，产生的一切后果和责任由承包方承担。未经发包方验收的主要材料，承包方擅自使用的，承包方必须承担返工及另行购料安装所引起的一切费用。对发包方造成损失的，承包方应予以赔偿。</w:t>
      </w:r>
    </w:p>
    <w:p>
      <w:pPr>
        <w:ind w:firstLine="422"/>
        <w:rPr>
          <w:rFonts w:ascii="微软雅黑" w:hAnsi="微软雅黑" w:eastAsia="微软雅黑"/>
        </w:rPr>
      </w:pPr>
      <w:r>
        <w:rPr>
          <w:b/>
          <w:bCs/>
        </w:rPr>
        <w:t>7.3</w:t>
      </w:r>
      <w:r>
        <w:t xml:space="preserve"> 本工程涉及到材料变更或代用其他材料的，承包方应以书面形式向发包方提出申请，经发包方及设计单位同意并由发包方现场代表签字认可后，方可用于本工程。</w:t>
      </w:r>
    </w:p>
    <w:p>
      <w:pPr>
        <w:ind w:firstLine="422"/>
        <w:rPr>
          <w:rFonts w:ascii="微软雅黑" w:hAnsi="微软雅黑" w:eastAsia="微软雅黑"/>
        </w:rPr>
      </w:pPr>
      <w:r>
        <w:rPr>
          <w:b/>
          <w:bCs/>
        </w:rPr>
        <w:t>7.4</w:t>
      </w:r>
      <w:r>
        <w:t xml:space="preserve"> 经确认后的样本/样品，由发包方保存。试验频率等送检要求以作为日后验收货物和工程的标准。</w:t>
      </w:r>
    </w:p>
    <w:p>
      <w:pPr>
        <w:ind w:firstLine="422"/>
        <w:rPr>
          <w:rFonts w:ascii="微软雅黑" w:hAnsi="微软雅黑" w:eastAsia="微软雅黑"/>
        </w:rPr>
      </w:pPr>
      <w:r>
        <w:rPr>
          <w:b/>
          <w:bCs/>
        </w:rPr>
        <w:t>7.5</w:t>
      </w:r>
      <w:r>
        <w:t xml:space="preserve"> 材料的试验项目、试验方法、试验频率按国家相关法律规定、国家限制性标准和行业强制性标准要求执行。</w:t>
      </w:r>
    </w:p>
    <w:p>
      <w:pPr>
        <w:ind w:firstLine="422"/>
        <w:rPr>
          <w:rFonts w:ascii="微软雅黑" w:hAnsi="微软雅黑" w:eastAsia="微软雅黑"/>
        </w:rPr>
      </w:pPr>
      <w:r>
        <w:rPr>
          <w:b/>
          <w:bCs/>
        </w:rPr>
        <w:t>7.6</w:t>
      </w:r>
      <w:r>
        <w:t xml:space="preserve"> 材料与设备的相关检测费用应包含在投标总价中，</w:t>
      </w:r>
      <w:r>
        <w:rPr>
          <w:spacing w:val="-3"/>
        </w:rPr>
        <w:t>在工程施工期间因国家颁布新规定而增加的检验、检测费用应包含在</w:t>
      </w:r>
      <w:r>
        <w:t>在投标总价中</w:t>
      </w:r>
      <w:r>
        <w:rPr>
          <w:spacing w:val="-3"/>
        </w:rPr>
        <w:t>，不另增加。</w:t>
      </w:r>
    </w:p>
    <w:p>
      <w:pPr>
        <w:ind w:firstLine="422"/>
        <w:rPr>
          <w:rFonts w:ascii="微软雅黑" w:hAnsi="微软雅黑" w:eastAsia="微软雅黑"/>
        </w:rPr>
      </w:pPr>
      <w:r>
        <w:rPr>
          <w:b/>
          <w:bCs/>
        </w:rPr>
        <w:t>7.7</w:t>
      </w:r>
      <w:r>
        <w:t xml:space="preserve"> 甲供材料（如有）到场后，承包方须及时配合发包方办理移交手续，并由承包方负责保管，如发现已遗失或损坏，由承包方负责赔偿；甲供材料损耗率必须在定额内（具体定额范围在附件中约定），超过部分由承包方负责。如发包方发现承包方存在浪费甲供材料的现象（以发包方认定为准），发包方有权按照实际浪费材料数量乘以2倍于甲供材料采购价格（实际采购单价加5%采保费）作为承包方应向发包方支付的违约金在合同价款支付时予以扣除。</w:t>
      </w:r>
    </w:p>
    <w:p>
      <w:pPr>
        <w:spacing w:line="360" w:lineRule="exact"/>
        <w:ind w:firstLine="420"/>
        <w:jc w:val="left"/>
        <w:rPr>
          <w:rFonts w:ascii="Times New Roman" w:hAnsi="Times New Roman" w:eastAsia="Times New Roman"/>
          <w:color w:val="000000"/>
          <w:szCs w:val="21"/>
        </w:rPr>
      </w:pPr>
    </w:p>
    <w:p>
      <w:pPr>
        <w:spacing w:line="360" w:lineRule="exact"/>
        <w:ind w:firstLine="422"/>
        <w:jc w:val="left"/>
        <w:rPr>
          <w:rFonts w:ascii="宋体" w:hAnsi="宋体" w:eastAsia="宋体"/>
          <w:color w:val="000000"/>
          <w:szCs w:val="21"/>
        </w:rPr>
      </w:pPr>
      <w:r>
        <w:rPr>
          <w:rFonts w:ascii="宋体" w:hAnsi="宋体" w:eastAsia="宋体"/>
          <w:b/>
          <w:bCs/>
          <w:color w:val="000000"/>
          <w:szCs w:val="21"/>
        </w:rPr>
        <w:t>第八条  施工（成品）保护责任</w:t>
      </w:r>
    </w:p>
    <w:p>
      <w:pPr>
        <w:ind w:firstLine="420"/>
      </w:pPr>
      <w:r>
        <w:t xml:space="preserve">   </w:t>
      </w:r>
      <w:r>
        <w:rPr>
          <w:rFonts w:ascii="Times New Roman" w:hAnsi="Times New Roman" w:eastAsia="Times New Roman"/>
          <w:b/>
          <w:bCs/>
        </w:rPr>
        <w:t xml:space="preserve"> 8.1</w:t>
      </w:r>
      <w:r>
        <w:t xml:space="preserve"> 承包方应配合其他承包方的工作，不得妨碍及破坏自身承包范围外的其他工程、工作。因承包方直接或间接导致的成品、半成品、设备、设施等损坏，承包方承担全部责任。</w:t>
      </w:r>
    </w:p>
    <w:p>
      <w:pPr>
        <w:ind w:firstLine="420"/>
      </w:pPr>
      <w:r>
        <w:t xml:space="preserve">    </w:t>
      </w:r>
      <w:r>
        <w:rPr>
          <w:rFonts w:ascii="Times New Roman" w:hAnsi="Times New Roman" w:eastAsia="Times New Roman"/>
          <w:b/>
          <w:bCs/>
        </w:rPr>
        <w:t>8.2</w:t>
      </w:r>
      <w:r>
        <w:t xml:space="preserve"> 工程移交前，承包方应对本工程</w:t>
      </w:r>
      <w:r>
        <w:rPr>
          <w:rFonts w:ascii="Calibri" w:hAnsi="Calibri" w:eastAsia="Calibri"/>
        </w:rPr>
        <w:t>(</w:t>
      </w:r>
      <w:r>
        <w:t>半</w:t>
      </w:r>
      <w:r>
        <w:rPr>
          <w:rFonts w:ascii="Calibri" w:hAnsi="Calibri" w:eastAsia="Calibri"/>
        </w:rPr>
        <w:t>)</w:t>
      </w:r>
      <w:r>
        <w:t>成品进行管理和保护，相关费用应包含在投标总价中。</w:t>
      </w:r>
    </w:p>
    <w:p>
      <w:pPr>
        <w:ind w:firstLine="420"/>
      </w:pPr>
      <w:r>
        <w:t xml:space="preserve">    </w:t>
      </w:r>
      <w:r>
        <w:rPr>
          <w:rFonts w:ascii="Times New Roman" w:hAnsi="Times New Roman" w:eastAsia="Times New Roman"/>
          <w:b/>
          <w:bCs/>
        </w:rPr>
        <w:t>8.3</w:t>
      </w:r>
      <w:r>
        <w:t xml:space="preserve"> 工程移交后，承包方仍对承包工程负有维修责任，应无条件配合。</w:t>
      </w:r>
    </w:p>
    <w:p>
      <w:pPr>
        <w:spacing w:line="360" w:lineRule="exact"/>
        <w:ind w:firstLine="420"/>
        <w:jc w:val="left"/>
        <w:rPr>
          <w:rFonts w:ascii="宋体" w:hAnsi="宋体" w:eastAsia="宋体"/>
          <w:color w:val="000000"/>
          <w:szCs w:val="21"/>
        </w:rPr>
      </w:pPr>
    </w:p>
    <w:p>
      <w:pPr>
        <w:spacing w:line="360" w:lineRule="exact"/>
        <w:ind w:firstLine="422"/>
        <w:jc w:val="left"/>
        <w:rPr>
          <w:rFonts w:ascii="宋体" w:hAnsi="宋体" w:eastAsia="宋体"/>
          <w:b/>
          <w:bCs/>
          <w:color w:val="000000"/>
          <w:szCs w:val="21"/>
        </w:rPr>
      </w:pPr>
      <w:r>
        <w:rPr>
          <w:rFonts w:ascii="宋体" w:hAnsi="宋体" w:eastAsia="宋体"/>
          <w:b/>
          <w:bCs/>
          <w:color w:val="000000"/>
          <w:szCs w:val="21"/>
        </w:rPr>
        <w:t>第九条  保修期和缺陷责任期要求</w:t>
      </w:r>
    </w:p>
    <w:p>
      <w:pPr>
        <w:ind w:firstLine="422"/>
        <w:rPr>
          <w:rFonts w:ascii="微软雅黑" w:hAnsi="微软雅黑" w:eastAsia="微软雅黑"/>
        </w:rPr>
      </w:pPr>
      <w:r>
        <w:rPr>
          <w:b/>
          <w:bCs/>
        </w:rPr>
        <w:t xml:space="preserve">9.1 </w:t>
      </w:r>
      <w:r>
        <w:t>本工程保修期约定如下：</w:t>
      </w:r>
    </w:p>
    <w:p>
      <w:pPr>
        <w:ind w:firstLine="420"/>
        <w:rPr>
          <w:rFonts w:ascii="微软雅黑" w:hAnsi="微软雅黑" w:eastAsia="微软雅黑"/>
        </w:rPr>
      </w:pPr>
      <w:r>
        <w:t>9.1.1 基础设施工程、房屋建筑的地基基础工程和主体结构工程，为设计文件规定的该工程的合理使用年限；</w:t>
      </w:r>
    </w:p>
    <w:p>
      <w:pPr>
        <w:ind w:firstLine="420"/>
        <w:rPr>
          <w:rFonts w:ascii="微软雅黑" w:hAnsi="微软雅黑" w:eastAsia="微软雅黑"/>
        </w:rPr>
      </w:pPr>
      <w:r>
        <w:t>9.1.2 屋面防水工程、有防水要求的卫生间、房间和外墙面的防渗漏，为5年；</w:t>
      </w:r>
    </w:p>
    <w:p>
      <w:pPr>
        <w:ind w:firstLine="420"/>
        <w:rPr>
          <w:rFonts w:ascii="微软雅黑" w:hAnsi="微软雅黑" w:eastAsia="微软雅黑"/>
        </w:rPr>
      </w:pPr>
      <w:r>
        <w:t>9.1.3 供热与供冷系统，为2个采暖期、供冷期；</w:t>
      </w:r>
    </w:p>
    <w:p>
      <w:pPr>
        <w:ind w:firstLine="420"/>
        <w:rPr>
          <w:rFonts w:ascii="微软雅黑" w:hAnsi="微软雅黑" w:eastAsia="微软雅黑"/>
        </w:rPr>
      </w:pPr>
      <w:r>
        <w:t>9.1.4 电气管线、给排水管道、设备安装和装修工程，为2年两年。</w:t>
      </w:r>
    </w:p>
    <w:p>
      <w:pPr>
        <w:ind w:firstLine="422"/>
        <w:rPr>
          <w:rFonts w:ascii="微软雅黑" w:hAnsi="微软雅黑" w:eastAsia="微软雅黑"/>
        </w:rPr>
      </w:pPr>
      <w:r>
        <w:rPr>
          <w:b/>
          <w:bCs/>
        </w:rPr>
        <w:t xml:space="preserve">9.2 </w:t>
      </w:r>
      <w:r>
        <w:t>保修期和缺陷责任期自本工程全部通过竣工验收合格之日起计算。承包方应按法律、行政法规或国家关于工程质量保修的有关规定，对交付发包方使用的工程在质量保修期内承担质量保修责任。</w:t>
      </w:r>
    </w:p>
    <w:p>
      <w:pPr>
        <w:ind w:firstLine="422"/>
        <w:rPr>
          <w:rFonts w:ascii="微软雅黑" w:hAnsi="微软雅黑" w:eastAsia="微软雅黑"/>
        </w:rPr>
      </w:pPr>
      <w:r>
        <w:rPr>
          <w:b/>
          <w:bCs/>
        </w:rPr>
        <w:t xml:space="preserve">9.3 </w:t>
      </w:r>
      <w:r>
        <w:t>承包方须在投标文件中提供售后维修计划和售后服务承诺书，并提供售后备品备件详细清单。</w:t>
      </w:r>
    </w:p>
    <w:p>
      <w:pPr>
        <w:ind w:firstLine="422"/>
        <w:rPr>
          <w:rFonts w:ascii="宋体" w:hAnsi="宋体" w:eastAsia="宋体"/>
          <w:b/>
          <w:bCs/>
        </w:rPr>
      </w:pPr>
    </w:p>
    <w:p>
      <w:pPr>
        <w:spacing w:line="360" w:lineRule="exact"/>
        <w:ind w:firstLine="422"/>
        <w:jc w:val="left"/>
        <w:rPr>
          <w:rFonts w:ascii="宋体" w:hAnsi="宋体" w:eastAsia="宋体"/>
          <w:color w:val="000000"/>
          <w:szCs w:val="21"/>
        </w:rPr>
      </w:pPr>
      <w:r>
        <w:rPr>
          <w:rFonts w:ascii="宋体" w:hAnsi="宋体" w:eastAsia="宋体"/>
          <w:b/>
          <w:bCs/>
          <w:color w:val="000000"/>
          <w:szCs w:val="21"/>
        </w:rPr>
        <w:t>第十条  临时水电接驳及场地提供</w:t>
      </w:r>
    </w:p>
    <w:p>
      <w:pPr>
        <w:ind w:firstLine="420"/>
      </w:pPr>
      <w:r>
        <w:t>10</w:t>
      </w:r>
      <w:r>
        <w:rPr>
          <w:rFonts w:hint="eastAsia"/>
        </w:rPr>
        <w:t>.1 承包方须自行负责在发包方指定的临时用电和用水接驳点接驳(发包方负责接驳点的水、电表安装)，实行挂表计量，若未挂表，</w:t>
      </w:r>
      <w:r>
        <w:rPr>
          <w:rFonts w:hint="eastAsia"/>
          <w:highlight w:val="none"/>
        </w:rPr>
        <w:t>按照结算值的2%扣除。</w:t>
      </w:r>
      <w:r>
        <w:rPr>
          <w:rFonts w:hint="eastAsia"/>
        </w:rPr>
        <w:t>（投标时需考虑水电费），并负责所需的接驳喉管及电线，施工用水电费由发包方按当地规定标准代为支付，相应费用从进度款中扣除。由乙方负责自行考虑的费用均包含综合报价内，不得向甲方索要任何额外费用。</w:t>
      </w:r>
    </w:p>
    <w:p>
      <w:pPr>
        <w:ind w:firstLine="420"/>
        <w:rPr>
          <w:highlight w:val="none"/>
        </w:rPr>
      </w:pPr>
      <w:r>
        <w:rPr>
          <w:rFonts w:hint="eastAsia"/>
        </w:rPr>
        <w:t xml:space="preserve"> </w:t>
      </w:r>
      <w:r>
        <w:t>10</w:t>
      </w:r>
      <w:r>
        <w:rPr>
          <w:rFonts w:hint="eastAsia"/>
        </w:rPr>
        <w:t>.2 现场临时用电设施</w:t>
      </w:r>
      <w:r>
        <w:rPr>
          <w:rFonts w:hint="eastAsia"/>
          <w:highlight w:val="none"/>
        </w:rPr>
        <w:t>：一级电箱二级施工电箱电缆由甲方提供主材，二级配电箱出线端至三级施工配电箱</w:t>
      </w:r>
      <w:r>
        <w:rPr>
          <w:rFonts w:hint="eastAsia"/>
          <w:highlight w:val="none"/>
          <w:lang w:eastAsia="zh-CN"/>
        </w:rPr>
        <w:t>及</w:t>
      </w:r>
      <w:r>
        <w:rPr>
          <w:rFonts w:hint="eastAsia"/>
          <w:highlight w:val="none"/>
        </w:rPr>
        <w:t>所需一切材料由乙方负责自行考虑。现场所有临时用电设施的安拆、维修、零配件、管理须由发包方指定人员负责，必须符合珠海市建设工程安全监督站的要求，凡出现不符合要求的事项承包方必须立即响应，限一日之内整改完成；否则发包方有权力委托第三方整改，整改所发生的一切费用从当月结算款中双倍扣罚，并保留追究承包方其他合同条款责任。</w:t>
      </w:r>
    </w:p>
    <w:p>
      <w:pPr>
        <w:ind w:firstLine="420"/>
        <w:rPr>
          <w:highlight w:val="none"/>
        </w:rPr>
      </w:pPr>
      <w:r>
        <w:rPr>
          <w:highlight w:val="none"/>
        </w:rPr>
        <w:t>10</w:t>
      </w:r>
      <w:r>
        <w:rPr>
          <w:rFonts w:hint="eastAsia"/>
          <w:highlight w:val="none"/>
        </w:rPr>
        <w:t>.</w:t>
      </w:r>
      <w:r>
        <w:rPr>
          <w:rFonts w:hint="eastAsia"/>
          <w:highlight w:val="none"/>
          <w:lang w:val="en-US" w:eastAsia="zh-CN"/>
        </w:rPr>
        <w:t>3</w:t>
      </w:r>
      <w:r>
        <w:rPr>
          <w:rFonts w:hint="eastAsia"/>
          <w:highlight w:val="none"/>
        </w:rPr>
        <w:t xml:space="preserve"> 承办方应服从发包方对临时水电接驳及场地的管理；</w:t>
      </w:r>
    </w:p>
    <w:p>
      <w:pPr>
        <w:ind w:firstLine="420"/>
        <w:rPr>
          <w:highlight w:val="none"/>
        </w:rPr>
      </w:pPr>
      <w:r>
        <w:rPr>
          <w:highlight w:val="none"/>
        </w:rPr>
        <w:t>10</w:t>
      </w:r>
      <w:r>
        <w:rPr>
          <w:rFonts w:hint="eastAsia"/>
          <w:highlight w:val="none"/>
        </w:rPr>
        <w:t>.</w:t>
      </w:r>
      <w:r>
        <w:rPr>
          <w:rFonts w:hint="eastAsia"/>
          <w:highlight w:val="none"/>
          <w:lang w:val="en-US" w:eastAsia="zh-CN"/>
        </w:rPr>
        <w:t>4</w:t>
      </w:r>
      <w:r>
        <w:rPr>
          <w:rFonts w:hint="eastAsia"/>
          <w:highlight w:val="none"/>
        </w:rPr>
        <w:t xml:space="preserve"> 承包方需提供相应的施工设备用电功率报批发包方，并在发包方指定电箱位置接电施工。</w:t>
      </w:r>
    </w:p>
    <w:p>
      <w:pPr>
        <w:ind w:firstLine="420"/>
        <w:rPr>
          <w:highlight w:val="none"/>
        </w:rPr>
      </w:pPr>
      <w:r>
        <w:rPr>
          <w:highlight w:val="none"/>
        </w:rPr>
        <w:t>10</w:t>
      </w:r>
      <w:r>
        <w:rPr>
          <w:rFonts w:hint="eastAsia"/>
          <w:highlight w:val="none"/>
        </w:rPr>
        <w:t>.</w:t>
      </w:r>
      <w:r>
        <w:rPr>
          <w:rFonts w:hint="eastAsia"/>
          <w:highlight w:val="none"/>
          <w:lang w:val="en-US" w:eastAsia="zh-CN"/>
        </w:rPr>
        <w:t>5</w:t>
      </w:r>
      <w:r>
        <w:rPr>
          <w:rFonts w:hint="eastAsia"/>
          <w:highlight w:val="none"/>
        </w:rPr>
        <w:t xml:space="preserve"> 工地现场大面积照明、及局部细部照明均由乙方自行解决。包括但不限于电箱、时控箱、电线、LED照明灯具等。</w:t>
      </w:r>
      <w:r>
        <w:rPr>
          <w:highlight w:val="none"/>
        </w:rPr>
        <w:t xml:space="preserve">   </w:t>
      </w:r>
    </w:p>
    <w:p>
      <w:pPr>
        <w:ind w:firstLine="422"/>
      </w:pPr>
      <w:r>
        <w:rPr>
          <w:rFonts w:ascii="Times New Roman" w:hAnsi="Times New Roman" w:eastAsia="Times New Roman"/>
          <w:b/>
          <w:bCs/>
        </w:rPr>
        <w:t>10.</w:t>
      </w:r>
      <w:r>
        <w:rPr>
          <w:rFonts w:hint="eastAsia" w:ascii="Times New Roman" w:hAnsi="Times New Roman" w:eastAsia="宋体"/>
          <w:b/>
          <w:bCs/>
          <w:lang w:val="en-US" w:eastAsia="zh-CN"/>
        </w:rPr>
        <w:t>6</w:t>
      </w:r>
      <w:r>
        <w:t xml:space="preserve"> 为保证工程进度，承包方如须使用发电机，负荷需满足施工以及相关要求，租赁及使用费用考虑在综合单价内考虑，结算时不予调整。</w:t>
      </w:r>
    </w:p>
    <w:p>
      <w:pPr>
        <w:ind w:firstLine="422"/>
      </w:pPr>
      <w:r>
        <w:rPr>
          <w:rFonts w:ascii="Times New Roman" w:hAnsi="Times New Roman" w:eastAsia="Times New Roman"/>
          <w:b/>
          <w:bCs/>
        </w:rPr>
        <w:t>10.</w:t>
      </w:r>
      <w:r>
        <w:rPr>
          <w:rFonts w:hint="eastAsia" w:ascii="Times New Roman" w:hAnsi="Times New Roman" w:eastAsia="宋体"/>
          <w:b/>
          <w:bCs/>
          <w:lang w:val="en-US" w:eastAsia="zh-CN"/>
        </w:rPr>
        <w:t>7</w:t>
      </w:r>
      <w:r>
        <w:t xml:space="preserve"> 承办方应服从发包方对临时水电接驳及场地的管理；</w:t>
      </w:r>
    </w:p>
    <w:p>
      <w:pPr>
        <w:ind w:firstLine="422"/>
      </w:pPr>
      <w:r>
        <w:rPr>
          <w:rFonts w:ascii="Times New Roman" w:hAnsi="Times New Roman" w:eastAsia="Times New Roman"/>
          <w:b/>
          <w:bCs/>
        </w:rPr>
        <w:t>10.</w:t>
      </w:r>
      <w:r>
        <w:rPr>
          <w:rFonts w:hint="eastAsia" w:ascii="Times New Roman" w:hAnsi="Times New Roman" w:eastAsia="宋体"/>
          <w:b/>
          <w:bCs/>
          <w:lang w:val="en-US" w:eastAsia="zh-CN"/>
        </w:rPr>
        <w:t>8</w:t>
      </w:r>
      <w:r>
        <w:t xml:space="preserve"> 承包方需提供相应的施工设备用电功率报批发包方，并在发包方指定电箱位置接电施工。</w:t>
      </w:r>
    </w:p>
    <w:p>
      <w:pPr>
        <w:ind w:firstLine="422"/>
      </w:pPr>
      <w:r>
        <w:rPr>
          <w:rFonts w:ascii="Times New Roman" w:hAnsi="Times New Roman" w:eastAsia="Times New Roman"/>
          <w:b/>
          <w:bCs/>
        </w:rPr>
        <w:t>10.</w:t>
      </w:r>
      <w:r>
        <w:rPr>
          <w:rFonts w:hint="eastAsia" w:ascii="Times New Roman" w:hAnsi="Times New Roman" w:eastAsia="宋体"/>
          <w:b/>
          <w:bCs/>
          <w:lang w:val="en-US" w:eastAsia="zh-CN"/>
        </w:rPr>
        <w:t>9</w:t>
      </w:r>
      <w:r>
        <w:t>工地现场大面积施工作业用照明、及局部细部照明均由承包商自行解决，包括但不限于电箱、电线、照明灯具等。</w:t>
      </w:r>
    </w:p>
    <w:p>
      <w:pPr>
        <w:ind w:firstLine="422"/>
        <w:rPr>
          <w:rFonts w:ascii="微软雅黑" w:hAnsi="微软雅黑" w:eastAsia="微软雅黑"/>
        </w:rPr>
      </w:pPr>
      <w:r>
        <w:rPr>
          <w:rFonts w:ascii="Times New Roman" w:hAnsi="Times New Roman" w:eastAsia="Times New Roman"/>
          <w:b/>
          <w:bCs/>
        </w:rPr>
        <w:t>10.1</w:t>
      </w:r>
      <w:r>
        <w:rPr>
          <w:rFonts w:hint="eastAsia" w:ascii="Times New Roman" w:hAnsi="Times New Roman" w:eastAsia="宋体"/>
          <w:b/>
          <w:bCs/>
          <w:lang w:val="en-US" w:eastAsia="zh-CN"/>
        </w:rPr>
        <w:t>0</w:t>
      </w:r>
      <w:r>
        <w:rPr>
          <w:rFonts w:ascii="Times New Roman" w:hAnsi="Times New Roman" w:eastAsia="Times New Roman"/>
          <w:b/>
          <w:bCs/>
        </w:rPr>
        <w:t xml:space="preserve"> </w:t>
      </w:r>
      <w:r>
        <w:t>电工</w:t>
      </w:r>
      <w:r>
        <w:rPr>
          <w:rFonts w:hint="eastAsia"/>
        </w:rPr>
        <w:t>、</w:t>
      </w:r>
      <w:r>
        <w:t>电焊工等特殊作业，承包方工人必须持证上岗。一经发现无证上岗等违规操作视情况罚款</w:t>
      </w:r>
      <w:r>
        <w:rPr>
          <w:rFonts w:hint="eastAsia"/>
        </w:rPr>
        <w:t>2</w:t>
      </w:r>
      <w:r>
        <w:t>00-2000元。</w:t>
      </w:r>
    </w:p>
    <w:p>
      <w:pPr>
        <w:ind w:firstLine="420"/>
        <w:rPr>
          <w:rFonts w:ascii="微软雅黑" w:hAnsi="微软雅黑" w:eastAsia="微软雅黑"/>
        </w:rPr>
      </w:pPr>
    </w:p>
    <w:p>
      <w:pPr>
        <w:spacing w:line="360" w:lineRule="exact"/>
        <w:ind w:firstLine="422"/>
        <w:jc w:val="left"/>
        <w:rPr>
          <w:rFonts w:ascii="宋体" w:hAnsi="宋体" w:eastAsia="宋体"/>
          <w:color w:val="000000"/>
          <w:szCs w:val="21"/>
        </w:rPr>
      </w:pPr>
      <w:r>
        <w:rPr>
          <w:rFonts w:ascii="宋体" w:hAnsi="宋体" w:eastAsia="宋体"/>
          <w:b/>
          <w:bCs/>
          <w:color w:val="000000"/>
          <w:szCs w:val="21"/>
        </w:rPr>
        <w:t>第十一条  其他要求</w:t>
      </w:r>
    </w:p>
    <w:p>
      <w:pPr>
        <w:ind w:firstLine="420"/>
      </w:pPr>
      <w:r>
        <w:t xml:space="preserve">    </w:t>
      </w:r>
      <w:r>
        <w:rPr>
          <w:rFonts w:ascii="Times New Roman" w:hAnsi="Times New Roman" w:eastAsia="Times New Roman"/>
          <w:b/>
          <w:bCs/>
        </w:rPr>
        <w:t>11.1</w:t>
      </w:r>
      <w:r>
        <w:t xml:space="preserve"> 承包方应在工程项目开工前</w:t>
      </w:r>
      <w:r>
        <w:rPr>
          <w:rFonts w:hint="eastAsia" w:ascii="Calibri" w:hAnsi="Calibri" w:eastAsia="宋体"/>
          <w:lang w:val="en-US" w:eastAsia="zh-CN"/>
        </w:rPr>
        <w:t>5</w:t>
      </w:r>
      <w:r>
        <w:t>个工作日内，按发包方要求提交施工进度计划、施工技术措施和工程主要负责人名单，其中包括拟派人员上岗证、设备合格证、年审证等证件，如承包方需更换工程主要负责人，应事先书面征得发包方同意。</w:t>
      </w:r>
    </w:p>
    <w:p>
      <w:pPr>
        <w:ind w:firstLine="422"/>
        <w:rPr>
          <w:rFonts w:hint="eastAsia" w:eastAsia="宋体"/>
          <w:lang w:eastAsia="zh-CN"/>
        </w:rPr>
      </w:pPr>
      <w:r>
        <w:rPr>
          <w:rFonts w:ascii="Times New Roman" w:hAnsi="Times New Roman" w:eastAsia="Times New Roman"/>
          <w:b/>
          <w:bCs/>
        </w:rPr>
        <w:t xml:space="preserve">  11.</w:t>
      </w:r>
      <w:r>
        <w:rPr>
          <w:rFonts w:hint="eastAsia" w:ascii="Times New Roman" w:hAnsi="Times New Roman" w:eastAsia="宋体"/>
          <w:b/>
          <w:bCs/>
          <w:lang w:val="en-US" w:eastAsia="zh-CN"/>
        </w:rPr>
        <w:t>2</w:t>
      </w:r>
      <w:r>
        <w:t xml:space="preserve"> 当发包方要求对已经隐蔽的工程重新检验时，承包方应按要求进行剥离或开孔，并在检验后重新覆盖或修复。</w:t>
      </w:r>
    </w:p>
    <w:p>
      <w:pPr>
        <w:ind w:firstLine="422"/>
      </w:pPr>
      <w:r>
        <w:rPr>
          <w:rFonts w:ascii="Times New Roman" w:hAnsi="Times New Roman" w:eastAsia="Times New Roman"/>
          <w:b/>
          <w:bCs/>
        </w:rPr>
        <w:t xml:space="preserve">  11.</w:t>
      </w:r>
      <w:r>
        <w:rPr>
          <w:rFonts w:hint="eastAsia" w:ascii="Times New Roman" w:hAnsi="Times New Roman" w:eastAsia="宋体"/>
          <w:b/>
          <w:bCs/>
          <w:lang w:val="en-US" w:eastAsia="zh-CN"/>
        </w:rPr>
        <w:t>3</w:t>
      </w:r>
      <w:r>
        <w:t xml:space="preserve"> 承包方应保证不拖欠其雇用职员（含农民工）的工资，对发包方支付的工程款，承包方须优先用于支付工资。</w:t>
      </w:r>
    </w:p>
    <w:p>
      <w:pPr>
        <w:ind w:firstLine="630" w:firstLineChars="300"/>
      </w:pPr>
      <w:r>
        <w:rPr>
          <w:rFonts w:ascii="Times New Roman" w:hAnsi="Times New Roman" w:eastAsia="Times New Roman"/>
          <w:b/>
          <w:bCs/>
        </w:rPr>
        <w:t>11</w:t>
      </w:r>
      <w:r>
        <w:rPr>
          <w:rFonts w:hint="eastAsia" w:ascii="Times New Roman" w:hAnsi="Times New Roman" w:eastAsia="宋体"/>
          <w:b/>
          <w:bCs/>
          <w:lang w:val="en-US" w:eastAsia="zh-CN"/>
        </w:rPr>
        <w:t>.4</w:t>
      </w:r>
      <w:r>
        <w:t xml:space="preserve"> 在施工过程中要求同步进行编制、收集、整理施工资料，工程完工后，承包方向发包方提交完整的工程资料及影像资料。</w:t>
      </w:r>
    </w:p>
    <w:p>
      <w:pPr>
        <w:ind w:firstLine="630" w:firstLineChars="300"/>
        <w:rPr>
          <w:rFonts w:hint="default" w:eastAsia="宋体"/>
          <w:b w:val="0"/>
          <w:bCs w:val="0"/>
          <w:lang w:val="en-US" w:eastAsia="zh-CN"/>
        </w:rPr>
      </w:pPr>
      <w:r>
        <w:rPr>
          <w:rFonts w:ascii="Times New Roman" w:hAnsi="Times New Roman" w:eastAsia="Times New Roman"/>
          <w:b w:val="0"/>
          <w:bCs w:val="0"/>
        </w:rPr>
        <w:t>11.</w:t>
      </w:r>
      <w:r>
        <w:rPr>
          <w:rFonts w:hint="eastAsia" w:ascii="Times New Roman" w:hAnsi="Times New Roman" w:eastAsia="宋体"/>
          <w:b w:val="0"/>
          <w:bCs w:val="0"/>
          <w:lang w:val="en-US" w:eastAsia="zh-CN"/>
        </w:rPr>
        <w:t>5 本项目工人住宿由乙方自己解决，施工场地内卫生每日安排1人打扫，由乙方负责（包含施工现场、施工道路、厕所）。</w:t>
      </w:r>
    </w:p>
    <w:p>
      <w:pPr>
        <w:ind w:left="0" w:leftChars="0" w:firstLine="0" w:firstLineChars="0"/>
        <w:jc w:val="left"/>
        <w:rPr>
          <w:rFonts w:ascii="微软雅黑" w:hAnsi="微软雅黑" w:eastAsia="微软雅黑"/>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56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19</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20"/>
      </w:pPr>
      <w:r>
        <w:separator/>
      </w:r>
    </w:p>
  </w:footnote>
  <w:footnote w:type="continuationSeparator" w:id="1">
    <w:p>
      <w:pPr>
        <w:spacing w:line="30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lef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4D17"/>
    <w:rsid w:val="000845EF"/>
    <w:rsid w:val="000C51B7"/>
    <w:rsid w:val="00105F7B"/>
    <w:rsid w:val="00112B34"/>
    <w:rsid w:val="00167FBE"/>
    <w:rsid w:val="001921B7"/>
    <w:rsid w:val="001E3DC7"/>
    <w:rsid w:val="00210EC6"/>
    <w:rsid w:val="00216EB9"/>
    <w:rsid w:val="002D5D33"/>
    <w:rsid w:val="00352E5C"/>
    <w:rsid w:val="00435ADA"/>
    <w:rsid w:val="00451BFF"/>
    <w:rsid w:val="00482A9F"/>
    <w:rsid w:val="004C73AF"/>
    <w:rsid w:val="00522BAA"/>
    <w:rsid w:val="0059531B"/>
    <w:rsid w:val="00616505"/>
    <w:rsid w:val="0062213C"/>
    <w:rsid w:val="00633F40"/>
    <w:rsid w:val="006549AD"/>
    <w:rsid w:val="00684D9C"/>
    <w:rsid w:val="00687EC7"/>
    <w:rsid w:val="00792EAD"/>
    <w:rsid w:val="00881714"/>
    <w:rsid w:val="00894080"/>
    <w:rsid w:val="009076E9"/>
    <w:rsid w:val="00952EBC"/>
    <w:rsid w:val="00973F61"/>
    <w:rsid w:val="00A52E1D"/>
    <w:rsid w:val="00A60633"/>
    <w:rsid w:val="00A93BA2"/>
    <w:rsid w:val="00B40F44"/>
    <w:rsid w:val="00BA0C1A"/>
    <w:rsid w:val="00C061CB"/>
    <w:rsid w:val="00C53889"/>
    <w:rsid w:val="00C604EC"/>
    <w:rsid w:val="00C6308B"/>
    <w:rsid w:val="00C8677F"/>
    <w:rsid w:val="00D815AE"/>
    <w:rsid w:val="00E26251"/>
    <w:rsid w:val="00EA1EE8"/>
    <w:rsid w:val="00F17F3E"/>
    <w:rsid w:val="00F53662"/>
    <w:rsid w:val="00FD74F3"/>
    <w:rsid w:val="06F83A18"/>
    <w:rsid w:val="083D07F0"/>
    <w:rsid w:val="084167E8"/>
    <w:rsid w:val="0A5B4621"/>
    <w:rsid w:val="104C1CDA"/>
    <w:rsid w:val="105E3B74"/>
    <w:rsid w:val="15CC1D80"/>
    <w:rsid w:val="16CF416D"/>
    <w:rsid w:val="17ED37A6"/>
    <w:rsid w:val="18317CD9"/>
    <w:rsid w:val="1B6026AB"/>
    <w:rsid w:val="1B625E7E"/>
    <w:rsid w:val="1C2C4424"/>
    <w:rsid w:val="1CD54CE6"/>
    <w:rsid w:val="1DEC38DC"/>
    <w:rsid w:val="228A175C"/>
    <w:rsid w:val="25164B1B"/>
    <w:rsid w:val="2615093B"/>
    <w:rsid w:val="27237898"/>
    <w:rsid w:val="272F0135"/>
    <w:rsid w:val="2D506ED4"/>
    <w:rsid w:val="2F846CA4"/>
    <w:rsid w:val="30456175"/>
    <w:rsid w:val="354E4284"/>
    <w:rsid w:val="36772279"/>
    <w:rsid w:val="38BA4D63"/>
    <w:rsid w:val="3A371D57"/>
    <w:rsid w:val="3ABA2F61"/>
    <w:rsid w:val="41170A1C"/>
    <w:rsid w:val="434067C1"/>
    <w:rsid w:val="44130DFC"/>
    <w:rsid w:val="4473664A"/>
    <w:rsid w:val="486E27DA"/>
    <w:rsid w:val="5324069B"/>
    <w:rsid w:val="55E353AC"/>
    <w:rsid w:val="568D20C3"/>
    <w:rsid w:val="585B1A8B"/>
    <w:rsid w:val="5CD23479"/>
    <w:rsid w:val="5DD40392"/>
    <w:rsid w:val="5EF72992"/>
    <w:rsid w:val="674F60C0"/>
    <w:rsid w:val="6BD20E19"/>
    <w:rsid w:val="6EAF13B0"/>
    <w:rsid w:val="71061E72"/>
    <w:rsid w:val="717B5AE0"/>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pPr>
  </w:style>
  <w:style w:type="paragraph" w:customStyle="1" w:styleId="10">
    <w:name w:val="Body text|1"/>
    <w:basedOn w:val="1"/>
    <w:qFormat/>
    <w:uiPriority w:val="0"/>
    <w:pPr>
      <w:spacing w:line="425" w:lineRule="auto"/>
      <w:ind w:firstLine="400"/>
    </w:pPr>
    <w:rPr>
      <w:rFonts w:ascii="宋体" w:hAnsi="宋体" w:eastAsia="宋体" w:cs="宋体"/>
      <w:sz w:val="22"/>
      <w:lang w:val="zh-TW" w:eastAsia="zh-TW" w:bidi="zh-TW"/>
    </w:rPr>
  </w:style>
  <w:style w:type="paragraph" w:customStyle="1" w:styleId="11">
    <w:name w:val="表格-居中"/>
    <w:link w:val="12"/>
    <w:qFormat/>
    <w:uiPriority w:val="0"/>
    <w:pPr>
      <w:spacing w:line="360" w:lineRule="auto"/>
      <w:jc w:val="center"/>
    </w:pPr>
    <w:rPr>
      <w:rFonts w:asciiTheme="minorHAnsi" w:hAnsiTheme="minorHAnsi" w:eastAsiaTheme="minorEastAsia" w:cstheme="minorBidi"/>
      <w:kern w:val="2"/>
      <w:sz w:val="21"/>
      <w:szCs w:val="22"/>
      <w:lang w:val="en-US" w:eastAsia="zh-CN" w:bidi="ar-SA"/>
    </w:rPr>
  </w:style>
  <w:style w:type="character" w:customStyle="1" w:styleId="12">
    <w:name w:val="表格-居中 字符"/>
    <w:basedOn w:val="6"/>
    <w:link w:val="11"/>
    <w:qFormat/>
    <w:uiPriority w:val="0"/>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1172</Words>
  <Characters>1221</Characters>
  <Lines>163</Lines>
  <Paragraphs>46</Paragraphs>
  <TotalTime>98</TotalTime>
  <ScaleCrop>false</ScaleCrop>
  <LinksUpToDate>false</LinksUpToDate>
  <CharactersWithSpaces>1246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李康天</cp:lastModifiedBy>
  <dcterms:modified xsi:type="dcterms:W3CDTF">2026-03-25T10:05:49Z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eyJoZGlkIjoiNDY5Y2U3NjEwMWM5YmY1MGZiMDNkNzcyODNhZDRmZTAiLCJ1c2VySWQiOiIzMDcwNzQwNjUifQ==</vt:lpwstr>
  </property>
  <property fmtid="{D5CDD505-2E9C-101B-9397-08002B2CF9AE}" pid="4" name="ICV">
    <vt:lpwstr>2620EDFD0AAA486C9E0B867754C4CF1D_13</vt:lpwstr>
  </property>
</Properties>
</file>