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梅华城市花园足球场垫层修复材料采购</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（珠海正方公共资源运营有限公司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4</w:t>
      </w:r>
      <w:r>
        <w:rPr>
          <w:rFonts w:hint="default" w:ascii="Times New Roman" w:hAnsi="Times New Roman" w:cs="Times New Roman"/>
          <w:b/>
          <w:bCs/>
          <w:color w:val="auto"/>
          <w:sz w:val="32"/>
          <w:szCs w:val="32"/>
          <w:u w:val="thick"/>
        </w:rPr>
        <w:t>月</w:t>
      </w:r>
      <w:r>
        <w:rPr>
          <w:rFonts w:hint="eastAsia" w:cs="Times New Roman"/>
          <w:b/>
          <w:bCs/>
          <w:color w:val="auto"/>
          <w:sz w:val="32"/>
          <w:szCs w:val="32"/>
          <w:u w:val="thick"/>
          <w:lang w:val="en-US" w:eastAsia="zh-CN"/>
        </w:rPr>
        <w:t xml:space="preserve"> 8</w:t>
      </w:r>
      <w:bookmarkStart w:id="95" w:name="_GoBack"/>
      <w:bookmarkEnd w:id="95"/>
      <w:r>
        <w:rPr>
          <w:rFonts w:hint="eastAsia" w:cs="Times New Roman"/>
          <w:b/>
          <w:bCs/>
          <w:color w:val="auto"/>
          <w:sz w:val="32"/>
          <w:szCs w:val="32"/>
          <w:u w:val="thick"/>
          <w:lang w:val="en-US" w:eastAsia="zh-CN"/>
        </w:rPr>
        <w:t xml:space="preserve"> 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珠海正方公共资源运营有限公司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r>
        <w:rPr>
          <w:rFonts w:hint="eastAsia" w:cs="Times New Roman"/>
          <w:b w:val="0"/>
          <w:bCs w:val="0"/>
          <w:color w:val="auto"/>
          <w:sz w:val="24"/>
          <w:lang w:val="en-US" w:eastAsia="zh-CN"/>
        </w:rPr>
        <w:t>因梅华城市花园足球场基础垫层损毁，现需采购材料用于修复，其中包括复合普通硅酸盐水泥及河沙。</w:t>
      </w:r>
    </w:p>
    <w:p>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eastAsia="zh-CN"/>
        </w:rPr>
        <w:t>壹万零肆佰肆拾元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10440.00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eastAsia" w:cs="Times New Roman"/>
          <w:color w:val="auto"/>
          <w:sz w:val="24"/>
          <w:u w:val="none"/>
          <w:lang w:eastAsia="zh-CN"/>
        </w:rPr>
        <w:t>壹万零肆佰肆拾元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10440.00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梅华城市花园足球场垫层修复材料采购</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keepNext w:val="0"/>
        <w:keepLines w:val="0"/>
        <w:pageBreakBefore w:val="0"/>
        <w:widowControl w:val="0"/>
        <w:kinsoku/>
        <w:wordWrap/>
        <w:overflowPunct/>
        <w:topLinePunct w:val="0"/>
        <w:bidi w:val="0"/>
        <w:snapToGrid/>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w:t>
      </w:r>
      <w:r>
        <w:rPr>
          <w:rFonts w:hint="eastAsia" w:cs="Times New Roman"/>
          <w:b w:val="0"/>
          <w:bCs w:val="0"/>
          <w:color w:val="auto"/>
          <w:sz w:val="24"/>
          <w:lang w:val="en-US" w:eastAsia="zh-CN"/>
        </w:rPr>
        <w:t>.</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必须是在中华人民共和国境内注册的、具有独立承担民事责任能力的企业法人或其他组织；</w:t>
      </w:r>
    </w:p>
    <w:p>
      <w:pPr>
        <w:keepNext w:val="0"/>
        <w:keepLines w:val="0"/>
        <w:pageBreakBefore w:val="0"/>
        <w:widowControl w:val="0"/>
        <w:kinsoku/>
        <w:wordWrap/>
        <w:overflowPunct/>
        <w:topLinePunct w:val="0"/>
        <w:bidi w:val="0"/>
        <w:snapToGrid/>
        <w:spacing w:beforeLines="0" w:afterLines="0" w:line="48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供应商未被列入</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信用中国</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网站(www.creditchina.gov.cn)</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记录失信被执行人或重大税收违法失信主体或政府采购严重违法失信行为</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记录名单</w:t>
      </w:r>
      <w:r>
        <w:rPr>
          <w:rFonts w:hint="eastAsia" w:cs="Times New Roman"/>
          <w:b w:val="0"/>
          <w:bCs w:val="0"/>
          <w:color w:val="auto"/>
          <w:kern w:val="2"/>
          <w:sz w:val="24"/>
          <w:szCs w:val="24"/>
          <w:lang w:val="en-US" w:eastAsia="zh-CN" w:bidi="ar-SA"/>
        </w:rPr>
        <w:t>；</w:t>
      </w:r>
    </w:p>
    <w:p>
      <w:pPr>
        <w:pStyle w:val="6"/>
        <w:keepNext w:val="0"/>
        <w:keepLines w:val="0"/>
        <w:pageBreakBefore w:val="0"/>
        <w:widowControl w:val="0"/>
        <w:kinsoku/>
        <w:wordWrap/>
        <w:overflowPunct/>
        <w:topLinePunct w:val="0"/>
        <w:bidi w:val="0"/>
        <w:snapToGrid/>
        <w:spacing w:line="480" w:lineRule="auto"/>
        <w:ind w:firstLine="480" w:firstLineChars="200"/>
        <w:rPr>
          <w:rFonts w:hint="default"/>
          <w:lang w:val="en-US" w:eastAsia="zh-CN"/>
        </w:rPr>
      </w:pPr>
      <w:r>
        <w:rPr>
          <w:rFonts w:hint="eastAsia" w:ascii="Times New Roman" w:cs="Times New Roman"/>
          <w:b w:val="0"/>
          <w:bCs w:val="0"/>
          <w:color w:val="auto"/>
          <w:kern w:val="2"/>
          <w:sz w:val="24"/>
          <w:szCs w:val="24"/>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自公告发布之日起近3年具备3个或以上水泥或河沙材料供应项目业绩；</w:t>
      </w:r>
    </w:p>
    <w:p>
      <w:pPr>
        <w:keepNext w:val="0"/>
        <w:keepLines w:val="0"/>
        <w:pageBreakBefore w:val="0"/>
        <w:widowControl w:val="0"/>
        <w:kinsoku/>
        <w:wordWrap/>
        <w:overflowPunct/>
        <w:topLinePunct w:val="0"/>
        <w:bidi w:val="0"/>
        <w:snapToGrid/>
        <w:spacing w:beforeLines="0" w:afterLines="0" w:line="48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kern w:val="2"/>
          <w:sz w:val="24"/>
          <w:szCs w:val="24"/>
          <w:lang w:val="en-US" w:eastAsia="zh-CN" w:bidi="ar-SA"/>
        </w:rPr>
        <w:t>未被纳入正方集团</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黑名单</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w:t>
      </w:r>
    </w:p>
    <w:p>
      <w:pPr>
        <w:keepNext w:val="0"/>
        <w:keepLines w:val="0"/>
        <w:pageBreakBefore w:val="0"/>
        <w:widowControl w:val="0"/>
        <w:kinsoku/>
        <w:wordWrap/>
        <w:overflowPunct/>
        <w:topLinePunct w:val="0"/>
        <w:bidi w:val="0"/>
        <w:snapToGrid/>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5.</w:t>
      </w:r>
      <w:r>
        <w:rPr>
          <w:rFonts w:hint="default" w:ascii="Times New Roman" w:hAnsi="Times New Roman" w:eastAsia="宋体" w:cs="Times New Roman"/>
          <w:b w:val="0"/>
          <w:bCs w:val="0"/>
          <w:color w:val="auto"/>
          <w:sz w:val="24"/>
        </w:rPr>
        <w:t>与其他</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不存在单位负责人为同一人或者存在控股、管理关系；</w:t>
      </w:r>
    </w:p>
    <w:p>
      <w:pPr>
        <w:keepNext w:val="0"/>
        <w:keepLines w:val="0"/>
        <w:pageBreakBefore w:val="0"/>
        <w:widowControl w:val="0"/>
        <w:kinsoku/>
        <w:wordWrap/>
        <w:overflowPunct/>
        <w:topLinePunct w:val="0"/>
        <w:bidi w:val="0"/>
        <w:snapToGrid/>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6.</w:t>
      </w:r>
      <w:r>
        <w:rPr>
          <w:rFonts w:hint="default" w:ascii="Times New Roman" w:hAnsi="Times New Roman" w:eastAsia="宋体" w:cs="Times New Roman"/>
          <w:b w:val="0"/>
          <w:bCs w:val="0"/>
          <w:color w:val="auto"/>
          <w:sz w:val="24"/>
        </w:rPr>
        <w:t>本项目不接受联合体投标；</w:t>
      </w:r>
    </w:p>
    <w:p>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pPr>
        <w:pStyle w:val="7"/>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pPr>
        <w:pStyle w:val="6"/>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4</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 10 </w:t>
      </w:r>
      <w:r>
        <w:rPr>
          <w:rFonts w:hint="default" w:ascii="Times New Roman" w:hAnsi="Times New Roman" w:eastAsia="宋体" w:cs="Times New Roman"/>
          <w:color w:val="auto"/>
          <w:sz w:val="24"/>
        </w:rPr>
        <w:t>日 1</w:t>
      </w:r>
      <w:r>
        <w:rPr>
          <w:rFonts w:hint="eastAsia" w:cs="Times New Roman"/>
          <w:color w:val="auto"/>
          <w:sz w:val="24"/>
          <w:lang w:val="en-US" w:eastAsia="zh-CN"/>
        </w:rPr>
        <w:t>7:3</w:t>
      </w:r>
      <w:r>
        <w:rPr>
          <w:rFonts w:hint="default" w:ascii="Times New Roman" w:hAnsi="Times New Roman" w:eastAsia="宋体" w:cs="Times New Roman"/>
          <w:color w:val="auto"/>
          <w:sz w:val="24"/>
        </w:rPr>
        <w:t>0（北京时间）；</w:t>
      </w:r>
    </w:p>
    <w:permEnd w:id="5"/>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eastAsia="zh-CN"/>
        </w:rPr>
        <w:t>梅华城市花园足球场垫层修复材料采购</w:t>
      </w:r>
      <w:r>
        <w:rPr>
          <w:rFonts w:hint="default" w:ascii="Times New Roman" w:hAnsi="Times New Roman" w:eastAsia="宋体" w:cs="Times New Roman"/>
          <w:color w:val="auto"/>
          <w:sz w:val="24"/>
        </w:rPr>
        <w:t>+</w:t>
      </w:r>
      <w:r>
        <w:rPr>
          <w:rFonts w:hint="eastAsia" w:cs="Times New Roman"/>
          <w:color w:val="auto"/>
          <w:sz w:val="24"/>
          <w:lang w:val="en-US" w:eastAsia="zh-CN"/>
        </w:rPr>
        <w:t>许工</w:t>
      </w:r>
      <w:permEnd w:id="6"/>
      <w:r>
        <w:rPr>
          <w:rFonts w:hint="default" w:ascii="Times New Roman" w:hAnsi="Times New Roman" w:eastAsia="宋体" w:cs="Times New Roman"/>
          <w:color w:val="auto"/>
          <w:sz w:val="24"/>
        </w:rPr>
        <w:t>）。</w:t>
      </w:r>
    </w:p>
    <w:p>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eastAsia="zh-CN"/>
        </w:rPr>
        <w:t>采购人</w:t>
      </w:r>
      <w:r>
        <w:rPr>
          <w:rFonts w:hint="default" w:ascii="Times New Roman" w:hAnsi="Times New Roman" w:eastAsia="宋体" w:cs="Times New Roman"/>
          <w:color w:val="auto"/>
          <w:sz w:val="24"/>
        </w:rPr>
        <w:t>将予以拒收。</w:t>
      </w:r>
    </w:p>
    <w:p>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联系方式</w:t>
      </w:r>
      <w:bookmarkEnd w:id="1"/>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珠海市香洲区卫康路199号香洲创港中心17栋14楼。</w:t>
      </w:r>
    </w:p>
    <w:p>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7" w:edGrp="everyone"/>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许</w:t>
      </w:r>
      <w:r>
        <w:rPr>
          <w:rFonts w:hint="eastAsia" w:cs="Times New Roman"/>
          <w:color w:val="auto"/>
          <w:sz w:val="24"/>
          <w:szCs w:val="24"/>
          <w:lang w:val="en-US" w:eastAsia="zh-CN"/>
        </w:rPr>
        <w:t>工15989798246</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珠海正方公共资源运营有限公司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2026年4月 </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 xml:space="preserve"> 日</w:t>
      </w: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9199"/>
      <w:bookmarkStart w:id="3" w:name="_Toc15547"/>
      <w:bookmarkStart w:id="4" w:name="_Toc27664"/>
      <w:r>
        <w:rPr>
          <w:rFonts w:hint="eastAsia" w:ascii="宋体" w:hAnsi="宋体" w:eastAsia="宋体"/>
          <w:lang w:eastAsia="zh-CN"/>
        </w:rPr>
        <w:t>报价文件格式</w:t>
      </w:r>
      <w:bookmarkEnd w:id="2"/>
      <w:bookmarkEnd w:id="3"/>
      <w:bookmarkEnd w:id="4"/>
      <w:bookmarkStart w:id="5" w:name="_Toc503427708"/>
      <w:bookmarkStart w:id="6" w:name="_Toc276645578"/>
    </w:p>
    <w:p>
      <w:pPr>
        <w:pStyle w:val="4"/>
        <w:spacing w:line="360" w:lineRule="auto"/>
        <w:rPr>
          <w:rFonts w:hint="eastAsia" w:ascii="黑体" w:hAnsi="黑体" w:eastAsia="黑体" w:cs="黑体"/>
          <w:b/>
          <w:bCs w:val="0"/>
          <w:sz w:val="28"/>
          <w:szCs w:val="28"/>
        </w:rPr>
      </w:pPr>
      <w:bookmarkStart w:id="7" w:name="_Toc202254105"/>
      <w:bookmarkStart w:id="8" w:name="_Toc202816996"/>
      <w:bookmarkStart w:id="9" w:name="_Toc202820351"/>
      <w:bookmarkStart w:id="10" w:name="_Toc698"/>
      <w:bookmarkStart w:id="11" w:name="_Toc15317"/>
      <w:bookmarkStart w:id="12" w:name="_Toc202251075"/>
      <w:bookmarkStart w:id="13" w:name="_Toc202819878"/>
      <w:bookmarkStart w:id="14" w:name="_Toc259090982"/>
      <w:bookmarkStart w:id="15" w:name="_Toc17685"/>
      <w:bookmarkStart w:id="16" w:name="_Toc202251700"/>
      <w:bookmarkStart w:id="17" w:name="_Toc503427710"/>
      <w:bookmarkStart w:id="18" w:name="_Toc202252034"/>
      <w:bookmarkStart w:id="19" w:name="_Toc16107"/>
      <w:bookmarkStart w:id="20" w:name="_Toc276645579"/>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76645580"/>
      <w:bookmarkStart w:id="22" w:name="_Toc32660"/>
      <w:bookmarkStart w:id="23" w:name="_Toc24181"/>
      <w:bookmarkStart w:id="24" w:name="_Toc503427711"/>
      <w:bookmarkStart w:id="25" w:name="_Toc13089"/>
      <w:bookmarkStart w:id="26" w:name="_Toc259090983"/>
      <w:bookmarkStart w:id="27" w:name="_Toc20366"/>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梅华城市花园足球场垫层修复材料采购</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hint="eastAsia" w:ascii="宋体" w:hAnsi="宋体" w:eastAsia="宋体"/>
          <w:sz w:val="28"/>
          <w:lang w:val="en-US" w:eastAsia="zh-CN"/>
        </w:rPr>
      </w:pPr>
      <w:bookmarkStart w:id="29" w:name="_Toc19817"/>
      <w:bookmarkStart w:id="30" w:name="_Toc17080"/>
      <w:bookmarkStart w:id="31" w:name="_Toc19171"/>
      <w:bookmarkStart w:id="32" w:name="_Toc528"/>
      <w:bookmarkStart w:id="33" w:name="_Toc27591"/>
      <w:bookmarkStart w:id="34" w:name="_Toc503427713"/>
      <w:r>
        <w:rPr>
          <w:rFonts w:hint="eastAsia" w:ascii="宋体" w:hAnsi="宋体" w:eastAsia="宋体"/>
          <w:sz w:val="28"/>
          <w:lang w:val="en-US" w:eastAsia="zh-CN"/>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梅华城市花园足球场垫层修复材料采购</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未被列入“信用中国”网站(www.creditchina.gov.cn)“记录失信被执行人或重大税收违法失信主体或政府采购严重违法失信行为”记录名单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35" w:name="_Toc5048"/>
      <w:bookmarkStart w:id="36" w:name="_Toc10585"/>
      <w:bookmarkStart w:id="37" w:name="_Toc14285"/>
      <w:bookmarkStart w:id="38" w:name="_Toc24356"/>
      <w:bookmarkStart w:id="39" w:name="_Toc10559"/>
      <w:bookmarkStart w:id="40" w:name="_Toc24969"/>
      <w:bookmarkStart w:id="41" w:name="_Toc19796"/>
      <w:bookmarkStart w:id="42" w:name="_Toc6220"/>
      <w:bookmarkStart w:id="43" w:name="_Toc26971"/>
      <w:bookmarkStart w:id="44" w:name="_Toc31767"/>
      <w:bookmarkStart w:id="45" w:name="_Toc13922"/>
      <w:bookmarkStart w:id="46" w:name="_Toc9476"/>
      <w:bookmarkStart w:id="47" w:name="_Toc32141"/>
      <w:bookmarkStart w:id="48" w:name="_Toc31877"/>
      <w:bookmarkStart w:id="49" w:name="_Toc15464"/>
      <w:bookmarkStart w:id="50" w:name="_Toc19969"/>
      <w:bookmarkStart w:id="51" w:name="_Toc4726"/>
      <w:bookmarkStart w:id="52" w:name="_Toc503427714"/>
      <w:bookmarkStart w:id="53" w:name="_Toc32498"/>
      <w:bookmarkStart w:id="54" w:name="_Toc6275"/>
      <w:bookmarkStart w:id="55" w:name="_Toc27468"/>
      <w:bookmarkStart w:id="56" w:name="_Toc4427"/>
      <w:bookmarkStart w:id="57" w:name="_Toc276645583"/>
      <w:bookmarkStart w:id="58" w:name="_Toc264628882"/>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baseline"/>
        <w:rPr>
          <w:rFonts w:hint="eastAsia"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59" w:name="_Toc10726"/>
      <w:bookmarkStart w:id="60" w:name="_Toc7304"/>
      <w:bookmarkStart w:id="61" w:name="_Toc5662"/>
      <w:bookmarkStart w:id="62" w:name="_Toc6669"/>
      <w:bookmarkStart w:id="63" w:name="_Toc5278"/>
      <w:bookmarkStart w:id="64" w:name="_Toc500"/>
      <w:bookmarkStart w:id="65" w:name="_Toc29470"/>
      <w:bookmarkStart w:id="66" w:name="_Toc3193"/>
      <w:bookmarkStart w:id="67" w:name="_Toc30192"/>
      <w:bookmarkStart w:id="68" w:name="_Toc22499"/>
      <w:bookmarkStart w:id="69" w:name="_Toc113"/>
      <w:bookmarkStart w:id="70" w:name="_Toc32145"/>
      <w:bookmarkStart w:id="71" w:name="_Toc16860"/>
      <w:bookmarkStart w:id="72" w:name="_Toc2576"/>
      <w:bookmarkStart w:id="73" w:name="_Toc24446"/>
      <w:bookmarkStart w:id="74" w:name="_Toc9094"/>
      <w:r>
        <w:rPr>
          <w:rFonts w:hint="eastAsia" w:ascii="宋体" w:hAnsi="宋体" w:eastAsia="宋体"/>
          <w:sz w:val="28"/>
          <w:lang w:val="en-US" w:eastAsia="zh-CN"/>
        </w:rPr>
        <w:t>1.3.</w:t>
      </w:r>
      <w:bookmarkEnd w:id="59"/>
      <w:bookmarkEnd w:id="60"/>
      <w:bookmarkEnd w:id="61"/>
      <w:bookmarkStart w:id="75" w:name="_Toc28886"/>
      <w:bookmarkStart w:id="76" w:name="_Toc29247"/>
      <w:bookmarkStart w:id="77" w:name="_Toc17294"/>
      <w:r>
        <w:rPr>
          <w:rFonts w:hint="eastAsia" w:ascii="宋体" w:hAnsi="宋体" w:eastAsia="宋体"/>
          <w:sz w:val="28"/>
          <w:lang w:val="en-US" w:eastAsia="zh-CN"/>
        </w:rPr>
        <w:t>2信用信息</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sz w:val="22"/>
          <w:szCs w:val="22"/>
          <w:lang w:val="en-US" w:eastAsia="zh-CN"/>
        </w:rPr>
      </w:pPr>
      <w:r>
        <w:rPr>
          <w:rFonts w:hint="eastAsia"/>
          <w:b/>
          <w:bCs/>
          <w:sz w:val="22"/>
          <w:szCs w:val="22"/>
          <w:lang w:val="en-US" w:eastAsia="zh-CN"/>
        </w:rPr>
        <w:t>未被列入“信用中国”网站(www.creditchina.gov.cn)“记录失信被执行人或重大税收违法失信主体或政府采购严重违法失信行为”记录名单证明文件</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5"/>
        <w:spacing w:before="100" w:after="100" w:line="360" w:lineRule="auto"/>
        <w:rPr>
          <w:rFonts w:hint="eastAsia" w:ascii="宋体" w:hAnsi="宋体" w:eastAsia="宋体"/>
          <w:sz w:val="28"/>
          <w:lang w:val="en-US" w:eastAsia="zh-CN"/>
        </w:rPr>
      </w:pPr>
      <w:r>
        <w:rPr>
          <w:rFonts w:hint="eastAsia" w:ascii="宋体" w:hAnsi="宋体"/>
          <w:sz w:val="28"/>
          <w:lang w:val="en-US" w:eastAsia="zh-CN"/>
        </w:rPr>
        <w:br w:type="page"/>
      </w:r>
      <w:bookmarkStart w:id="78" w:name="_Toc21911"/>
      <w:r>
        <w:rPr>
          <w:rFonts w:hint="eastAsia" w:ascii="宋体" w:hAnsi="宋体" w:eastAsia="宋体"/>
          <w:sz w:val="28"/>
          <w:lang w:val="en-US" w:eastAsia="zh-CN"/>
        </w:rPr>
        <w:t xml:space="preserve">1.3.3 </w:t>
      </w:r>
      <w:bookmarkEnd w:id="78"/>
      <w:r>
        <w:rPr>
          <w:rFonts w:hint="eastAsia" w:ascii="宋体" w:hAnsi="宋体" w:eastAsia="宋体"/>
          <w:sz w:val="28"/>
          <w:lang w:val="en-US" w:eastAsia="zh-CN"/>
        </w:rPr>
        <w:t>相关业绩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8"/>
          <w:sz w:val="24"/>
          <w:szCs w:val="24"/>
          <w:lang w:val="en-US" w:eastAsia="zh-CN" w:bidi="ar-SA"/>
        </w:rPr>
      </w:pPr>
      <w:r>
        <w:rPr>
          <w:rFonts w:hint="eastAsia" w:ascii="宋体" w:hAnsi="宋体" w:eastAsia="宋体" w:cs="宋体"/>
          <w:kern w:val="28"/>
          <w:sz w:val="24"/>
          <w:szCs w:val="24"/>
          <w:lang w:val="en-US" w:eastAsia="zh-CN" w:bidi="ar-SA"/>
        </w:rPr>
        <w:t>投标供应商提供合同或采购订单</w:t>
      </w:r>
      <w:r>
        <w:rPr>
          <w:rFonts w:hint="eastAsia" w:ascii="宋体" w:hAnsi="宋体" w:cs="宋体"/>
          <w:kern w:val="28"/>
          <w:sz w:val="24"/>
          <w:szCs w:val="24"/>
          <w:lang w:val="en-US" w:eastAsia="zh-CN" w:bidi="ar-SA"/>
        </w:rPr>
        <w:t>截图</w:t>
      </w:r>
      <w:r>
        <w:rPr>
          <w:rFonts w:hint="eastAsia" w:ascii="宋体" w:hAnsi="宋体" w:eastAsia="宋体" w:cs="宋体"/>
          <w:kern w:val="28"/>
          <w:sz w:val="24"/>
          <w:szCs w:val="24"/>
          <w:lang w:val="en-US" w:eastAsia="zh-CN" w:bidi="ar-SA"/>
        </w:rPr>
        <w:t>，要求有采购方</w:t>
      </w:r>
      <w:r>
        <w:rPr>
          <w:rFonts w:hint="eastAsia" w:ascii="宋体" w:hAnsi="宋体" w:cs="宋体"/>
          <w:kern w:val="28"/>
          <w:sz w:val="24"/>
          <w:szCs w:val="24"/>
          <w:lang w:val="en-US" w:eastAsia="zh-CN" w:bidi="ar-SA"/>
        </w:rPr>
        <w:t>及供货方</w:t>
      </w:r>
      <w:r>
        <w:rPr>
          <w:rFonts w:hint="eastAsia" w:ascii="宋体" w:hAnsi="宋体" w:eastAsia="宋体" w:cs="宋体"/>
          <w:kern w:val="28"/>
          <w:sz w:val="24"/>
          <w:szCs w:val="24"/>
          <w:lang w:val="en-US" w:eastAsia="zh-CN" w:bidi="ar-SA"/>
        </w:rPr>
        <w:t>名称</w:t>
      </w:r>
      <w:r>
        <w:rPr>
          <w:rFonts w:hint="eastAsia" w:ascii="宋体" w:hAnsi="宋体" w:cs="宋体"/>
          <w:kern w:val="28"/>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sz w:val="24"/>
          <w:szCs w:val="24"/>
          <w:lang w:val="en-US" w:eastAsia="zh-CN"/>
        </w:rPr>
      </w:pPr>
      <w:bookmarkStart w:id="79" w:name="_Toc20437"/>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付款银行流水示例：</w:t>
      </w:r>
    </w:p>
    <w:p>
      <w:pPr>
        <w:numPr>
          <w:ilvl w:val="0"/>
          <w:numId w:val="0"/>
        </w:numPr>
        <w:rPr>
          <w:rFonts w:hint="default" w:ascii="宋体" w:hAnsi="宋体" w:eastAsia="宋体" w:cs="宋体"/>
          <w:bCs/>
          <w:sz w:val="28"/>
          <w:szCs w:val="28"/>
          <w:lang w:val="en-US" w:eastAsia="zh-CN"/>
        </w:rPr>
      </w:pPr>
      <w:r>
        <w:drawing>
          <wp:inline distT="0" distB="0" distL="114300" distR="114300">
            <wp:extent cx="5268595" cy="6563995"/>
            <wp:effectExtent l="0" t="0" r="8255"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2"/>
                    <a:stretch>
                      <a:fillRect/>
                    </a:stretch>
                  </pic:blipFill>
                  <pic:spPr>
                    <a:xfrm>
                      <a:off x="0" y="0"/>
                      <a:ext cx="5268595" cy="6563995"/>
                    </a:xfrm>
                    <a:prstGeom prst="rect">
                      <a:avLst/>
                    </a:prstGeom>
                    <a:noFill/>
                    <a:ln>
                      <a:noFill/>
                    </a:ln>
                  </pic:spPr>
                </pic:pic>
              </a:graphicData>
            </a:graphic>
          </wp:inline>
        </w:drawing>
      </w:r>
    </w:p>
    <w:p>
      <w:pPr>
        <w:pStyle w:val="5"/>
        <w:spacing w:before="100" w:after="100" w:line="360" w:lineRule="auto"/>
      </w:pPr>
    </w:p>
    <w:p/>
    <w:p>
      <w:pPr>
        <w:pStyle w:val="2"/>
      </w:pPr>
    </w:p>
    <w:p/>
    <w:p>
      <w:pPr>
        <w:pStyle w:val="2"/>
      </w:pPr>
    </w:p>
    <w:p/>
    <w:p>
      <w:pPr>
        <w:pStyle w:val="5"/>
        <w:spacing w:before="100" w:after="100" w:line="360" w:lineRule="auto"/>
        <w:rPr>
          <w:rFonts w:hint="eastAsia" w:ascii="宋体" w:hAnsi="宋体" w:eastAsia="宋体"/>
          <w:sz w:val="28"/>
          <w:lang w:val="en-US" w:eastAsia="zh-CN"/>
        </w:rPr>
      </w:pPr>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79"/>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珠海正方公共资源运营有限公司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pPr>
      <w:bookmarkStart w:id="80" w:name="_Toc202820355"/>
      <w:bookmarkStart w:id="81" w:name="_Toc202819882"/>
      <w:bookmarkStart w:id="82" w:name="_Toc202251078"/>
      <w:bookmarkStart w:id="83" w:name="_Toc259090996"/>
      <w:bookmarkStart w:id="84" w:name="_Toc29543"/>
      <w:bookmarkStart w:id="85" w:name="_Toc202251703"/>
      <w:bookmarkStart w:id="86" w:name="_Toc202817000"/>
      <w:bookmarkStart w:id="87" w:name="_Toc3330"/>
      <w:bookmarkStart w:id="88" w:name="_Toc202252037"/>
      <w:bookmarkStart w:id="89" w:name="_Toc202254108"/>
      <w:bookmarkStart w:id="90" w:name="_Toc503427721"/>
      <w:bookmarkStart w:id="91" w:name="_Toc21572"/>
      <w:bookmarkStart w:id="92" w:name="_Toc12992"/>
      <w:bookmarkStart w:id="93" w:name="_Toc276645592"/>
      <w:bookmarkStart w:id="94" w:name="_Toc24253"/>
      <w:r>
        <w:rPr>
          <w:rFonts w:hint="eastAsia" w:ascii="黑体" w:hAnsi="黑体" w:cs="黑体"/>
          <w:b/>
          <w:bCs w:val="0"/>
          <w:sz w:val="28"/>
          <w:szCs w:val="28"/>
          <w:lang w:val="en-US" w:eastAsia="zh-CN"/>
        </w:rPr>
        <w:br w:type="page"/>
      </w:r>
    </w:p>
    <w:p>
      <w:pPr>
        <w:pStyle w:val="4"/>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pStyle w:val="5"/>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珠海正方公共资源运营有限公司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梅华城市花园足球场垫层修复材料采购</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pPr>
        <w:spacing w:line="360"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珠海正方公共资源运营有限公司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w:t>
      </w:r>
      <w:r>
        <w:rPr>
          <w:rFonts w:hint="eastAsia" w:cs="Times New Roman"/>
          <w:color w:val="auto"/>
          <w:sz w:val="28"/>
          <w:szCs w:val="28"/>
          <w:lang w:val="en-US" w:eastAsia="zh-CN"/>
        </w:rPr>
        <w:t>梅华城市花园足球场垫层修复材料采购</w:t>
      </w:r>
      <w:r>
        <w:rPr>
          <w:rFonts w:hint="eastAsia" w:cs="Times New Roman"/>
          <w:color w:val="auto"/>
          <w:sz w:val="28"/>
          <w:szCs w:val="28"/>
          <w:lang w:eastAsia="zh-CN"/>
        </w:rPr>
        <w:t>）</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p>
    <w:p>
      <w:pPr>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元 （¥          元）承接</w:t>
      </w:r>
      <w:permStart w:id="12" w:edGrp="everyone"/>
      <w:r>
        <w:rPr>
          <w:rFonts w:hint="eastAsia" w:cs="Times New Roman"/>
          <w:color w:val="auto"/>
          <w:sz w:val="28"/>
          <w:szCs w:val="28"/>
          <w:lang w:eastAsia="zh-CN"/>
        </w:rPr>
        <w:t>（</w:t>
      </w:r>
      <w:r>
        <w:rPr>
          <w:rFonts w:hint="eastAsia" w:cs="Times New Roman"/>
          <w:color w:val="auto"/>
          <w:sz w:val="28"/>
          <w:szCs w:val="28"/>
          <w:lang w:val="en-US" w:eastAsia="zh-CN"/>
        </w:rPr>
        <w:t>梅华城市花园足球场垫层修复材料采购</w:t>
      </w:r>
      <w:r>
        <w:rPr>
          <w:rFonts w:hint="eastAsia" w:cs="Times New Roman"/>
          <w:color w:val="auto"/>
          <w:sz w:val="28"/>
          <w:szCs w:val="28"/>
          <w:lang w:eastAsia="zh-CN"/>
        </w:rPr>
        <w:t>）</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4"/>
        <w:tblW w:w="9496" w:type="dxa"/>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16"/>
        <w:gridCol w:w="1336"/>
        <w:gridCol w:w="2091"/>
        <w:gridCol w:w="825"/>
        <w:gridCol w:w="900"/>
        <w:gridCol w:w="1140"/>
        <w:gridCol w:w="1260"/>
        <w:gridCol w:w="1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209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宋体"/>
                <w:b/>
                <w:i w:val="0"/>
                <w:color w:val="000000"/>
                <w:kern w:val="0"/>
                <w:sz w:val="24"/>
                <w:szCs w:val="24"/>
                <w:u w:val="none"/>
                <w:lang w:val="en-US" w:eastAsia="zh-CN" w:bidi="ar"/>
              </w:rPr>
              <w:t>数</w:t>
            </w:r>
            <w:r>
              <w:rPr>
                <w:rFonts w:hint="eastAsia" w:ascii="宋体" w:hAnsi="宋体" w:eastAsia="宋体" w:cs="宋体"/>
                <w:b/>
                <w:i w:val="0"/>
                <w:color w:val="000000"/>
                <w:kern w:val="0"/>
                <w:sz w:val="24"/>
                <w:szCs w:val="24"/>
                <w:u w:val="none"/>
                <w:lang w:val="en-US" w:eastAsia="zh-CN" w:bidi="ar"/>
              </w:rPr>
              <w:t>量</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1228" w:type="dxa"/>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33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2091"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825"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90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140" w:type="dxa"/>
            <w:tcBorders>
              <w:top w:val="single" w:color="000000" w:sz="4" w:space="0"/>
              <w:left w:val="single" w:color="000000" w:sz="4" w:space="0"/>
              <w:bottom w:val="single" w:color="auto"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单价 </w:t>
            </w:r>
          </w:p>
        </w:tc>
        <w:tc>
          <w:tcPr>
            <w:tcW w:w="1260" w:type="dxa"/>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1228" w:type="dxa"/>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34"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3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复合普通硅酸盐水泥</w:t>
            </w:r>
          </w:p>
        </w:tc>
        <w:tc>
          <w:tcPr>
            <w:tcW w:w="2091"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1、规格：P.C42.5</w:t>
            </w:r>
          </w:p>
        </w:tc>
        <w:tc>
          <w:tcPr>
            <w:tcW w:w="825"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吨</w:t>
            </w:r>
          </w:p>
        </w:tc>
        <w:tc>
          <w:tcPr>
            <w:tcW w:w="9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7.50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vMerge w:val="restart"/>
            <w:tcBorders>
              <w:top w:val="single" w:color="auto" w:sz="4" w:space="0"/>
              <w:left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水泥品牌档次不低于：海螺、华润、南方、华信、中联等国内一线品牌。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34"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w:t>
            </w:r>
          </w:p>
        </w:tc>
        <w:tc>
          <w:tcPr>
            <w:tcW w:w="133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河沙</w:t>
            </w:r>
          </w:p>
        </w:tc>
        <w:tc>
          <w:tcPr>
            <w:tcW w:w="2091"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天然中砂，符合建筑用砂标准</w:t>
            </w:r>
          </w:p>
        </w:tc>
        <w:tc>
          <w:tcPr>
            <w:tcW w:w="825"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立方米</w:t>
            </w:r>
          </w:p>
        </w:tc>
        <w:tc>
          <w:tcPr>
            <w:tcW w:w="9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18.00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vMerge w:val="continue"/>
            <w:tcBorders>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22"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w:t>
            </w:r>
          </w:p>
        </w:tc>
        <w:tc>
          <w:tcPr>
            <w:tcW w:w="6292" w:type="dxa"/>
            <w:gridSpan w:val="5"/>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合计（元）</w:t>
            </w: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tcBorders>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6" w:hRule="atLeast"/>
        </w:trPr>
        <w:tc>
          <w:tcPr>
            <w:tcW w:w="9496" w:type="dxa"/>
            <w:gridSpan w:val="8"/>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注：</w:t>
            </w:r>
            <w:r>
              <w:rPr>
                <w:rFonts w:hint="eastAsia" w:ascii="宋体" w:hAnsi="宋体" w:eastAsia="宋体" w:cs="宋体"/>
                <w:color w:val="auto"/>
                <w:sz w:val="22"/>
                <w:szCs w:val="22"/>
                <w:lang w:val="en-US" w:eastAsia="zh-CN"/>
              </w:rPr>
              <w:t>1、</w:t>
            </w:r>
            <w:r>
              <w:rPr>
                <w:rFonts w:hint="eastAsia" w:ascii="宋体" w:hAnsi="宋体" w:eastAsia="宋体" w:cs="宋体"/>
                <w:color w:val="auto"/>
                <w:sz w:val="22"/>
                <w:szCs w:val="22"/>
              </w:rPr>
              <w:t>所有报价均为含税价</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且已包含人工费、材料费、检测费、服务费、差旅费、餐饮费等完成本项目的所有费用</w:t>
            </w:r>
            <w:r>
              <w:rPr>
                <w:rFonts w:hint="eastAsia" w:ascii="宋体" w:hAnsi="宋体" w:eastAsia="宋体" w:cs="宋体"/>
                <w:color w:val="auto"/>
                <w:sz w:val="22"/>
                <w:szCs w:val="22"/>
                <w:lang w:eastAsia="zh-CN"/>
              </w:rPr>
              <w:t>。</w:t>
            </w:r>
          </w:p>
          <w:p>
            <w:pPr>
              <w:pStyle w:val="2"/>
              <w:keepNext w:val="0"/>
              <w:keepLines w:val="0"/>
              <w:pageBreakBefore w:val="0"/>
              <w:widowControl w:val="0"/>
              <w:numPr>
                <w:ilvl w:val="0"/>
                <w:numId w:val="4"/>
              </w:numPr>
              <w:kinsoku/>
              <w:wordWrap/>
              <w:overflowPunct/>
              <w:topLinePunct w:val="0"/>
              <w:bidi w:val="0"/>
              <w:snapToGrid/>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yellow"/>
                <w:lang w:val="en-US" w:eastAsia="zh-CN"/>
              </w:rPr>
              <w:t>发票类型</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none"/>
              </w:rPr>
              <w:t>%</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w:t>
            </w:r>
            <w:r>
              <w:rPr>
                <w:rFonts w:hint="eastAsia" w:ascii="宋体" w:hAnsi="宋体" w:eastAsia="宋体" w:cs="宋体"/>
                <w:color w:val="auto"/>
                <w:sz w:val="22"/>
                <w:szCs w:val="22"/>
              </w:rPr>
              <w:t>专用发票</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增值税普通发票</w:t>
            </w:r>
            <w:r>
              <w:rPr>
                <w:rFonts w:hint="eastAsia" w:ascii="宋体" w:hAnsi="宋体" w:eastAsia="宋体" w:cs="宋体"/>
                <w:color w:val="auto"/>
                <w:sz w:val="22"/>
                <w:szCs w:val="22"/>
                <w:highlight w:val="none"/>
              </w:rPr>
              <w:t>。</w:t>
            </w:r>
          </w:p>
          <w:p>
            <w:pPr>
              <w:pStyle w:val="2"/>
              <w:keepNext w:val="0"/>
              <w:keepLines w:val="0"/>
              <w:pageBreakBefore w:val="0"/>
              <w:widowControl w:val="0"/>
              <w:numPr>
                <w:ilvl w:val="0"/>
                <w:numId w:val="0"/>
              </w:numPr>
              <w:kinsoku/>
              <w:wordWrap/>
              <w:overflowPunct/>
              <w:topLinePunct w:val="0"/>
              <w:bidi w:val="0"/>
              <w:snapToGrid/>
              <w:spacing w:line="360" w:lineRule="auto"/>
              <w:ind w:firstLine="660" w:firstLineChars="300"/>
              <w:rPr>
                <w:rFonts w:hint="eastAsia" w:ascii="宋体" w:hAnsi="宋体" w:eastAsia="宋体" w:cs="宋体"/>
                <w:sz w:val="22"/>
                <w:szCs w:val="22"/>
                <w:lang w:eastAsia="zh-CN"/>
              </w:rPr>
            </w:pPr>
            <w:r>
              <w:rPr>
                <w:rFonts w:hint="eastAsia" w:ascii="宋体" w:hAnsi="宋体" w:eastAsia="宋体" w:cs="宋体"/>
                <w:color w:val="auto"/>
                <w:sz w:val="22"/>
                <w:szCs w:val="22"/>
                <w:highlight w:val="none"/>
              </w:rPr>
              <w:t>注：如因国家政策变化导致增值税税率发生变化的，本</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项下不含增值税的价款金额不变，对应增值税金额按照新税率计算，价款总额作对应调整</w:t>
            </w:r>
            <w:r>
              <w:rPr>
                <w:rFonts w:hint="eastAsia" w:ascii="宋体" w:hAnsi="宋体" w:eastAsia="宋体" w:cs="宋体"/>
                <w:color w:val="auto"/>
                <w:sz w:val="22"/>
                <w:szCs w:val="22"/>
                <w:highlight w:val="none"/>
                <w:lang w:eastAsia="zh-CN"/>
              </w:rPr>
              <w:t>。</w:t>
            </w:r>
          </w:p>
          <w:p>
            <w:pPr>
              <w:pStyle w:val="6"/>
              <w:keepNext w:val="0"/>
              <w:keepLines w:val="0"/>
              <w:pageBreakBefore w:val="0"/>
              <w:widowControl w:val="0"/>
              <w:kinsoku/>
              <w:wordWrap/>
              <w:overflowPunct/>
              <w:topLinePunct w:val="0"/>
              <w:bidi w:val="0"/>
              <w:snapToGrid/>
              <w:spacing w:line="360" w:lineRule="auto"/>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auto"/>
                <w:sz w:val="22"/>
                <w:szCs w:val="22"/>
                <w:lang w:val="en-US" w:eastAsia="zh-CN"/>
              </w:rPr>
              <w:t>3、本次采购数量为预估量，以实际用量结算，水泥分两批送至香山驿站，河沙送至梅华公园球场，送货前需先与收货人联系，收货人：屈克超 13709689029。</w:t>
            </w:r>
          </w:p>
        </w:tc>
      </w:tr>
    </w:tbl>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联系方式</w:t>
      </w:r>
      <w:r>
        <w:rPr>
          <w:rFonts w:hint="eastAsia" w:cs="Times New Roman"/>
          <w:color w:val="auto"/>
          <w:kern w:val="2"/>
          <w:sz w:val="24"/>
          <w:szCs w:val="24"/>
          <w:lang w:val="en-US" w:eastAsia="zh-CN" w:bidi="ar-SA"/>
        </w:rPr>
        <w:t>：</w:t>
      </w:r>
    </w:p>
    <w:p>
      <w:pPr>
        <w:autoSpaceDE w:val="0"/>
        <w:autoSpaceDN w:val="0"/>
        <w:spacing w:before="312" w:beforeLines="100" w:line="360" w:lineRule="auto"/>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sectPr>
      <w:footerReference r:id="rId5"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28181F57"/>
    <w:multiLevelType w:val="singleLevel"/>
    <w:tmpl w:val="28181F57"/>
    <w:lvl w:ilvl="0" w:tentative="0">
      <w:start w:val="2"/>
      <w:numFmt w:val="decimal"/>
      <w:suff w:val="nothing"/>
      <w:lvlText w:val="%1、"/>
      <w:lvlJc w:val="left"/>
    </w:lvl>
  </w:abstractNum>
  <w:abstractNum w:abstractNumId="3">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5B1555F"/>
    <w:rsid w:val="0671572A"/>
    <w:rsid w:val="067D1626"/>
    <w:rsid w:val="0841052C"/>
    <w:rsid w:val="097558B4"/>
    <w:rsid w:val="09770F2A"/>
    <w:rsid w:val="0A261215"/>
    <w:rsid w:val="0A4F74B7"/>
    <w:rsid w:val="0D8F41B1"/>
    <w:rsid w:val="0DB93286"/>
    <w:rsid w:val="0DCB0AAA"/>
    <w:rsid w:val="0E49720A"/>
    <w:rsid w:val="0EC420D1"/>
    <w:rsid w:val="0EC93FBB"/>
    <w:rsid w:val="10E91871"/>
    <w:rsid w:val="11DD4B3A"/>
    <w:rsid w:val="129618DC"/>
    <w:rsid w:val="14DC73BB"/>
    <w:rsid w:val="14EB65E0"/>
    <w:rsid w:val="1588048B"/>
    <w:rsid w:val="168857E4"/>
    <w:rsid w:val="16D97ADD"/>
    <w:rsid w:val="16E45AEB"/>
    <w:rsid w:val="177F1319"/>
    <w:rsid w:val="17DF53E0"/>
    <w:rsid w:val="1B013FAA"/>
    <w:rsid w:val="1B513E4B"/>
    <w:rsid w:val="1BDC56E2"/>
    <w:rsid w:val="1D556636"/>
    <w:rsid w:val="1DCE44E0"/>
    <w:rsid w:val="202F7D49"/>
    <w:rsid w:val="210322A7"/>
    <w:rsid w:val="2121293A"/>
    <w:rsid w:val="23EC6A93"/>
    <w:rsid w:val="24957E2A"/>
    <w:rsid w:val="259F18F8"/>
    <w:rsid w:val="272E6E27"/>
    <w:rsid w:val="27540AC6"/>
    <w:rsid w:val="278065CC"/>
    <w:rsid w:val="28C56911"/>
    <w:rsid w:val="291B3A89"/>
    <w:rsid w:val="2B3335F6"/>
    <w:rsid w:val="2BED4BFF"/>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BDD1A9B"/>
    <w:rsid w:val="3BF341D2"/>
    <w:rsid w:val="3DDA2166"/>
    <w:rsid w:val="3E7E4135"/>
    <w:rsid w:val="3EC52271"/>
    <w:rsid w:val="3ED65B24"/>
    <w:rsid w:val="3F676A9B"/>
    <w:rsid w:val="408829A2"/>
    <w:rsid w:val="40DF147E"/>
    <w:rsid w:val="410E417C"/>
    <w:rsid w:val="43F34101"/>
    <w:rsid w:val="4483748A"/>
    <w:rsid w:val="46291EEF"/>
    <w:rsid w:val="467170E3"/>
    <w:rsid w:val="46B354B7"/>
    <w:rsid w:val="47C0473A"/>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B7B0426"/>
    <w:rsid w:val="5BD82D7C"/>
    <w:rsid w:val="5BE44C27"/>
    <w:rsid w:val="5BFB7194"/>
    <w:rsid w:val="5D497B32"/>
    <w:rsid w:val="5EBE23CD"/>
    <w:rsid w:val="60107024"/>
    <w:rsid w:val="617E685D"/>
    <w:rsid w:val="61A2602F"/>
    <w:rsid w:val="61FF0F78"/>
    <w:rsid w:val="63A6159C"/>
    <w:rsid w:val="63F16E5E"/>
    <w:rsid w:val="64847D61"/>
    <w:rsid w:val="665C30B6"/>
    <w:rsid w:val="66852B3E"/>
    <w:rsid w:val="67183BE9"/>
    <w:rsid w:val="67DE23FD"/>
    <w:rsid w:val="682078ED"/>
    <w:rsid w:val="68B65BF9"/>
    <w:rsid w:val="6A0D3F8C"/>
    <w:rsid w:val="6A934041"/>
    <w:rsid w:val="6B4E5816"/>
    <w:rsid w:val="6CD54EA3"/>
    <w:rsid w:val="6D535020"/>
    <w:rsid w:val="73CF0EC4"/>
    <w:rsid w:val="76656426"/>
    <w:rsid w:val="768D0B53"/>
    <w:rsid w:val="76DA30C2"/>
    <w:rsid w:val="775B4F8E"/>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28</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许丹绮</cp:lastModifiedBy>
  <dcterms:modified xsi:type="dcterms:W3CDTF">2026-04-08T07:38:53Z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