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宋体" w:hAnsi="宋体" w:eastAsia="宋体"/>
          <w:b/>
          <w:bCs/>
          <w:color w:val="000000"/>
          <w:sz w:val="72"/>
          <w:szCs w:val="72"/>
          <w:lang w:val="en-US" w:eastAsia="zh-CN"/>
        </w:rPr>
        <w:t>城市阳台项目发电机深度保养</w:t>
      </w:r>
      <w:r>
        <w:rPr>
          <w:rFonts w:hint="eastAsia" w:cs="Times New Roman"/>
          <w:b/>
          <w:kern w:val="44"/>
          <w:sz w:val="72"/>
          <w:szCs w:val="44"/>
          <w:lang w:val="en-US" w:eastAsia="zh-CN" w:bidi="ar-SA"/>
        </w:rPr>
        <w:t>服务</w:t>
      </w:r>
      <w:r>
        <w:rPr>
          <w:rFonts w:hint="eastAsia" w:ascii="Times New Roman" w:hAnsi="Times New Roman" w:eastAsia="宋体" w:cs="Times New Roman"/>
          <w:b/>
          <w:kern w:val="44"/>
          <w:sz w:val="72"/>
          <w:szCs w:val="44"/>
          <w:lang w:val="en-US" w:eastAsia="zh-CN" w:bidi="ar-SA"/>
        </w:rPr>
        <w:t>任务书</w:t>
      </w:r>
    </w:p>
    <w:p>
      <w:pPr>
        <w:wordWrap w:val="0"/>
        <w:autoSpaceDE w:val="0"/>
        <w:autoSpaceDN w:val="0"/>
        <w:spacing w:before="2260" w:after="0" w:line="240" w:lineRule="auto"/>
        <w:jc w:val="both"/>
        <w:rPr>
          <w:sz w:val="21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pStyle w:val="3"/>
        <w:ind w:firstLine="1928" w:firstLineChars="6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3"/>
        <w:ind w:firstLine="1928" w:firstLineChars="6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编      制：</w:t>
      </w:r>
    </w:p>
    <w:p>
      <w:pPr>
        <w:pStyle w:val="3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3"/>
        <w:ind w:firstLine="321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     审      核：</w:t>
      </w:r>
    </w:p>
    <w:p>
      <w:pPr>
        <w:pStyle w:val="3"/>
        <w:ind w:firstLine="321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       批      准：</w:t>
      </w: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511" w:lineRule="exact"/>
        <w:ind w:firstLine="0"/>
        <w:jc w:val="center"/>
        <w:rPr>
          <w:rFonts w:hint="default" w:ascii="宋体" w:hAnsi="宋体" w:eastAsia="宋体"/>
          <w:b/>
          <w:bCs/>
          <w:color w:val="000000"/>
          <w:sz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</w:rPr>
        <w:t>编制单位：珠海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市</w:t>
      </w:r>
      <w:r>
        <w:rPr>
          <w:rFonts w:hint="eastAsia" w:ascii="宋体" w:hAnsi="宋体" w:eastAsia="宋体"/>
          <w:b/>
          <w:bCs/>
          <w:color w:val="000000"/>
          <w:sz w:val="28"/>
        </w:rPr>
        <w:t>正方资产运营管理有限公司</w:t>
      </w:r>
    </w:p>
    <w:p>
      <w:pPr>
        <w:pStyle w:val="2"/>
        <w:jc w:val="center"/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>
      <w:pPr>
        <w:rPr>
          <w:rFonts w:hint="eastAsia"/>
          <w:lang w:val="en-US" w:eastAsia="en-US"/>
        </w:rPr>
      </w:pPr>
      <w:r>
        <w:rPr>
          <w:rFonts w:hint="eastAsia"/>
          <w:lang w:val="en-US" w:eastAsia="zh-CN"/>
        </w:rPr>
        <w:t>机组状况：</w:t>
      </w:r>
      <w:r>
        <w:rPr>
          <w:rFonts w:hint="eastAsia"/>
          <w:lang w:val="en-US" w:eastAsia="en-US"/>
        </w:rPr>
        <w:t>机组运行时间已到达保养时间，根据柴油发电机组保养规程,建议及时安排机组进行一次例行保养及检修，以改善发电机组工作状况，保证机组正常功率，防止引起其它故障，延长发电机组的正常使用期；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适用设备：柴油/燃气发电机组</w:t>
      </w:r>
    </w:p>
    <w:p>
      <w:pPr>
        <w:rPr>
          <w:rFonts w:hint="eastAsia"/>
        </w:rPr>
      </w:pPr>
      <w:r>
        <w:rPr>
          <w:rFonts w:hint="eastAsia"/>
        </w:rPr>
        <w:t>保养等级：深度保养（三级保养）</w:t>
      </w:r>
    </w:p>
    <w:p>
      <w:pPr>
        <w:rPr>
          <w:rFonts w:hint="eastAsia"/>
        </w:rPr>
      </w:pPr>
      <w:r>
        <w:rPr>
          <w:rFonts w:hint="eastAsia"/>
        </w:rPr>
        <w:t>执行依据：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GB/T 2820-2019《往复式内燃机驱动的交流发电机组》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DL/T 1424-2015《电力设备检修规程》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DL/T 596-2021《电力设备预防性试验规程》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设备原厂使用及维护说明书</w:t>
      </w:r>
    </w:p>
    <w:p>
      <w:pPr>
        <w:rPr>
          <w:rFonts w:hint="eastAsia"/>
        </w:rPr>
      </w:pPr>
      <w:r>
        <w:rPr>
          <w:rFonts w:hint="eastAsia"/>
        </w:rPr>
        <w:t>保养周期：累计运行1000～1500小时 或 连续使用12个月（以先到为准）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一、作业目标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全面消除机组安全隐患，恢复机组额定输出性能。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确保启动可靠、运行平稳，各项电气、机械指标符合国家标准。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验证保护装置、控制系统、切换装置动作准确可靠。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延长机组使用寿命，满足应急备用及连续运行要求。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二、人员及工器具准备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作业人员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持证电工、专业机械维修人员。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作业前进行安全技术交底，明确分工、危险源及应急措施。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工具仪器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扭矩扳手、万用表、500V兆欧表、内窥镜、转速表、油温/水温表、检漏仪、专用拆装工具。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耗材备件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原厂规格机油、机滤、柴滤、空滤、油水分离器、冷却液、密封圈、清洗剂等。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安全防护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安全帽、绝缘手套、护目镜、灭火器、警示围栏、“设备检修禁止合闸”标识牌。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三、现场安全要求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严格执行停电、验电、挂牌、上锁（LOTO）制度。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断开市电输入、负载输出，确认机组完全断电、泄压、冷却后方可作业。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严禁明火作业，油品远离热源，废油统一回收，防止环境污染。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作业区域保持通风，配备监护人员，严禁违章操作。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四、深度保养作业内容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（一）发动机系统保养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润滑系统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热机状态下排放旧机油，清洗油底壳及机油管路。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更换机油、机油滤清器，按厂家标准扭矩紧固。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检查机油压力传感器、管路及接头，无渗漏、无堵塞。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燃油系统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检查燃油箱，排放底部积水、沉淀物，必要时清洗油箱。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更换燃油粗滤、精滤及油水分离器。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检查燃油管路、接头密封性，排查渗漏、进气现象。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检查喷油器雾化状态，必要时进行调校。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进排气系统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更换空气滤清器，清洁进气管道、中冷器。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检查增压器运转及密封情况，清除叶轮及管路积碳。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检查排气歧管、波纹管、消音器，更换老化垫片，消除漏气。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冷却系统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排放旧冷却液，清洗散热器、水道及膨胀水箱。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更换符合标准的长效防冻液。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检查水泵、节温器工作性能，清理散热片水垢及杂物。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检查风扇、皮带张紧度，更换老化、开裂皮带。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进行系统密封性检查，无渗漏。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 配气机构及缸内检查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检查并按标准调整气门间隙。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检查缸盖螺栓扭矩，检查缸垫有无渗漏。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内窥镜检查气缸壁、活塞顶，清除积碳。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 启动及传动系统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检查启动马达、继电器工作状态。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检查联轴器、减震器、机脚垫，紧固地脚螺栓。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（二）发电机电气系统保养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定子、转子绕组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压缩空气吹扫灰尘，清洁绕组、滑环、碳刷。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使用500V兆欧表测量绝缘电阻，阻值≥50MΩ。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励磁及调压系统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检查AVR自动电压调节器、接线端子。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检查碳刷磨损、滑环光洁度，必要时打磨或更换。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测试空载建压能力、电压稳定性。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控制与保护系统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紧固所有接线端子，处理氧化、松动、发热点。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校验过流、过载、短路、欠压、过压、低油压、高水温保护功能。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蓄电池及充电系统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检测蓄电池端电压、内阻、电解液液位。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清洁极柱氧化物，紧固连接线。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检查浮充装置工作正常。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（三）控制系统及辅助系统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检查机组控制器显示、传感器参数准确性。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测试手动/自动启动、停机、紧急停机功能。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测试ATS双电源自动切换动作时间、逻辑正确性。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检查机房排烟、通风、降噪、消防设施完好。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五、调试与验收标准（依据国家规范）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 空载试验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启动顺利，怠速、额定转速稳定，无异响、无渗漏。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空载电压、频率稳定在额定值范围内。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 负载试验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按30% → 75% → 100%额定负载阶梯加载，运行稳定。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电压、频率、油温、水温、油压均符合国标及厂家要求。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 保护联动试验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模拟故障工况，各项保护装置应准确动作、可靠停机。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 外观及密封性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整机清洁，无油、水、气渗漏，标识清晰完整。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5. 资料验收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 完整填写保养记录、备件型号、试验数据、验收结论。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六、</w:t>
      </w:r>
      <w:r>
        <w:rPr>
          <w:rFonts w:hint="eastAsia"/>
          <w:b/>
          <w:bCs/>
          <w:lang w:val="en-US" w:eastAsia="zh-CN"/>
        </w:rPr>
        <w:t>服务内容明细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widowControl w:val="0"/>
        <w:autoSpaceDE w:val="0"/>
        <w:autoSpaceDN w:val="0"/>
        <w:spacing w:line="221" w:lineRule="exact"/>
        <w:rPr>
          <w:rFonts w:hint="default" w:hAnsiTheme="minorHAnsi" w:eastAsiaTheme="minorEastAsia" w:cstheme="minorBidi"/>
          <w:color w:val="000000"/>
          <w:sz w:val="22"/>
          <w:szCs w:val="22"/>
          <w:lang w:val="en-US" w:eastAsia="zh-CN" w:bidi="ar-SA"/>
        </w:rPr>
      </w:pPr>
      <w:r>
        <w:rPr>
          <w:rFonts w:hint="eastAsia" w:ascii="宋体" w:hAnsi="宋体" w:cs="宋体"/>
          <w:color w:val="000000"/>
          <w:sz w:val="22"/>
          <w:szCs w:val="22"/>
          <w:lang w:val="en-US" w:eastAsia="zh-CN" w:bidi="ar-SA"/>
        </w:rPr>
        <w:t>1、</w:t>
      </w: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发动机型号：SC27G900D2(U920800253)</w:t>
      </w:r>
      <w:r>
        <w:rPr>
          <w:rFonts w:hint="eastAsia" w:ascii="宋体" w:hAnsi="宋体" w:cs="宋体"/>
          <w:color w:val="000000"/>
          <w:sz w:val="22"/>
          <w:szCs w:val="22"/>
          <w:lang w:val="en-US" w:eastAsia="zh-CN" w:bidi="ar-SA"/>
        </w:rPr>
        <w:t xml:space="preserve">   1台</w:t>
      </w:r>
    </w:p>
    <w:p>
      <w:pPr>
        <w:widowControl w:val="0"/>
        <w:autoSpaceDE w:val="0"/>
        <w:autoSpaceDN w:val="0"/>
        <w:spacing w:before="158" w:line="221" w:lineRule="exact"/>
        <w:ind w:left="1320"/>
        <w:rPr>
          <w:rFonts w:hint="default" w:hAnsiTheme="minorHAnsi" w:eastAsiaTheme="minorEastAsia" w:cstheme="minorBidi"/>
          <w:color w:val="000000"/>
          <w:sz w:val="22"/>
          <w:szCs w:val="22"/>
          <w:lang w:val="en-US" w:eastAsia="zh-CN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SC25G610D2(U921C004461）</w:t>
      </w:r>
      <w:r>
        <w:rPr>
          <w:rFonts w:hint="eastAsia" w:ascii="宋体" w:hAnsi="宋体" w:cs="宋体"/>
          <w:color w:val="000000"/>
          <w:sz w:val="22"/>
          <w:szCs w:val="22"/>
          <w:lang w:val="en-US" w:eastAsia="zh-CN" w:bidi="ar-SA"/>
        </w:rPr>
        <w:t xml:space="preserve"> 1台</w:t>
      </w:r>
    </w:p>
    <w:p>
      <w:pPr>
        <w:widowControl w:val="0"/>
        <w:autoSpaceDE w:val="0"/>
        <w:autoSpaceDN w:val="0"/>
        <w:spacing w:before="161" w:line="221" w:lineRule="exact"/>
        <w:ind w:left="1320"/>
        <w:rPr>
          <w:rFonts w:hint="default" w:hAnsiTheme="minorHAnsi" w:eastAsiaTheme="minorEastAsia" w:cstheme="minorBidi"/>
          <w:color w:val="000000"/>
          <w:sz w:val="22"/>
          <w:szCs w:val="22"/>
          <w:lang w:val="en-US" w:eastAsia="zh-CN" w:bidi="ar-SA"/>
        </w:rPr>
      </w:pPr>
      <w:r>
        <w:rPr>
          <w:rFonts w:ascii="宋体" w:hAnsi="宋体" w:cs="宋体" w:eastAsiaTheme="minorEastAsia"/>
          <w:color w:val="000000"/>
          <w:sz w:val="22"/>
          <w:szCs w:val="22"/>
          <w:lang w:val="en-US" w:eastAsia="en-US" w:bidi="ar-SA"/>
        </w:rPr>
        <w:t>SC16DE820（230925160)</w:t>
      </w:r>
      <w:r>
        <w:rPr>
          <w:rFonts w:hint="eastAsia" w:ascii="宋体" w:hAnsi="宋体" w:cs="宋体"/>
          <w:color w:val="000000"/>
          <w:sz w:val="22"/>
          <w:szCs w:val="22"/>
          <w:lang w:val="en-US" w:eastAsia="zh-CN" w:bidi="ar-SA"/>
        </w:rPr>
        <w:t xml:space="preserve">    1台</w:t>
      </w:r>
    </w:p>
    <w:p>
      <w:pPr>
        <w:rPr>
          <w:rFonts w:ascii="宋体" w:hAnsi="宋体" w:cs="宋体" w:eastAsiaTheme="minorEastAsia"/>
          <w:b/>
          <w:bCs/>
          <w:color w:val="000000"/>
          <w:spacing w:val="1"/>
          <w:sz w:val="22"/>
          <w:szCs w:val="22"/>
          <w:lang w:val="en-US" w:eastAsia="en-US" w:bidi="ar-SA"/>
        </w:rPr>
      </w:pPr>
    </w:p>
    <w:p>
      <w:pPr>
        <w:rPr>
          <w:rFonts w:ascii="宋体" w:hAnsi="宋体" w:cs="宋体" w:eastAsiaTheme="minorEastAsia"/>
          <w:b/>
          <w:bCs/>
          <w:color w:val="000000"/>
          <w:sz w:val="22"/>
          <w:szCs w:val="22"/>
          <w:lang w:val="en-US" w:eastAsia="en-US" w:bidi="ar-SA"/>
        </w:rPr>
      </w:pPr>
      <w:r>
        <w:rPr>
          <w:rFonts w:hint="eastAsia" w:ascii="宋体" w:hAnsi="宋体" w:cs="宋体"/>
          <w:b/>
          <w:bCs/>
          <w:color w:val="000000"/>
          <w:spacing w:val="1"/>
          <w:sz w:val="22"/>
          <w:szCs w:val="22"/>
          <w:lang w:val="en-US" w:eastAsia="zh-CN" w:bidi="ar-SA"/>
        </w:rPr>
        <w:t>城市阳台项目三台发电机</w:t>
      </w:r>
      <w:r>
        <w:rPr>
          <w:rFonts w:ascii="宋体" w:hAnsi="宋体" w:cs="宋体" w:eastAsiaTheme="minorEastAsia"/>
          <w:b/>
          <w:bCs/>
          <w:color w:val="000000"/>
          <w:sz w:val="22"/>
          <w:szCs w:val="22"/>
          <w:lang w:val="en-US" w:eastAsia="en-US" w:bidi="ar-SA"/>
        </w:rPr>
        <w:t>更换零配件</w:t>
      </w:r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 w:bidi="ar-SA"/>
        </w:rPr>
        <w:t>明细表</w:t>
      </w:r>
      <w:r>
        <w:rPr>
          <w:rFonts w:ascii="宋体" w:hAnsi="宋体" w:cs="宋体" w:eastAsiaTheme="minorEastAsia"/>
          <w:b/>
          <w:bCs/>
          <w:color w:val="000000"/>
          <w:sz w:val="22"/>
          <w:szCs w:val="22"/>
          <w:lang w:val="en-US" w:eastAsia="en-US" w:bidi="ar-SA"/>
        </w:rPr>
        <w:t>：</w:t>
      </w:r>
    </w:p>
    <w:p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545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配件名称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SC27G900D2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油滤清器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燃油油水分离滤清器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燃油滤清器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发动机专用机油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DCA65 水箱防锈剂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罐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水箱清洗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进回油管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4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配件名称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SC16DE820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机油滤清器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燃油滤清器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发动机专用机油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桶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DCA65 水箱防锈剂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罐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水箱清洗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启动蓄电池 200AH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54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保养人工费、运输费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</w:pPr>
    </w:p>
    <w:p>
      <w:pPr>
        <w:jc w:val="center"/>
        <w:rPr>
          <w:rFonts w:hint="eastAsia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</w:pPr>
    </w:p>
    <w:p>
      <w:pPr>
        <w:jc w:val="center"/>
        <w:rPr>
          <w:rFonts w:hint="eastAsia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</w:pPr>
    </w:p>
    <w:p>
      <w:pPr>
        <w:jc w:val="center"/>
        <w:rPr>
          <w:rFonts w:hint="eastAsia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</w:pPr>
    </w:p>
    <w:p>
      <w:pPr>
        <w:jc w:val="center"/>
        <w:rPr>
          <w:rFonts w:hint="default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  <w:drawing>
          <wp:inline distT="0" distB="0" distL="114300" distR="114300">
            <wp:extent cx="2752725" cy="1766570"/>
            <wp:effectExtent l="0" t="0" r="4445" b="0"/>
            <wp:docPr id="1" name="图片 1" descr="537c6e28f9f1bb8d7631a06e63be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7c6e28f9f1bb8d7631a06e63be33b"/>
                    <pic:cNvPicPr>
                      <a:picLocks noChangeAspect="1"/>
                    </pic:cNvPicPr>
                  </pic:nvPicPr>
                  <pic:blipFill>
                    <a:blip r:embed="rId4"/>
                    <a:srcRect t="34269" b="1762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766570"/>
                    </a:xfrm>
                    <a:prstGeom prst="flowChartProcess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 w:bidi="ar-SA"/>
        </w:rPr>
        <w:t>X1台</w:t>
      </w:r>
      <w:bookmarkStart w:id="0" w:name="_GoBack"/>
      <w:bookmarkEnd w:id="0"/>
    </w:p>
    <w:p>
      <w:pPr>
        <w:jc w:val="center"/>
        <w:rPr>
          <w:rFonts w:hint="default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  <w:drawing>
          <wp:inline distT="0" distB="0" distL="114300" distR="114300">
            <wp:extent cx="2637790" cy="1898650"/>
            <wp:effectExtent l="0" t="0" r="3810" b="0"/>
            <wp:docPr id="2" name="图片 2" descr="dc7c0a8d2d3b13a3ddda6cf8ab73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7c0a8d2d3b13a3ddda6cf8ab73cc8"/>
                    <pic:cNvPicPr>
                      <a:picLocks noChangeAspect="1"/>
                    </pic:cNvPicPr>
                  </pic:nvPicPr>
                  <pic:blipFill>
                    <a:blip r:embed="rId5"/>
                    <a:srcRect l="16637" t="39172" r="33285" b="33791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 w:bidi="ar-SA"/>
        </w:rPr>
        <w:t>X2台</w:t>
      </w:r>
    </w:p>
    <w:p>
      <w:pPr>
        <w:jc w:val="center"/>
        <w:rPr>
          <w:rFonts w:hint="eastAsia" w:ascii="宋体" w:hAnsi="宋体" w:cs="宋体" w:eastAsiaTheme="minorEastAsia"/>
          <w:b/>
          <w:bCs/>
          <w:color w:val="000000"/>
          <w:sz w:val="2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A7C65"/>
    <w:rsid w:val="21FF3314"/>
    <w:rsid w:val="349536DA"/>
    <w:rsid w:val="34D76745"/>
    <w:rsid w:val="35EB5D97"/>
    <w:rsid w:val="3DA13AFD"/>
    <w:rsid w:val="42A549B4"/>
    <w:rsid w:val="68A60350"/>
    <w:rsid w:val="757A3DD3"/>
    <w:rsid w:val="762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semiHidden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1744</Words>
  <Characters>1900</Characters>
  <Lines>0</Lines>
  <Paragraphs>0</Paragraphs>
  <TotalTime>23</TotalTime>
  <ScaleCrop>false</ScaleCrop>
  <LinksUpToDate>false</LinksUpToDate>
  <CharactersWithSpaces>2060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2026-04-01T08:16:00Z</dcterms:created>
  <dc:creator>Administrator</dc:creator>
  <cp:lastModifiedBy>琦丽</cp:lastModifiedBy>
  <dcterms:modified xsi:type="dcterms:W3CDTF">2026-04-14T02:53:01Z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eyJoZGlkIjoiOWEzYmZlZTUwYTM3ODgzZDNiNDMwNjE1YWFlNzBmOTUiLCJ1c2VySWQiOiI0MDM0NzM1NjAifQ==</vt:lpwstr>
  </property>
  <property fmtid="{D5CDD505-2E9C-101B-9397-08002B2CF9AE}" pid="4" name="ICV">
    <vt:lpwstr>EE170EBE26DF47DB9537A53B6BFEE3C7_12</vt:lpwstr>
  </property>
</Properties>
</file>