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优和汇·红荔项目空调清洗服务采购</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（珠海正方资产运营管理有限公司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4月14日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珠海正方资产运营管理有限公司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w:t>
      </w:r>
      <w:r>
        <w:rPr>
          <w:rFonts w:hint="eastAsia"/>
          <w:b w:val="0"/>
          <w:bCs w:val="0"/>
          <w:color w:val="auto"/>
          <w:sz w:val="24"/>
        </w:rPr>
        <w:t>优和汇·红荔项目空调清洗服务采购</w:t>
      </w:r>
      <w:r>
        <w:rPr>
          <w:rFonts w:hint="eastAsia"/>
          <w:b w:val="0"/>
          <w:bCs w:val="0"/>
          <w:color w:val="auto"/>
          <w:sz w:val="24"/>
          <w:lang w:eastAsia="zh-CN"/>
        </w:rPr>
        <w:t>，</w:t>
      </w:r>
      <w:r>
        <w:rPr>
          <w:rFonts w:hint="eastAsia" w:cs="Times New Roman"/>
          <w:b w:val="0"/>
          <w:bCs w:val="0"/>
          <w:color w:val="auto"/>
          <w:sz w:val="24"/>
          <w:lang w:val="en-US" w:eastAsia="zh-CN"/>
        </w:rPr>
        <w:t>项目有挂机24台，风管机37台，天花机62台，空调外机98台。详见任务书。</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壹万零陆佰捌拾元</w:t>
      </w:r>
      <w:r>
        <w:rPr>
          <w:rFonts w:hint="eastAsia" w:cs="Times New Roman"/>
          <w:color w:val="auto"/>
          <w:sz w:val="24"/>
          <w:u w:val="none"/>
          <w:lang w:eastAsia="zh-CN"/>
        </w:rPr>
        <w:t>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10680.00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val="en-US" w:eastAsia="zh-CN"/>
        </w:rPr>
        <w:t>壹万零陆佰捌拾元</w:t>
      </w:r>
      <w:r>
        <w:rPr>
          <w:rFonts w:hint="eastAsia" w:cs="Times New Roman"/>
          <w:color w:val="auto"/>
          <w:sz w:val="24"/>
          <w:u w:val="none"/>
          <w:lang w:eastAsia="zh-CN"/>
        </w:rPr>
        <w:t>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10680.00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优和汇·红荔项目空调清洗服务采购</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进行询价，具体详见附件</w:t>
      </w:r>
      <w:r>
        <w:rPr>
          <w:rFonts w:hint="eastAsia" w:cs="Times New Roman"/>
          <w:color w:val="auto"/>
          <w:sz w:val="24"/>
          <w:lang w:val="en-US" w:eastAsia="zh-CN"/>
        </w:rPr>
        <w:t>1</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技术任务书</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w:t>
      </w:r>
      <w:r>
        <w:rPr>
          <w:rFonts w:hint="eastAsia" w:cs="Times New Roman"/>
          <w:b w:val="0"/>
          <w:bCs w:val="0"/>
          <w:color w:val="auto"/>
          <w:sz w:val="24"/>
          <w:lang w:val="en-US" w:eastAsia="zh-CN"/>
        </w:rPr>
        <w:t xml:space="preserve">. </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自公告发布之日起近5年具备2个空调清洗服务的业绩，提供合同关键页或采购订单或委托书等证明资料；</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w:t>
      </w:r>
      <w:r>
        <w:rPr>
          <w:rFonts w:hint="eastAsia" w:cs="Times New Roman"/>
          <w:b w:val="0"/>
          <w:bCs w:val="0"/>
          <w:color w:val="auto"/>
          <w:sz w:val="24"/>
          <w:lang w:val="en-US" w:eastAsia="zh-CN"/>
        </w:rPr>
        <w:t xml:space="preserve">. </w:t>
      </w:r>
      <w:r>
        <w:rPr>
          <w:rFonts w:hint="eastAsia" w:ascii="宋体" w:hAnsi="宋体" w:eastAsia="宋体" w:cs="宋体"/>
          <w:b w:val="0"/>
          <w:bCs w:val="0"/>
          <w:color w:val="auto"/>
          <w:sz w:val="24"/>
        </w:rPr>
        <w:t>未被列入“信用中国”网站(www.creditchina.gov.cn)“记录失信被执行人或重大税收违法失信主体或政府采购严重违法失信行为”记录名单证明文件；</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与其他</w:t>
      </w:r>
      <w:r>
        <w:rPr>
          <w:rFonts w:hint="eastAsia" w:cs="Times New Roman"/>
          <w:b w:val="0"/>
          <w:bCs w:val="0"/>
          <w:color w:val="auto"/>
          <w:sz w:val="24"/>
          <w:lang w:eastAsia="zh-CN"/>
        </w:rPr>
        <w:t>报价人</w:t>
      </w:r>
      <w:r>
        <w:rPr>
          <w:rFonts w:hint="default" w:ascii="Times New Roman" w:hAnsi="Times New Roman" w:eastAsia="宋体" w:cs="Times New Roman"/>
          <w:b w:val="0"/>
          <w:bCs w:val="0"/>
          <w:color w:val="auto"/>
          <w:sz w:val="24"/>
        </w:rPr>
        <w:t>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w:t>
      </w:r>
      <w:r>
        <w:rPr>
          <w:rFonts w:hint="eastAsia" w:cs="Times New Roman"/>
          <w:b w:val="0"/>
          <w:bCs w:val="0"/>
          <w:color w:val="auto"/>
          <w:sz w:val="24"/>
          <w:lang w:val="en-US" w:eastAsia="zh-CN"/>
        </w:rPr>
        <w:t xml:space="preserve">. </w:t>
      </w:r>
      <w:r>
        <w:rPr>
          <w:rFonts w:hint="default" w:ascii="Times New Roman" w:hAnsi="Times New Roman" w:eastAsia="宋体" w:cs="Times New Roman"/>
          <w:b w:val="0"/>
          <w:bCs w:val="0"/>
          <w:color w:val="auto"/>
          <w:sz w:val="24"/>
        </w:rPr>
        <w:t>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7"/>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4月17日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7</w:t>
      </w:r>
      <w:r>
        <w:rPr>
          <w:rFonts w:hint="default" w:ascii="Times New Roman" w:hAnsi="Times New Roman" w:eastAsia="宋体" w:cs="Times New Roman"/>
          <w:color w:val="auto"/>
          <w:sz w:val="24"/>
        </w:rPr>
        <w:t>：</w:t>
      </w:r>
      <w:r>
        <w:rPr>
          <w:rFonts w:hint="eastAsia" w:cs="Times New Roman"/>
          <w:color w:val="auto"/>
          <w:sz w:val="24"/>
          <w:lang w:val="en-US" w:eastAsia="zh-CN"/>
        </w:rPr>
        <w:t>3</w:t>
      </w:r>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bookmarkStart w:id="97" w:name="_GoBack"/>
      <w:bookmarkEnd w:id="97"/>
      <w:r>
        <w:rPr>
          <w:rFonts w:hint="eastAsia" w:cs="Times New Roman"/>
          <w:color w:val="auto"/>
          <w:sz w:val="24"/>
          <w:lang w:eastAsia="zh-CN"/>
        </w:rPr>
        <w:t>优和汇·红荔项目空调清洗服务采购</w:t>
      </w:r>
      <w:r>
        <w:rPr>
          <w:rFonts w:hint="default" w:ascii="Times New Roman" w:hAnsi="Times New Roman" w:eastAsia="宋体" w:cs="Times New Roman"/>
          <w:color w:val="auto"/>
          <w:sz w:val="24"/>
        </w:rPr>
        <w:t>+</w:t>
      </w:r>
      <w:r>
        <w:rPr>
          <w:rFonts w:hint="eastAsia" w:cs="Times New Roman"/>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eastAsia="zh-CN"/>
        </w:rPr>
        <w:t>采购人</w:t>
      </w:r>
      <w:r>
        <w:rPr>
          <w:rFonts w:hint="default" w:ascii="Times New Roman" w:hAnsi="Times New Roman" w:eastAsia="宋体" w:cs="Times New Roman"/>
          <w:color w:val="auto"/>
          <w:sz w:val="24"/>
        </w:rPr>
        <w:t>将予以拒收。</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36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numPr>
          <w:ilvl w:val="0"/>
          <w:numId w:val="0"/>
        </w:numPr>
        <w:tabs>
          <w:tab w:val="left" w:pos="180"/>
        </w:tabs>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19"/>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珠海正方资产运营管理有限公司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eastAsia="zh-CN"/>
        </w:rPr>
        <w:t>4月14日</w:t>
      </w: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15547"/>
      <w:bookmarkStart w:id="4" w:name="_Toc9199"/>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17685"/>
      <w:bookmarkStart w:id="8" w:name="_Toc16107"/>
      <w:bookmarkStart w:id="9" w:name="_Toc202819878"/>
      <w:bookmarkStart w:id="10" w:name="_Toc202251700"/>
      <w:bookmarkStart w:id="11" w:name="_Toc503427710"/>
      <w:bookmarkStart w:id="12" w:name="_Toc202252034"/>
      <w:bookmarkStart w:id="13" w:name="_Toc698"/>
      <w:bookmarkStart w:id="14" w:name="_Toc202254105"/>
      <w:bookmarkStart w:id="15" w:name="_Toc259090982"/>
      <w:bookmarkStart w:id="16" w:name="_Toc276645579"/>
      <w:bookmarkStart w:id="17" w:name="_Toc202251075"/>
      <w:bookmarkStart w:id="18" w:name="_Toc15317"/>
      <w:bookmarkStart w:id="19" w:name="_Toc202820351"/>
      <w:bookmarkStart w:id="20" w:name="_Toc202816996"/>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276645580"/>
      <w:bookmarkStart w:id="22" w:name="_Toc503427711"/>
      <w:bookmarkStart w:id="23" w:name="_Toc13089"/>
      <w:bookmarkStart w:id="24" w:name="_Toc32660"/>
      <w:bookmarkStart w:id="25" w:name="_Toc24181"/>
      <w:bookmarkStart w:id="26" w:name="_Toc20366"/>
      <w:bookmarkStart w:id="27" w:name="_Toc259090983"/>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珠海正方资产运营管理有限公司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优和汇·红荔项目空调清洗服务采购</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29" w:name="_Toc27591"/>
      <w:bookmarkStart w:id="30" w:name="_Toc528"/>
      <w:bookmarkStart w:id="31" w:name="_Toc503427713"/>
      <w:bookmarkStart w:id="32" w:name="_Toc17080"/>
      <w:bookmarkStart w:id="33" w:name="_Toc19817"/>
      <w:bookmarkStart w:id="34" w:name="_Toc19171"/>
      <w:r>
        <w:rPr>
          <w:rFonts w:hint="eastAsia" w:ascii="宋体" w:hAnsi="宋体"/>
          <w:sz w:val="28"/>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珠海正方资产运营管理有限公司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优和汇·红荔项目空调清洗服务采购</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5" w:name="_Toc31877"/>
      <w:bookmarkStart w:id="36" w:name="_Toc9476"/>
      <w:bookmarkStart w:id="37" w:name="_Toc32141"/>
      <w:bookmarkStart w:id="38" w:name="_Toc19969"/>
      <w:bookmarkStart w:id="39" w:name="_Toc10559"/>
      <w:bookmarkStart w:id="40" w:name="_Toc5048"/>
      <w:bookmarkStart w:id="41" w:name="_Toc13922"/>
      <w:bookmarkStart w:id="42" w:name="_Toc15464"/>
      <w:bookmarkStart w:id="43" w:name="_Toc19796"/>
      <w:bookmarkStart w:id="44" w:name="_Toc31767"/>
      <w:bookmarkStart w:id="45" w:name="_Toc24969"/>
      <w:bookmarkStart w:id="46" w:name="_Toc24356"/>
      <w:bookmarkStart w:id="47" w:name="_Toc26971"/>
      <w:bookmarkStart w:id="48" w:name="_Toc10585"/>
      <w:bookmarkStart w:id="49" w:name="_Toc14285"/>
      <w:bookmarkStart w:id="50" w:name="_Toc6220"/>
      <w:bookmarkStart w:id="51" w:name="_Toc503427714"/>
      <w:bookmarkStart w:id="52" w:name="_Toc32498"/>
      <w:bookmarkStart w:id="53" w:name="_Toc6275"/>
      <w:bookmarkStart w:id="54" w:name="_Toc27468"/>
      <w:bookmarkStart w:id="55" w:name="_Toc264628882"/>
      <w:bookmarkStart w:id="56" w:name="_Toc4726"/>
      <w:bookmarkStart w:id="57" w:name="_Toc276645583"/>
      <w:bookmarkStart w:id="58" w:name="_Toc4427"/>
      <w:r>
        <w:rPr>
          <w:rFonts w:hint="eastAsia"/>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59" w:name="_Toc5662"/>
      <w:bookmarkStart w:id="60" w:name="_Toc10726"/>
      <w:bookmarkStart w:id="61" w:name="_Toc7304"/>
      <w:bookmarkStart w:id="62" w:name="_Toc3193"/>
      <w:bookmarkStart w:id="63" w:name="_Toc29470"/>
      <w:bookmarkStart w:id="64" w:name="_Toc24446"/>
      <w:bookmarkStart w:id="65" w:name="_Toc22499"/>
      <w:bookmarkStart w:id="66" w:name="_Toc9094"/>
      <w:bookmarkStart w:id="67" w:name="_Toc16860"/>
      <w:bookmarkStart w:id="68" w:name="_Toc113"/>
      <w:bookmarkStart w:id="69" w:name="_Toc6669"/>
      <w:bookmarkStart w:id="70" w:name="_Toc500"/>
      <w:bookmarkStart w:id="71" w:name="_Toc30192"/>
      <w:bookmarkStart w:id="72" w:name="_Toc32145"/>
      <w:bookmarkStart w:id="73" w:name="_Toc2576"/>
      <w:bookmarkStart w:id="74" w:name="_Toc5278"/>
      <w:r>
        <w:rPr>
          <w:rFonts w:hint="eastAsia"/>
          <w:lang w:val="en-US" w:eastAsia="zh-CN"/>
        </w:rPr>
        <w:t>1.3.</w:t>
      </w:r>
      <w:bookmarkEnd w:id="59"/>
      <w:bookmarkEnd w:id="60"/>
      <w:bookmarkEnd w:id="61"/>
      <w:bookmarkStart w:id="75" w:name="_Toc17294"/>
      <w:bookmarkStart w:id="76" w:name="_Toc29247"/>
      <w:bookmarkStart w:id="77" w:name="_Toc28886"/>
      <w:r>
        <w:rPr>
          <w:rFonts w:hint="eastAsia"/>
          <w:lang w:val="en-US" w:eastAsia="zh-CN"/>
        </w:rPr>
        <w:t>2信用信息</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未被列入“信用中国”网站(www.creditchina.gov.cn)“记录失信被执行人或重大税收违法失信主体或政府采购严重违法失信行为”记录名单证明文件（提供信用中国网站公示信息截图加盖公章）。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5"/>
        <w:spacing w:before="100" w:after="100" w:line="360" w:lineRule="auto"/>
        <w:rPr>
          <w:rFonts w:hint="default" w:ascii="宋体" w:hAnsi="宋体"/>
          <w:sz w:val="28"/>
          <w:lang w:val="en-US" w:eastAsia="zh-CN"/>
        </w:rPr>
      </w:pPr>
      <w:r>
        <w:rPr>
          <w:rFonts w:hint="eastAsia" w:ascii="宋体" w:hAnsi="宋体"/>
          <w:sz w:val="28"/>
          <w:lang w:val="en-US" w:eastAsia="zh-CN"/>
        </w:rPr>
        <w:br w:type="page"/>
      </w:r>
      <w:bookmarkStart w:id="78" w:name="_Toc21911"/>
      <w:r>
        <w:rPr>
          <w:rFonts w:hint="eastAsia" w:ascii="宋体" w:hAnsi="宋体"/>
          <w:sz w:val="28"/>
          <w:lang w:val="en-US" w:eastAsia="zh-CN"/>
        </w:rPr>
        <w:t xml:space="preserve">1.3.3 </w:t>
      </w:r>
      <w:bookmarkEnd w:id="78"/>
      <w:r>
        <w:rPr>
          <w:rFonts w:hint="eastAsia" w:ascii="宋体" w:hAnsi="宋体"/>
          <w:sz w:val="28"/>
          <w:lang w:val="en-US" w:eastAsia="zh-CN"/>
        </w:rPr>
        <w:t>业绩证明</w:t>
      </w:r>
    </w:p>
    <w:p>
      <w:pPr>
        <w:pStyle w:val="5"/>
        <w:spacing w:before="100" w:after="100" w:line="360" w:lineRule="auto"/>
        <w:rPr>
          <w:rFonts w:hint="eastAsia" w:hAnsi="宋体" w:cs="仿宋"/>
          <w:b/>
          <w:bCs/>
          <w:kern w:val="28"/>
          <w:sz w:val="24"/>
          <w:szCs w:val="24"/>
          <w:lang w:val="en-US" w:eastAsia="zh-CN"/>
        </w:rPr>
      </w:pPr>
      <w:bookmarkStart w:id="79" w:name="_Toc20437"/>
      <w:r>
        <w:rPr>
          <w:rFonts w:hint="eastAsia" w:hAnsi="宋体" w:cs="仿宋"/>
          <w:b/>
          <w:bCs/>
          <w:kern w:val="28"/>
          <w:sz w:val="24"/>
          <w:szCs w:val="24"/>
          <w:lang w:val="en-US" w:eastAsia="zh-CN"/>
        </w:rPr>
        <w:t>自公告发布之日起近5年具备2个空调清洗服务的业绩，提供合同关键页或采购订单或委托书等证明资料(</w:t>
      </w:r>
      <w:r>
        <w:rPr>
          <w:rFonts w:hint="eastAsia" w:ascii="宋体" w:hAnsi="宋体" w:cs="仿宋"/>
          <w:b/>
          <w:bCs/>
          <w:kern w:val="28"/>
          <w:sz w:val="24"/>
        </w:rPr>
        <w:t>加盖</w:t>
      </w:r>
      <w:r>
        <w:rPr>
          <w:rFonts w:hint="eastAsia" w:ascii="宋体" w:hAnsi="宋体" w:cs="仿宋"/>
          <w:b/>
          <w:bCs/>
          <w:kern w:val="28"/>
          <w:sz w:val="24"/>
          <w:lang w:eastAsia="zh-CN"/>
        </w:rPr>
        <w:t>报价人</w:t>
      </w:r>
      <w:r>
        <w:rPr>
          <w:rFonts w:hint="eastAsia" w:ascii="宋体" w:hAnsi="宋体" w:cs="仿宋"/>
          <w:b/>
          <w:bCs/>
          <w:kern w:val="28"/>
          <w:sz w:val="24"/>
        </w:rPr>
        <w:t>公章</w:t>
      </w:r>
      <w:r>
        <w:rPr>
          <w:rFonts w:hint="eastAsia" w:hAnsi="宋体" w:cs="仿宋"/>
          <w:b/>
          <w:bCs/>
          <w:kern w:val="28"/>
          <w:sz w:val="24"/>
          <w:szCs w:val="24"/>
          <w:lang w:val="en-US" w:eastAsia="zh-CN"/>
        </w:rPr>
        <w:t>)。</w:t>
      </w: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1206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10160" b="825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pStyle w:val="5"/>
        <w:spacing w:before="100" w:after="100" w:line="360" w:lineRule="auto"/>
        <w:rPr>
          <w:rFonts w:ascii="宋体" w:hAnsi="宋体"/>
          <w:sz w:val="28"/>
        </w:rPr>
      </w:pPr>
      <w:r>
        <w:drawing>
          <wp:inline distT="0" distB="0" distL="114300" distR="114300">
            <wp:extent cx="5270500" cy="7850505"/>
            <wp:effectExtent l="0" t="0" r="1270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r>
        <w:rPr>
          <w:rFonts w:hint="eastAsia" w:ascii="宋体" w:hAnsi="宋体"/>
          <w:b/>
          <w:bCs/>
          <w:sz w:val="28"/>
        </w:rPr>
        <w:br w:type="page"/>
      </w:r>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1"/>
      <w:bookmarkEnd w:id="52"/>
      <w:bookmarkEnd w:id="53"/>
      <w:bookmarkEnd w:id="54"/>
      <w:bookmarkEnd w:id="55"/>
      <w:bookmarkEnd w:id="56"/>
      <w:bookmarkEnd w:id="57"/>
      <w:bookmarkEnd w:id="58"/>
      <w:bookmarkEnd w:id="7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珠海正方资产运营管理有限公司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2"/>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2"/>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pPr>
      <w:bookmarkStart w:id="80" w:name="_Toc276645592"/>
      <w:bookmarkStart w:id="81" w:name="_Toc29543"/>
      <w:bookmarkStart w:id="82" w:name="_Toc202819882"/>
      <w:bookmarkStart w:id="83" w:name="_Toc202254108"/>
      <w:bookmarkStart w:id="84" w:name="_Toc24253"/>
      <w:bookmarkStart w:id="85" w:name="_Toc202252037"/>
      <w:bookmarkStart w:id="86" w:name="_Toc202251078"/>
      <w:bookmarkStart w:id="87" w:name="_Toc3330"/>
      <w:bookmarkStart w:id="88" w:name="_Toc202817000"/>
      <w:bookmarkStart w:id="89" w:name="_Toc202251703"/>
      <w:bookmarkStart w:id="90" w:name="_Toc259090996"/>
      <w:bookmarkStart w:id="91" w:name="_Toc202820355"/>
      <w:bookmarkStart w:id="92" w:name="_Toc503427721"/>
      <w:bookmarkStart w:id="93" w:name="_Toc21572"/>
      <w:bookmarkStart w:id="94" w:name="_Toc12992"/>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00" w:lineRule="exact"/>
        <w:jc w:val="left"/>
        <w:rPr>
          <w:rStyle w:val="17"/>
          <w:rFonts w:hint="default" w:ascii="Times New Roman" w:hAnsi="Times New Roman" w:cs="Times New Roman"/>
          <w:color w:val="auto"/>
          <w:sz w:val="36"/>
          <w:szCs w:val="36"/>
        </w:rPr>
      </w:pPr>
      <w:r>
        <w:rPr>
          <w:rStyle w:val="17"/>
          <w:rFonts w:hint="eastAsia" w:cs="Times New Roman"/>
          <w:color w:val="auto"/>
          <w:sz w:val="36"/>
          <w:szCs w:val="36"/>
          <w:lang w:val="en-US" w:eastAsia="zh-CN"/>
        </w:rPr>
        <w:t>2.1</w:t>
      </w:r>
      <w:r>
        <w:rPr>
          <w:rStyle w:val="17"/>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珠海正方资产运营管理有限公司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优和汇·红荔项目空调清洗服务采购</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7"/>
          <w:rFonts w:hint="default" w:ascii="Times New Roman" w:hAnsi="Times New Roman" w:cs="Times New Roman"/>
          <w:color w:val="auto"/>
          <w:sz w:val="40"/>
          <w:szCs w:val="30"/>
        </w:rPr>
        <w:t>报 价 书</w:t>
      </w:r>
    </w:p>
    <w:p>
      <w:pPr>
        <w:spacing w:line="336"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珠海正方资产运营管理有限公司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36"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w:t>
      </w:r>
      <w:r>
        <w:rPr>
          <w:rFonts w:hint="eastAsia" w:cs="Times New Roman"/>
          <w:color w:val="auto"/>
          <w:sz w:val="28"/>
          <w:szCs w:val="28"/>
          <w:lang w:val="en-US" w:eastAsia="zh-CN"/>
        </w:rPr>
        <w:t>优和汇·红荔项目空调清洗服务采购</w:t>
      </w:r>
      <w:r>
        <w:rPr>
          <w:rFonts w:hint="eastAsia" w:cs="Times New Roman"/>
          <w:color w:val="auto"/>
          <w:sz w:val="28"/>
          <w:szCs w:val="28"/>
          <w:lang w:eastAsia="zh-CN"/>
        </w:rPr>
        <w:t>）</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p>
    <w:p>
      <w:pPr>
        <w:spacing w:line="336"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元 （¥          元）承接</w:t>
      </w:r>
      <w:permStart w:id="12" w:edGrp="everyone"/>
      <w:r>
        <w:rPr>
          <w:rFonts w:hint="eastAsia" w:cs="Times New Roman"/>
          <w:color w:val="auto"/>
          <w:sz w:val="28"/>
          <w:szCs w:val="28"/>
          <w:lang w:eastAsia="zh-CN"/>
        </w:rPr>
        <w:t>（</w:t>
      </w:r>
      <w:r>
        <w:rPr>
          <w:rFonts w:hint="eastAsia" w:cs="Times New Roman"/>
          <w:color w:val="auto"/>
          <w:sz w:val="28"/>
          <w:szCs w:val="28"/>
          <w:lang w:val="en-US" w:eastAsia="zh-CN"/>
        </w:rPr>
        <w:t>优和汇·红荔项目空调清洗服务采购</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4"/>
        <w:tblW w:w="9016" w:type="dxa"/>
        <w:tblInd w:w="-14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39"/>
        <w:gridCol w:w="1103"/>
        <w:gridCol w:w="2763"/>
        <w:gridCol w:w="584"/>
        <w:gridCol w:w="933"/>
        <w:gridCol w:w="1297"/>
        <w:gridCol w:w="1113"/>
        <w:gridCol w:w="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6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276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58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93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工程量</w:t>
            </w:r>
          </w:p>
        </w:tc>
        <w:tc>
          <w:tcPr>
            <w:tcW w:w="241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3"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58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3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综合单价 </w:t>
            </w:r>
          </w:p>
        </w:tc>
        <w:tc>
          <w:tcPr>
            <w:tcW w:w="111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挂机清洗</w:t>
            </w:r>
          </w:p>
        </w:tc>
        <w:tc>
          <w:tcPr>
            <w:tcW w:w="2763" w:type="dxa"/>
            <w:vMerge w:val="restart"/>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1、核心清洗部件包括：室内机的过滤网、蒸发器（翅片）、风轮、风道、冷凝水盘；室外机的翅片、外壳和风扇。施工过程中应遵循规范的流程进行拆卸、清洗和安装，防止损坏设备</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2、对于需要高空作业的空调（如室外机），作业人员必须持有有效的高空作业证，并购买足额的意外伤害保险，必须对空调进行深度清洗，而不仅仅是清洗滤网。</w:t>
            </w: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24.00 </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4"/>
                <w:szCs w:val="24"/>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风管机清洗</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left"/>
              <w:rPr>
                <w:rFonts w:hint="eastAsia" w:ascii="宋体" w:hAnsi="宋体" w:eastAsia="宋体" w:cs="宋体"/>
                <w:i w:val="0"/>
                <w:color w:val="000000"/>
                <w:sz w:val="22"/>
                <w:szCs w:val="22"/>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37.00 </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4"/>
                <w:szCs w:val="24"/>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天花机清洗</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left"/>
              <w:rPr>
                <w:rFonts w:hint="eastAsia" w:ascii="宋体" w:hAnsi="宋体" w:eastAsia="宋体" w:cs="宋体"/>
                <w:i w:val="0"/>
                <w:color w:val="000000"/>
                <w:sz w:val="22"/>
                <w:szCs w:val="22"/>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62.00 </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4"/>
                <w:szCs w:val="24"/>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空调外机清洗</w:t>
            </w:r>
          </w:p>
        </w:tc>
        <w:tc>
          <w:tcPr>
            <w:tcW w:w="27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left"/>
              <w:rPr>
                <w:rFonts w:hint="eastAsia" w:ascii="宋体" w:hAnsi="宋体" w:eastAsia="宋体" w:cs="宋体"/>
                <w:i w:val="0"/>
                <w:color w:val="000000"/>
                <w:sz w:val="22"/>
                <w:szCs w:val="22"/>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台/次</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98.00 </w:t>
            </w:r>
          </w:p>
        </w:tc>
        <w:tc>
          <w:tcPr>
            <w:tcW w:w="1297"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c>
          <w:tcPr>
            <w:tcW w:w="111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jc w:val="center"/>
              <w:rPr>
                <w:rFonts w:hint="eastAsia" w:ascii="宋体" w:hAnsi="宋体" w:eastAsia="宋体" w:cs="宋体"/>
                <w:i w:val="0"/>
                <w:color w:val="000000"/>
                <w:sz w:val="24"/>
                <w:szCs w:val="24"/>
                <w:u w:val="none"/>
              </w:rPr>
            </w:pPr>
          </w:p>
        </w:tc>
        <w:tc>
          <w:tcPr>
            <w:tcW w:w="58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28" w:hRule="atLeast"/>
        </w:trPr>
        <w:tc>
          <w:tcPr>
            <w:tcW w:w="9016" w:type="dxa"/>
            <w:gridSpan w:val="8"/>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说明：1.所有报价均为含税价，且已包含人工费、材料费、服务费、交通差旅费、餐饮费等完成本项目的所有费用。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2.发票类型：   %□增值税专用发票□增值税普通发票。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3.质量标准：按任务书及甲方要求。</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4.付款方式：服务验收且收到齐套请款资料后付款。</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5.项目地点：优和汇·红荔项目地点，项目对接人：张艺博15015921450</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联系方式：</w:t>
      </w:r>
      <w:r>
        <w:rPr>
          <w:rFonts w:hint="default" w:ascii="Times New Roman" w:hAnsi="Times New Roman" w:eastAsia="宋体" w:cs="Times New Roman"/>
          <w:color w:val="auto"/>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br w:type="page"/>
      </w:r>
    </w:p>
    <w:p>
      <w:pPr>
        <w:spacing w:line="360" w:lineRule="auto"/>
        <w:jc w:val="left"/>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附件1：</w:t>
      </w:r>
      <w:bookmarkStart w:id="95" w:name="_Toc47961950"/>
      <w:bookmarkStart w:id="96" w:name="_Hlk41141708"/>
      <w:r>
        <w:rPr>
          <w:rFonts w:hint="eastAsia" w:ascii="宋体" w:hAnsi="宋体" w:eastAsia="宋体" w:cs="宋体"/>
          <w:b/>
          <w:bCs/>
          <w:color w:val="auto"/>
          <w:sz w:val="28"/>
          <w:szCs w:val="28"/>
          <w:lang w:val="en-US" w:eastAsia="zh-CN"/>
        </w:rPr>
        <w:t>技术任务书（另册）</w:t>
      </w:r>
      <w:bookmarkEnd w:id="95"/>
      <w:bookmarkEnd w:id="96"/>
    </w:p>
    <w:sectPr>
      <w:footerReference r:id="rId5" w:type="default"/>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72BA49"/>
    <w:multiLevelType w:val="singleLevel"/>
    <w:tmpl w:val="C872BA49"/>
    <w:lvl w:ilvl="0" w:tentative="0">
      <w:start w:val="2"/>
      <w:numFmt w:val="chineseCounting"/>
      <w:suff w:val="space"/>
      <w:lvlText w:val="第%1部分"/>
      <w:lvlJc w:val="left"/>
      <w:rPr>
        <w:rFonts w:hint="eastAsia"/>
      </w:rPr>
    </w:lvl>
  </w:abstractNum>
  <w:abstractNum w:abstractNumId="1">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attachedTemplate r:id="rId1"/>
  <w:trackRevisions w:val="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B61AA3"/>
    <w:rsid w:val="05B1555F"/>
    <w:rsid w:val="0671572A"/>
    <w:rsid w:val="067D1626"/>
    <w:rsid w:val="0841052C"/>
    <w:rsid w:val="097558B4"/>
    <w:rsid w:val="09770F2A"/>
    <w:rsid w:val="0A261215"/>
    <w:rsid w:val="0A4F74B7"/>
    <w:rsid w:val="0D8F41B1"/>
    <w:rsid w:val="0DB93286"/>
    <w:rsid w:val="0DCB0AAA"/>
    <w:rsid w:val="0E49720A"/>
    <w:rsid w:val="0EC420D1"/>
    <w:rsid w:val="0EC93FBB"/>
    <w:rsid w:val="10E91871"/>
    <w:rsid w:val="11DD4B3A"/>
    <w:rsid w:val="129618DC"/>
    <w:rsid w:val="14A90505"/>
    <w:rsid w:val="14DC73BB"/>
    <w:rsid w:val="14EB65E0"/>
    <w:rsid w:val="1588048B"/>
    <w:rsid w:val="168857E4"/>
    <w:rsid w:val="16D97ADD"/>
    <w:rsid w:val="16E45AEB"/>
    <w:rsid w:val="177F1319"/>
    <w:rsid w:val="17DF53E0"/>
    <w:rsid w:val="1B013FAA"/>
    <w:rsid w:val="1B513E4B"/>
    <w:rsid w:val="1BDC56E2"/>
    <w:rsid w:val="1D556636"/>
    <w:rsid w:val="1DCE44E0"/>
    <w:rsid w:val="1F9A4108"/>
    <w:rsid w:val="202F7D49"/>
    <w:rsid w:val="210322A7"/>
    <w:rsid w:val="2121293A"/>
    <w:rsid w:val="224D141B"/>
    <w:rsid w:val="23EC6A93"/>
    <w:rsid w:val="259F18F8"/>
    <w:rsid w:val="272E6E27"/>
    <w:rsid w:val="27540AC6"/>
    <w:rsid w:val="278065CC"/>
    <w:rsid w:val="28C56911"/>
    <w:rsid w:val="291B3A89"/>
    <w:rsid w:val="2B943CF0"/>
    <w:rsid w:val="2BED4BFF"/>
    <w:rsid w:val="2D022F1E"/>
    <w:rsid w:val="2E0A4EF7"/>
    <w:rsid w:val="2F8C5B34"/>
    <w:rsid w:val="3035528F"/>
    <w:rsid w:val="303C5477"/>
    <w:rsid w:val="31BE38D0"/>
    <w:rsid w:val="329B19DD"/>
    <w:rsid w:val="338C409C"/>
    <w:rsid w:val="36991F33"/>
    <w:rsid w:val="36D13171"/>
    <w:rsid w:val="37312149"/>
    <w:rsid w:val="37FE2A53"/>
    <w:rsid w:val="38F34C92"/>
    <w:rsid w:val="3BDD1A9B"/>
    <w:rsid w:val="3BF341D2"/>
    <w:rsid w:val="3DDA2166"/>
    <w:rsid w:val="3E7E4135"/>
    <w:rsid w:val="3EC52271"/>
    <w:rsid w:val="3ED65B24"/>
    <w:rsid w:val="40DF147E"/>
    <w:rsid w:val="410E417C"/>
    <w:rsid w:val="41972168"/>
    <w:rsid w:val="426867F2"/>
    <w:rsid w:val="427C15D5"/>
    <w:rsid w:val="43F34101"/>
    <w:rsid w:val="442B09BE"/>
    <w:rsid w:val="4483748A"/>
    <w:rsid w:val="46291EEF"/>
    <w:rsid w:val="467170E3"/>
    <w:rsid w:val="46B354B7"/>
    <w:rsid w:val="47C0473A"/>
    <w:rsid w:val="4A4F4DF7"/>
    <w:rsid w:val="4B0F1E17"/>
    <w:rsid w:val="4C032E3E"/>
    <w:rsid w:val="4C8E76F1"/>
    <w:rsid w:val="4D1202BB"/>
    <w:rsid w:val="4E8C1884"/>
    <w:rsid w:val="4F971260"/>
    <w:rsid w:val="5067110C"/>
    <w:rsid w:val="506979EA"/>
    <w:rsid w:val="508467D4"/>
    <w:rsid w:val="50DB0041"/>
    <w:rsid w:val="518A0729"/>
    <w:rsid w:val="54032B60"/>
    <w:rsid w:val="545F0E76"/>
    <w:rsid w:val="551F30DA"/>
    <w:rsid w:val="55233FA3"/>
    <w:rsid w:val="555801ED"/>
    <w:rsid w:val="55AF6717"/>
    <w:rsid w:val="56213D59"/>
    <w:rsid w:val="56DB22E8"/>
    <w:rsid w:val="57852512"/>
    <w:rsid w:val="57AB174E"/>
    <w:rsid w:val="584F6981"/>
    <w:rsid w:val="59A575EF"/>
    <w:rsid w:val="5B7B0426"/>
    <w:rsid w:val="5BD82D7C"/>
    <w:rsid w:val="5BE44C27"/>
    <w:rsid w:val="5BFB7194"/>
    <w:rsid w:val="5D497B32"/>
    <w:rsid w:val="5EBE23CD"/>
    <w:rsid w:val="617E685D"/>
    <w:rsid w:val="61A2602F"/>
    <w:rsid w:val="61FF0F78"/>
    <w:rsid w:val="63997189"/>
    <w:rsid w:val="63A6159C"/>
    <w:rsid w:val="63F16E5E"/>
    <w:rsid w:val="64847D61"/>
    <w:rsid w:val="665C30B6"/>
    <w:rsid w:val="66852B3E"/>
    <w:rsid w:val="66BB238A"/>
    <w:rsid w:val="67183BE9"/>
    <w:rsid w:val="67DE23FD"/>
    <w:rsid w:val="682078ED"/>
    <w:rsid w:val="68B65BF9"/>
    <w:rsid w:val="6A0D3F8C"/>
    <w:rsid w:val="6A787EA5"/>
    <w:rsid w:val="6A934041"/>
    <w:rsid w:val="6B4E5816"/>
    <w:rsid w:val="6CD54EA3"/>
    <w:rsid w:val="6D535020"/>
    <w:rsid w:val="73CF0EC4"/>
    <w:rsid w:val="76656426"/>
    <w:rsid w:val="768D0B53"/>
    <w:rsid w:val="76DA30C2"/>
    <w:rsid w:val="775B4F8E"/>
    <w:rsid w:val="77C31107"/>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1</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2026-04-14T08:21:05Z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