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城市阳台项目三台发电机深度保养服务</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（珠海正方盛泰投资有限公司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4月14日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一、</w:t>
      </w:r>
      <w:r>
        <w:rPr>
          <w:rFonts w:hint="default" w:ascii="Times New Roman" w:hAnsi="Times New Roman" w:eastAsia="宋体" w:cs="Times New Roman"/>
          <w:b/>
          <w:bCs/>
          <w:color w:val="auto"/>
          <w:sz w:val="24"/>
        </w:rPr>
        <w:t>采购人：</w:t>
      </w: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珠海正方盛泰投资有限公司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r>
        <w:rPr>
          <w:rFonts w:hint="eastAsia" w:cs="Times New Roman"/>
          <w:b w:val="0"/>
          <w:bCs w:val="0"/>
          <w:color w:val="auto"/>
          <w:sz w:val="24"/>
          <w:lang w:val="en-US" w:eastAsia="zh-CN"/>
        </w:rPr>
        <w:t>：</w:t>
      </w:r>
      <w:r>
        <w:rPr>
          <w:rFonts w:hint="eastAsia"/>
          <w:color w:val="auto"/>
          <w:sz w:val="24"/>
        </w:rPr>
        <w:t>为确保设备功能性完整，现需对城市阳台项目三台发电机组进行深度维护保养，涉及：更换机油，滤芯、电池、水箱清洗、其他零配件更换等服务</w:t>
      </w:r>
      <w:r>
        <w:rPr>
          <w:rFonts w:hint="eastAsia" w:cs="Times New Roman"/>
          <w:b w:val="0"/>
          <w:bCs w:val="0"/>
          <w:color w:val="auto"/>
          <w:sz w:val="24"/>
          <w:lang w:val="en-US" w:eastAsia="zh-CN"/>
        </w:rPr>
        <w:t>。详见本文件及任务书。</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三、</w:t>
      </w:r>
      <w:r>
        <w:rPr>
          <w:rFonts w:hint="default" w:ascii="Times New Roman" w:hAnsi="Times New Roman" w:eastAsia="宋体" w:cs="Times New Roman"/>
          <w:b/>
          <w:bCs/>
          <w:color w:val="auto"/>
          <w:sz w:val="24"/>
        </w:rPr>
        <w:t>采购预算总额：</w:t>
      </w: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val="en-US" w:eastAsia="zh-CN"/>
        </w:rPr>
        <w:t>壹万捌仟玖佰陆拾柒元整</w:t>
      </w:r>
      <w:r>
        <w:rPr>
          <w:rFonts w:hint="default" w:ascii="Times New Roman" w:hAnsi="Times New Roman" w:eastAsia="宋体" w:cs="Times New Roman"/>
          <w:color w:val="auto"/>
          <w:sz w:val="24"/>
          <w:u w:val="none"/>
        </w:rPr>
        <w:t>（¥</w:t>
      </w:r>
      <w:r>
        <w:rPr>
          <w:rFonts w:hint="eastAsia"/>
          <w:color w:val="auto"/>
          <w:sz w:val="24"/>
          <w:u w:val="none"/>
        </w:rPr>
        <w:t>18967.00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val="en-US" w:eastAsia="zh-CN"/>
        </w:rPr>
        <w:t>壹万捌仟玖佰陆拾柒元整</w:t>
      </w:r>
      <w:r>
        <w:rPr>
          <w:rFonts w:hint="default" w:ascii="Times New Roman" w:hAnsi="Times New Roman" w:eastAsia="宋体" w:cs="Times New Roman"/>
          <w:color w:val="auto"/>
          <w:sz w:val="24"/>
          <w:u w:val="none"/>
        </w:rPr>
        <w:t>（¥</w:t>
      </w:r>
      <w:r>
        <w:rPr>
          <w:rFonts w:hint="eastAsia"/>
          <w:color w:val="auto"/>
          <w:sz w:val="24"/>
          <w:u w:val="none"/>
        </w:rPr>
        <w:t>18967.00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36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城市阳台项目三台发电机深度保养服务</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进行询价，具体详见</w:t>
      </w:r>
      <w:r>
        <w:rPr>
          <w:rFonts w:hint="eastAsia" w:cs="Times New Roman"/>
          <w:color w:val="auto"/>
          <w:sz w:val="24"/>
          <w:lang w:val="en-US" w:eastAsia="zh-CN"/>
        </w:rPr>
        <w:t>报价文件及</w:t>
      </w:r>
      <w:r>
        <w:rPr>
          <w:rFonts w:hint="default" w:ascii="Times New Roman" w:hAnsi="Times New Roman" w:eastAsia="宋体" w:cs="Times New Roman"/>
          <w:color w:val="auto"/>
          <w:sz w:val="24"/>
        </w:rPr>
        <w:t>附件</w:t>
      </w:r>
      <w:r>
        <w:rPr>
          <w:rFonts w:hint="eastAsia" w:cs="Times New Roman"/>
          <w:color w:val="auto"/>
          <w:sz w:val="24"/>
          <w:lang w:val="en-US" w:eastAsia="zh-CN"/>
        </w:rPr>
        <w:t>1</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技术任务书</w:t>
      </w:r>
      <w:r>
        <w:rPr>
          <w:rFonts w:hint="default" w:ascii="Times New Roman" w:hAnsi="Times New Roman" w:eastAsia="宋体" w:cs="Times New Roman"/>
          <w:color w:val="auto"/>
          <w:sz w:val="24"/>
        </w:rPr>
        <w:t>》</w:t>
      </w:r>
      <w:r>
        <w:rPr>
          <w:rFonts w:hint="eastAsia" w:cs="Times New Roman"/>
          <w:color w:val="auto"/>
          <w:sz w:val="24"/>
          <w:lang w:eastAsia="zh-CN"/>
        </w:rPr>
        <w:t>。</w:t>
      </w:r>
    </w:p>
    <w:p>
      <w:pPr>
        <w:numPr>
          <w:ilvl w:val="0"/>
          <w:numId w:val="0"/>
        </w:numPr>
        <w:tabs>
          <w:tab w:val="left" w:pos="720"/>
        </w:tabs>
        <w:spacing w:beforeLines="0" w:afterLines="0" w:line="36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w:t>
      </w:r>
      <w:r>
        <w:rPr>
          <w:rFonts w:hint="eastAsia" w:cs="Times New Roman"/>
          <w:b w:val="0"/>
          <w:bCs w:val="0"/>
          <w:color w:val="auto"/>
          <w:sz w:val="24"/>
          <w:lang w:val="en-US" w:eastAsia="zh-CN"/>
        </w:rPr>
        <w:t xml:space="preserve">. </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必须是在中华人民共和国境内注册的、具有独立承担民事责任能力的企业法人或其他组织；</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w:t>
      </w:r>
      <w:r>
        <w:rPr>
          <w:rFonts w:hint="eastAsia" w:cs="Times New Roman"/>
          <w:b w:val="0"/>
          <w:bCs w:val="0"/>
          <w:color w:val="auto"/>
          <w:sz w:val="24"/>
          <w:lang w:val="en-US" w:eastAsia="zh-CN"/>
        </w:rPr>
        <w:t xml:space="preserve">. </w:t>
      </w:r>
      <w:r>
        <w:rPr>
          <w:rFonts w:hint="default" w:ascii="Times New Roman" w:hAnsi="Times New Roman" w:eastAsia="宋体" w:cs="Times New Roman"/>
          <w:b w:val="0"/>
          <w:bCs w:val="0"/>
          <w:color w:val="auto"/>
          <w:sz w:val="24"/>
        </w:rPr>
        <w:t>资质要求：具有有效的</w:t>
      </w:r>
      <w:r>
        <w:rPr>
          <w:rFonts w:hint="eastAsia" w:cs="Times New Roman"/>
          <w:b w:val="0"/>
          <w:bCs w:val="0"/>
          <w:color w:val="0000FF"/>
          <w:sz w:val="24"/>
          <w:lang w:eastAsia="zh-CN"/>
        </w:rPr>
        <w:t>承装（修、试）电力设施许可证或机电安装资质；</w:t>
      </w:r>
      <w:bookmarkStart w:id="97" w:name="_GoBack"/>
      <w:bookmarkEnd w:id="97"/>
      <w:r>
        <w:rPr>
          <w:rFonts w:hint="default" w:ascii="Times New Roman" w:hAnsi="Times New Roman" w:eastAsia="宋体" w:cs="Times New Roman"/>
          <w:b w:val="0"/>
          <w:bCs w:val="0"/>
          <w:color w:val="auto"/>
          <w:sz w:val="24"/>
        </w:rPr>
        <w:t>；</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w:t>
      </w:r>
      <w:r>
        <w:rPr>
          <w:rFonts w:hint="eastAsia" w:cs="Times New Roman"/>
          <w:b w:val="0"/>
          <w:bCs w:val="0"/>
          <w:color w:val="auto"/>
          <w:sz w:val="24"/>
          <w:lang w:val="en-US" w:eastAsia="zh-CN"/>
        </w:rPr>
        <w:t xml:space="preserve">. </w:t>
      </w:r>
      <w:r>
        <w:rPr>
          <w:rFonts w:hint="eastAsia" w:ascii="宋体" w:hAnsi="宋体" w:eastAsia="宋体" w:cs="宋体"/>
          <w:b w:val="0"/>
          <w:bCs w:val="0"/>
          <w:color w:val="auto"/>
          <w:sz w:val="24"/>
        </w:rPr>
        <w:t>未被列入“信用中国”网站(www.creditchina.gov.cn)“记录失信被执行人或重大税收违法失信主体或政府采购严重违法失信行为”记录名单证明文件；</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w:t>
      </w:r>
      <w:r>
        <w:rPr>
          <w:rFonts w:hint="eastAsia" w:cs="Times New Roman"/>
          <w:b w:val="0"/>
          <w:bCs w:val="0"/>
          <w:color w:val="auto"/>
          <w:sz w:val="24"/>
          <w:lang w:val="en-US" w:eastAsia="zh-CN"/>
        </w:rPr>
        <w:t xml:space="preserve">. </w:t>
      </w:r>
      <w:r>
        <w:rPr>
          <w:rFonts w:hint="default" w:ascii="Times New Roman" w:hAnsi="Times New Roman" w:eastAsia="宋体" w:cs="Times New Roman"/>
          <w:b w:val="0"/>
          <w:bCs w:val="0"/>
          <w:color w:val="auto"/>
          <w:sz w:val="24"/>
        </w:rPr>
        <w:t>未被纳入正方集团“黑名单”；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w:t>
      </w:r>
      <w:r>
        <w:rPr>
          <w:rFonts w:hint="eastAsia" w:cs="Times New Roman"/>
          <w:b w:val="0"/>
          <w:bCs w:val="0"/>
          <w:color w:val="auto"/>
          <w:sz w:val="24"/>
          <w:lang w:val="en-US" w:eastAsia="zh-CN"/>
        </w:rPr>
        <w:t xml:space="preserve">. </w:t>
      </w:r>
      <w:r>
        <w:rPr>
          <w:rFonts w:hint="default" w:ascii="Times New Roman" w:hAnsi="Times New Roman" w:eastAsia="宋体" w:cs="Times New Roman"/>
          <w:b w:val="0"/>
          <w:bCs w:val="0"/>
          <w:color w:val="auto"/>
          <w:sz w:val="24"/>
        </w:rPr>
        <w:t>与其他</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不存在单位负责人为同一人或者存在控股、管理关系；</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6</w:t>
      </w:r>
      <w:r>
        <w:rPr>
          <w:rFonts w:hint="eastAsia" w:cs="Times New Roman"/>
          <w:b w:val="0"/>
          <w:bCs w:val="0"/>
          <w:color w:val="auto"/>
          <w:sz w:val="24"/>
          <w:lang w:val="en-US" w:eastAsia="zh-CN"/>
        </w:rPr>
        <w:t xml:space="preserve">. </w:t>
      </w:r>
      <w:r>
        <w:rPr>
          <w:rFonts w:hint="default" w:ascii="Times New Roman" w:hAnsi="Times New Roman" w:eastAsia="宋体" w:cs="Times New Roman"/>
          <w:b w:val="0"/>
          <w:bCs w:val="0"/>
          <w:color w:val="auto"/>
          <w:sz w:val="24"/>
        </w:rPr>
        <w:t>本项目不接受联合体投标；</w:t>
      </w:r>
    </w:p>
    <w:p>
      <w:pPr>
        <w:spacing w:beforeLines="0" w:afterLines="0" w:line="36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r>
        <w:rPr>
          <w:rFonts w:hint="default" w:ascii="Times New Roman" w:hAnsi="Times New Roman" w:eastAsia="宋体" w:cs="Times New Roman"/>
          <w:b/>
          <w:bCs/>
          <w:color w:val="auto"/>
          <w:sz w:val="24"/>
        </w:rPr>
        <w:t>：</w:t>
      </w:r>
    </w:p>
    <w:p>
      <w:pPr>
        <w:pStyle w:val="6"/>
        <w:spacing w:beforeLines="0" w:afterLines="0" w:line="360" w:lineRule="auto"/>
        <w:ind w:firstLine="0" w:firstLineChars="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6"/>
        <w:spacing w:beforeLines="0" w:afterLines="0" w:line="360" w:lineRule="auto"/>
        <w:ind w:firstLine="0" w:firstLineChars="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2"/>
        <w:keepNext w:val="0"/>
        <w:keepLines w:val="0"/>
        <w:pageBreakBefore w:val="0"/>
        <w:widowControl w:val="0"/>
        <w:kinsoku/>
        <w:wordWrap/>
        <w:overflowPunct/>
        <w:topLinePunct w:val="0"/>
        <w:bidi w:val="0"/>
        <w:snapToGrid/>
        <w:spacing w:beforeLines="0" w:afterLines="0" w:line="360" w:lineRule="auto"/>
        <w:ind w:firstLine="0" w:firstLineChars="0"/>
        <w:rPr>
          <w:rFonts w:hint="eastAsia" w:hAnsi="宋体" w:cs="仿宋"/>
          <w:color w:val="0000FF"/>
          <w:sz w:val="24"/>
          <w:u w:val="none"/>
          <w:lang w:val="en-US" w:eastAsia="zh-CN"/>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4月17日</w:t>
      </w:r>
      <w:r>
        <w:rPr>
          <w:rFonts w:hint="default" w:ascii="Times New Roman" w:hAnsi="Times New Roman" w:eastAsia="宋体" w:cs="Times New Roman"/>
          <w:color w:val="auto"/>
          <w:sz w:val="24"/>
        </w:rPr>
        <w:t xml:space="preserve"> 1</w:t>
      </w:r>
      <w:r>
        <w:rPr>
          <w:rFonts w:hint="eastAsia" w:cs="Times New Roman"/>
          <w:color w:val="auto"/>
          <w:sz w:val="24"/>
          <w:lang w:val="en-US" w:eastAsia="zh-CN"/>
        </w:rPr>
        <w:t>7</w:t>
      </w:r>
      <w:r>
        <w:rPr>
          <w:rFonts w:hint="default" w:ascii="Times New Roman" w:hAnsi="Times New Roman" w:eastAsia="宋体" w:cs="Times New Roman"/>
          <w:color w:val="auto"/>
          <w:sz w:val="24"/>
        </w:rPr>
        <w:t>：</w:t>
      </w:r>
      <w:r>
        <w:rPr>
          <w:rFonts w:hint="eastAsia" w:cs="Times New Roman"/>
          <w:color w:val="auto"/>
          <w:sz w:val="24"/>
          <w:lang w:val="en-US" w:eastAsia="zh-CN"/>
        </w:rPr>
        <w:t>3</w:t>
      </w:r>
      <w:r>
        <w:rPr>
          <w:rFonts w:hint="default" w:ascii="Times New Roman" w:hAnsi="Times New Roman" w:eastAsia="宋体" w:cs="Times New Roman"/>
          <w:color w:val="auto"/>
          <w:sz w:val="24"/>
        </w:rPr>
        <w:t>0（北京时间）；</w:t>
      </w:r>
    </w:p>
    <w:permEnd w:id="5"/>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城市阳台项目三台发电机深度保养服务</w:t>
      </w:r>
      <w:r>
        <w:rPr>
          <w:rFonts w:hint="default" w:ascii="Times New Roman" w:hAnsi="Times New Roman" w:eastAsia="宋体" w:cs="Times New Roman"/>
          <w:color w:val="auto"/>
          <w:sz w:val="24"/>
        </w:rPr>
        <w:t>+</w:t>
      </w:r>
      <w:r>
        <w:rPr>
          <w:rFonts w:hint="eastAsia" w:cs="Times New Roman"/>
          <w:color w:val="auto"/>
          <w:sz w:val="24"/>
          <w:lang w:val="en-US" w:eastAsia="zh-CN"/>
        </w:rPr>
        <w:t>钟工</w:t>
      </w:r>
      <w:permEnd w:id="6"/>
      <w:r>
        <w:rPr>
          <w:rFonts w:hint="default" w:ascii="Times New Roman" w:hAnsi="Times New Roman" w:eastAsia="宋体" w:cs="Times New Roman"/>
          <w:color w:val="auto"/>
          <w:sz w:val="24"/>
        </w:rPr>
        <w:t>）。</w:t>
      </w:r>
    </w:p>
    <w:p>
      <w:pPr>
        <w:spacing w:beforeLines="0" w:afterLines="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eastAsia="zh-CN"/>
        </w:rPr>
        <w:t>采购人</w:t>
      </w:r>
      <w:r>
        <w:rPr>
          <w:rFonts w:hint="default" w:ascii="Times New Roman" w:hAnsi="Times New Roman" w:eastAsia="宋体" w:cs="Times New Roman"/>
          <w:color w:val="auto"/>
          <w:sz w:val="24"/>
        </w:rPr>
        <w:t>将予以拒收。</w:t>
      </w:r>
    </w:p>
    <w:p>
      <w:pPr>
        <w:numPr>
          <w:ilvl w:val="0"/>
          <w:numId w:val="0"/>
        </w:numPr>
        <w:spacing w:before="0" w:beforeLines="0" w:after="0" w:afterLines="0" w:line="36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36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36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36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36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lang w:val="en-US" w:eastAsia="zh-CN"/>
        </w:rPr>
      </w:pPr>
      <w:bookmarkStart w:id="1" w:name="_Toc47961947"/>
      <w:r>
        <w:rPr>
          <w:rFonts w:hint="default" w:ascii="Times New Roman" w:hAnsi="Times New Roman" w:eastAsia="宋体" w:cs="Times New Roman"/>
          <w:b/>
          <w:bCs/>
          <w:color w:val="auto"/>
          <w:sz w:val="24"/>
          <w:lang w:val="en-US" w:eastAsia="zh-CN"/>
        </w:rPr>
        <w:t>十、细微偏差修正</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2．存在细微偏差的报价文件，采购人应评标时进行认定并要求报价人书面补正细微偏差。报价人书面作出补正之后，应当视为有效报价文件。若报价人拒绝补正，其报价文件将被拒绝。</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3．细微偏差按照下列原则进行补正（次序排先者优先）：</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（1）投标报价大写金额与小写金额不一致的，除非大写金额存在明显的小数点错误，否则，应当以大写金额为准，修改小写金额。</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（2）投标总价金额与分项报价合计金额不一致的，除非投标总价金额存在明显的小数点错误，否则，应当以投标总价金额为准，修改分项报价合计金额。</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（3）若用文字表示的数值与用数字表示的数值不一致，以文字表示的数值为准。</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（4）其他细微偏差按照有利于采购人的原则进行补正。</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spacing w:beforeLines="0" w:afterLines="0" w:line="360" w:lineRule="auto"/>
        <w:ind w:firstLine="470" w:firstLineChars="196"/>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1．地址：</w:t>
      </w:r>
      <w:r>
        <w:rPr>
          <w:rFonts w:hint="eastAsia" w:cs="Times New Roman"/>
          <w:color w:val="auto"/>
          <w:sz w:val="24"/>
          <w:lang w:eastAsia="zh-CN"/>
        </w:rPr>
        <w:t>珠海市香洲区卫康路199号香洲创港中心17栋1</w:t>
      </w:r>
      <w:r>
        <w:rPr>
          <w:rFonts w:hint="eastAsia" w:cs="Times New Roman"/>
          <w:color w:val="auto"/>
          <w:sz w:val="24"/>
          <w:lang w:val="en-US" w:eastAsia="zh-CN"/>
        </w:rPr>
        <w:t>4</w:t>
      </w:r>
      <w:r>
        <w:rPr>
          <w:rFonts w:hint="eastAsia" w:cs="Times New Roman"/>
          <w:color w:val="auto"/>
          <w:sz w:val="24"/>
          <w:lang w:eastAsia="zh-CN"/>
        </w:rPr>
        <w:t>楼</w:t>
      </w:r>
      <w:r>
        <w:rPr>
          <w:rFonts w:hint="default" w:ascii="Times New Roman" w:hAnsi="Times New Roman" w:eastAsia="宋体" w:cs="Times New Roman"/>
          <w:color w:val="auto"/>
          <w:sz w:val="24"/>
        </w:rPr>
        <w:t xml:space="preserve"> </w:t>
      </w:r>
    </w:p>
    <w:p>
      <w:pPr>
        <w:pStyle w:val="19"/>
        <w:spacing w:beforeLines="0" w:afterLines="0"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2．</w:t>
      </w:r>
      <w:r>
        <w:rPr>
          <w:rFonts w:hint="eastAsia" w:cs="Times New Roman"/>
          <w:color w:val="auto"/>
          <w:sz w:val="24"/>
          <w:szCs w:val="24"/>
          <w:lang w:val="en-US" w:eastAsia="zh-CN"/>
        </w:rPr>
        <w:t>报价</w:t>
      </w:r>
      <w:r>
        <w:rPr>
          <w:rFonts w:hint="default" w:ascii="Times New Roman" w:hAnsi="Times New Roman" w:eastAsia="宋体" w:cs="Times New Roman"/>
          <w:color w:val="auto"/>
          <w:sz w:val="24"/>
          <w:szCs w:val="24"/>
        </w:rPr>
        <w:t xml:space="preserve">咨询联系方式： </w:t>
      </w:r>
      <w:permStart w:id="7" w:edGrp="everyone"/>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钟工15521120229</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珠海正方盛泰投资有限公司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2026年</w:t>
      </w:r>
      <w:r>
        <w:rPr>
          <w:rFonts w:hint="eastAsia" w:ascii="宋体" w:hAnsi="宋体" w:cs="宋体"/>
          <w:color w:val="auto"/>
          <w:sz w:val="24"/>
          <w:szCs w:val="24"/>
          <w:lang w:eastAsia="zh-CN"/>
        </w:rPr>
        <w:t>4月14日</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9199"/>
      <w:bookmarkStart w:id="3" w:name="_Toc27664"/>
      <w:bookmarkStart w:id="4" w:name="_Toc15547"/>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259090982"/>
      <w:bookmarkStart w:id="8" w:name="_Toc698"/>
      <w:bookmarkStart w:id="9" w:name="_Toc202816996"/>
      <w:bookmarkStart w:id="10" w:name="_Toc202820351"/>
      <w:bookmarkStart w:id="11" w:name="_Toc202819878"/>
      <w:bookmarkStart w:id="12" w:name="_Toc15317"/>
      <w:bookmarkStart w:id="13" w:name="_Toc202252034"/>
      <w:bookmarkStart w:id="14" w:name="_Toc276645579"/>
      <w:bookmarkStart w:id="15" w:name="_Toc202254105"/>
      <w:bookmarkStart w:id="16" w:name="_Toc503427710"/>
      <w:bookmarkStart w:id="17" w:name="_Toc16107"/>
      <w:bookmarkStart w:id="18" w:name="_Toc202251700"/>
      <w:bookmarkStart w:id="19" w:name="_Toc202251075"/>
      <w:bookmarkStart w:id="20" w:name="_Toc17685"/>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503427711"/>
      <w:bookmarkStart w:id="22" w:name="_Toc20366"/>
      <w:bookmarkStart w:id="23" w:name="_Toc259090983"/>
      <w:bookmarkStart w:id="24" w:name="_Toc24181"/>
      <w:bookmarkStart w:id="25" w:name="_Toc13089"/>
      <w:bookmarkStart w:id="26" w:name="_Toc276645580"/>
      <w:bookmarkStart w:id="27" w:name="_Toc32660"/>
      <w:r>
        <w:rPr>
          <w:rFonts w:hint="eastAsia" w:ascii="宋体" w:hAnsi="宋体"/>
          <w:sz w:val="28"/>
        </w:rPr>
        <w:t>1.1投标函</w:t>
      </w:r>
      <w:bookmarkEnd w:id="21"/>
      <w:bookmarkEnd w:id="22"/>
      <w:bookmarkEnd w:id="23"/>
      <w:bookmarkEnd w:id="24"/>
      <w:bookmarkEnd w:id="25"/>
      <w:bookmarkEnd w:id="26"/>
      <w:bookmarkEnd w:id="27"/>
    </w:p>
    <w:p>
      <w:pPr>
        <w:pStyle w:val="2"/>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珠海正方盛泰投资有限公司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城市阳台项目三台发电机深度保养服务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及其附件，包括澄清及参考文件(如果有的话)。我方已完全清晰理解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文件中提供的一切文件，无论是原件还是复印件均为真实和准确的，绝无任何虚假、伪造和夸大的成</w:t>
      </w:r>
      <w:r>
        <w:rPr>
          <w:rFonts w:hint="eastAsia" w:ascii="宋体" w:hAnsi="宋体"/>
          <w:kern w:val="0"/>
          <w:sz w:val="24"/>
          <w:lang w:val="en-US" w:eastAsia="zh-CN"/>
        </w:rPr>
        <w:t>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 xml:space="preserve">人名称(公章)：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numPr>
          <w:ilvl w:val="0"/>
          <w:numId w:val="0"/>
        </w:numPr>
        <w:rPr>
          <w:rFonts w:hint="default" w:ascii="宋体" w:hAnsi="宋体" w:eastAsia="宋体" w:cs="宋体"/>
          <w:bCs/>
          <w:sz w:val="28"/>
          <w:szCs w:val="28"/>
          <w:lang w:val="en-US" w:eastAsia="zh-CN"/>
        </w:rPr>
      </w:pPr>
      <w:r>
        <w:rPr>
          <w:rFonts w:hint="eastAsia" w:ascii="Times New Roman" w:hAnsi="Times New Roman" w:cs="Times New Roman"/>
          <w:color w:val="auto"/>
          <w:sz w:val="32"/>
          <w:szCs w:val="32"/>
          <w:lang w:val="en-US" w:eastAsia="zh-CN"/>
        </w:rPr>
        <w:t>1.2</w:t>
      </w:r>
      <w:r>
        <w:rPr>
          <w:rFonts w:hint="eastAsia"/>
          <w:b/>
          <w:sz w:val="32"/>
          <w:lang w:val="en-US" w:eastAsia="zh-CN"/>
        </w:rPr>
        <w:t>法</w:t>
      </w:r>
      <w:r>
        <w:rPr>
          <w:b/>
          <w:sz w:val="32"/>
        </w:rPr>
        <w:t>定代表人</w:t>
      </w:r>
      <w:r>
        <w:rPr>
          <w:rFonts w:hint="eastAsia"/>
          <w:b/>
          <w:sz w:val="32"/>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t xml:space="preserve"> </w:t>
      </w:r>
    </w:p>
    <w:p>
      <w:pPr>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6"/>
        <w:spacing w:before="1" w:line="364" w:lineRule="auto"/>
        <w:ind w:right="105"/>
        <w:rPr>
          <w:spacing w:val="-8"/>
        </w:rPr>
      </w:pPr>
    </w:p>
    <w:p>
      <w:pPr>
        <w:pStyle w:val="6"/>
        <w:spacing w:before="1" w:line="364" w:lineRule="auto"/>
        <w:ind w:left="0" w:leftChars="0" w:right="105" w:firstLine="0" w:firstLineChars="0"/>
        <w:rPr>
          <w:spacing w:val="-8"/>
        </w:rPr>
      </w:pPr>
    </w:p>
    <w:p>
      <w:pPr>
        <w:pStyle w:val="6"/>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6"/>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01"/>
        <w:ind w:left="4920"/>
        <w:rPr>
          <w:spacing w:val="-120"/>
        </w:rPr>
      </w:pPr>
      <w:r>
        <w:t>公司名称（公章</w:t>
      </w:r>
      <w:r>
        <w:rPr>
          <w:spacing w:val="-120"/>
        </w:rPr>
        <w:t>）</w:t>
      </w:r>
    </w:p>
    <w:p>
      <w:pPr>
        <w:pStyle w:val="6"/>
        <w:spacing w:before="201"/>
        <w:ind w:left="4920"/>
        <w:rPr>
          <w:spacing w:val="-120"/>
        </w:rPr>
      </w:pPr>
    </w:p>
    <w:p>
      <w:pPr>
        <w:pStyle w:val="6"/>
        <w:ind w:left="4920"/>
        <w:rPr>
          <w:spacing w:val="-120"/>
        </w:rPr>
      </w:pPr>
      <w:r>
        <w:t>法定代表人（签名或签章</w:t>
      </w:r>
      <w:r>
        <w:rPr>
          <w:spacing w:val="-120"/>
        </w:rPr>
        <w:t>）</w:t>
      </w:r>
    </w:p>
    <w:p>
      <w:pPr>
        <w:pStyle w:val="6"/>
        <w:ind w:left="4920"/>
        <w:rPr>
          <w:spacing w:val="-120"/>
        </w:rPr>
      </w:pPr>
    </w:p>
    <w:p>
      <w:pPr>
        <w:pStyle w:val="6"/>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ascii="宋体" w:hAnsi="宋体"/>
          <w:sz w:val="28"/>
        </w:rPr>
      </w:pPr>
      <w:bookmarkStart w:id="29" w:name="_Toc27591"/>
      <w:bookmarkStart w:id="30" w:name="_Toc19171"/>
      <w:bookmarkStart w:id="31" w:name="_Toc17080"/>
      <w:bookmarkStart w:id="32" w:name="_Toc528"/>
      <w:bookmarkStart w:id="33" w:name="_Toc19817"/>
      <w:bookmarkStart w:id="34" w:name="_Toc503427713"/>
      <w:r>
        <w:rPr>
          <w:rFonts w:hint="eastAsia" w:ascii="宋体" w:hAnsi="宋体"/>
          <w:sz w:val="28"/>
        </w:rPr>
        <w:t>1.3关于资格的声明函</w:t>
      </w:r>
      <w:bookmarkEnd w:id="29"/>
      <w:bookmarkEnd w:id="30"/>
      <w:bookmarkEnd w:id="31"/>
      <w:bookmarkEnd w:id="32"/>
      <w:bookmarkEnd w:id="33"/>
      <w:bookmarkEnd w:id="34"/>
    </w:p>
    <w:p>
      <w:pPr>
        <w:pStyle w:val="2"/>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珠海正方盛泰投资有限公司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城市阳台项目三台发电机深度保养服务</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未被列入“信用中国”网站(www.creditchina.gov.cn)“记录失信被执行人或重大税收违法失信主体或政府采购严重违法失信行为”记录名单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资质条件，满足第一部分第五条“供应商资格要求”所列条款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w:t>
      </w:r>
      <w:r>
        <w:rPr>
          <w:rFonts w:hint="eastAsia" w:cs="Times New Roman"/>
          <w:b w:val="0"/>
          <w:bCs w:val="0"/>
          <w:color w:val="auto"/>
          <w:sz w:val="24"/>
          <w:lang w:val="en-US" w:eastAsia="zh-CN"/>
        </w:rPr>
        <w:t xml:space="preserve">. </w:t>
      </w:r>
      <w:r>
        <w:rPr>
          <w:rFonts w:hint="eastAsia" w:ascii="宋体" w:hAnsi="宋体"/>
          <w:sz w:val="24"/>
        </w:rPr>
        <w:t>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cs="Times New Roman"/>
          <w:b w:val="0"/>
          <w:bCs w:val="0"/>
          <w:color w:val="auto"/>
          <w:sz w:val="24"/>
          <w:lang w:val="en-US" w:eastAsia="zh-CN"/>
        </w:rPr>
        <w:t xml:space="preserve">. </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4"/>
        <w:bidi w:val="0"/>
        <w:rPr>
          <w:rFonts w:hint="eastAsia"/>
          <w:lang w:val="en-US" w:eastAsia="zh-CN"/>
        </w:rPr>
      </w:pPr>
      <w:bookmarkStart w:id="35" w:name="_Toc31767"/>
      <w:bookmarkStart w:id="36" w:name="_Toc26971"/>
      <w:bookmarkStart w:id="37" w:name="_Toc32141"/>
      <w:bookmarkStart w:id="38" w:name="_Toc13922"/>
      <w:bookmarkStart w:id="39" w:name="_Toc10559"/>
      <w:bookmarkStart w:id="40" w:name="_Toc10585"/>
      <w:bookmarkStart w:id="41" w:name="_Toc24969"/>
      <w:bookmarkStart w:id="42" w:name="_Toc31877"/>
      <w:bookmarkStart w:id="43" w:name="_Toc19796"/>
      <w:bookmarkStart w:id="44" w:name="_Toc24356"/>
      <w:bookmarkStart w:id="45" w:name="_Toc19969"/>
      <w:bookmarkStart w:id="46" w:name="_Toc5048"/>
      <w:bookmarkStart w:id="47" w:name="_Toc9476"/>
      <w:bookmarkStart w:id="48" w:name="_Toc6220"/>
      <w:bookmarkStart w:id="49" w:name="_Toc14285"/>
      <w:bookmarkStart w:id="50" w:name="_Toc15464"/>
      <w:bookmarkStart w:id="51" w:name="_Toc4726"/>
      <w:bookmarkStart w:id="52" w:name="_Toc276645583"/>
      <w:bookmarkStart w:id="53" w:name="_Toc27468"/>
      <w:bookmarkStart w:id="54" w:name="_Toc6275"/>
      <w:bookmarkStart w:id="55" w:name="_Toc32498"/>
      <w:bookmarkStart w:id="56" w:name="_Toc503427714"/>
      <w:bookmarkStart w:id="57" w:name="_Toc264628882"/>
      <w:bookmarkStart w:id="58" w:name="_Toc4427"/>
      <w:r>
        <w:rPr>
          <w:rFonts w:hint="eastAsia"/>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2"/>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ascii="宋体"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4"/>
        <w:bidi w:val="0"/>
        <w:rPr>
          <w:rFonts w:hint="eastAsia"/>
          <w:lang w:val="en-US" w:eastAsia="zh-CN"/>
        </w:rPr>
      </w:pPr>
      <w:bookmarkStart w:id="59" w:name="_Toc10726"/>
      <w:bookmarkStart w:id="60" w:name="_Toc7304"/>
      <w:bookmarkStart w:id="61" w:name="_Toc5662"/>
      <w:bookmarkStart w:id="62" w:name="_Toc6669"/>
      <w:bookmarkStart w:id="63" w:name="_Toc32145"/>
      <w:bookmarkStart w:id="64" w:name="_Toc22499"/>
      <w:bookmarkStart w:id="65" w:name="_Toc113"/>
      <w:bookmarkStart w:id="66" w:name="_Toc500"/>
      <w:bookmarkStart w:id="67" w:name="_Toc2576"/>
      <w:bookmarkStart w:id="68" w:name="_Toc29470"/>
      <w:bookmarkStart w:id="69" w:name="_Toc5278"/>
      <w:bookmarkStart w:id="70" w:name="_Toc30192"/>
      <w:bookmarkStart w:id="71" w:name="_Toc24446"/>
      <w:bookmarkStart w:id="72" w:name="_Toc16860"/>
      <w:bookmarkStart w:id="73" w:name="_Toc3193"/>
      <w:bookmarkStart w:id="74" w:name="_Toc9094"/>
      <w:r>
        <w:rPr>
          <w:rFonts w:hint="eastAsia"/>
          <w:lang w:val="en-US" w:eastAsia="zh-CN"/>
        </w:rPr>
        <w:t>1.3.</w:t>
      </w:r>
      <w:bookmarkEnd w:id="59"/>
      <w:bookmarkEnd w:id="60"/>
      <w:bookmarkEnd w:id="61"/>
      <w:bookmarkStart w:id="75" w:name="_Toc17294"/>
      <w:bookmarkStart w:id="76" w:name="_Toc28886"/>
      <w:bookmarkStart w:id="77" w:name="_Toc29247"/>
      <w:r>
        <w:rPr>
          <w:rFonts w:hint="eastAsia"/>
          <w:lang w:val="en-US" w:eastAsia="zh-CN"/>
        </w:rPr>
        <w:t>2信用信息</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投标供应商</w:t>
      </w:r>
      <w:r>
        <w:rPr>
          <w:rFonts w:hint="eastAsia" w:ascii="宋体" w:hAnsi="宋体" w:eastAsia="宋体" w:cs="宋体"/>
          <w:b/>
          <w:bCs/>
          <w:color w:val="000000"/>
          <w:sz w:val="24"/>
          <w:szCs w:val="24"/>
          <w:highlight w:val="none"/>
          <w:lang w:val="en-US" w:eastAsia="zh-CN"/>
        </w:rPr>
        <w:t>提供报价时间截止前的网页截图并加盖投标供应商公章：</w:t>
      </w:r>
    </w:p>
    <w:p>
      <w:pPr>
        <w:numPr>
          <w:ilvl w:val="0"/>
          <w:numId w:val="0"/>
        </w:numPr>
        <w:rPr>
          <w:rFonts w:hint="eastAsia"/>
          <w:b w:val="0"/>
          <w:bCs/>
          <w:color w:val="0000FF"/>
          <w:sz w:val="24"/>
          <w:szCs w:val="24"/>
          <w:lang w:val="en-US" w:eastAsia="zh-CN"/>
        </w:rPr>
      </w:pPr>
      <w:r>
        <w:rPr>
          <w:rFonts w:hint="eastAsia" w:ascii="宋体" w:hAnsi="宋体" w:cs="宋体"/>
          <w:b w:val="0"/>
          <w:bCs/>
          <w:sz w:val="22"/>
          <w:szCs w:val="22"/>
          <w:lang w:val="en-US" w:eastAsia="zh-CN"/>
        </w:rPr>
        <w:t>未被列入“信用中国”网站(www.creditchina.gov.cn)“记录失信被执行人或重大税收违法失信主体或政府采购严重违法失信行为”记录名单证明文件（提供信用中国网站公示信息截图加盖公章）。</w:t>
      </w:r>
    </w:p>
    <w:p>
      <w:pPr>
        <w:numPr>
          <w:ilvl w:val="0"/>
          <w:numId w:val="0"/>
        </w:numPr>
        <w:rPr>
          <w:rFonts w:hint="eastAsia"/>
          <w:b/>
          <w:color w:val="0000FF"/>
          <w:sz w:val="24"/>
          <w:szCs w:val="24"/>
          <w:lang w:val="en-US" w:eastAsia="zh-CN"/>
        </w:rPr>
      </w:pP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12700" b="889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5"/>
        <w:spacing w:before="100" w:after="100" w:line="360" w:lineRule="auto"/>
        <w:rPr>
          <w:rFonts w:hint="eastAsia" w:ascii="宋体" w:hAnsi="宋体"/>
          <w:sz w:val="28"/>
          <w:lang w:val="en-US" w:eastAsia="zh-CN"/>
        </w:rPr>
      </w:pPr>
      <w:r>
        <w:rPr>
          <w:rFonts w:hint="eastAsia" w:ascii="宋体" w:hAnsi="宋体"/>
          <w:sz w:val="28"/>
          <w:lang w:val="en-US" w:eastAsia="zh-CN"/>
        </w:rPr>
        <w:br w:type="page"/>
      </w:r>
      <w:bookmarkStart w:id="78" w:name="_Toc21911"/>
      <w:r>
        <w:rPr>
          <w:rFonts w:hint="eastAsia" w:ascii="宋体" w:hAnsi="宋体"/>
          <w:sz w:val="28"/>
          <w:lang w:val="en-US" w:eastAsia="zh-CN"/>
        </w:rPr>
        <w:t>1.3.3 资质证书</w:t>
      </w:r>
      <w:bookmarkEnd w:id="78"/>
    </w:p>
    <w:p>
      <w:pPr>
        <w:pStyle w:val="5"/>
        <w:spacing w:before="100" w:after="100" w:line="360" w:lineRule="auto"/>
        <w:rPr>
          <w:rFonts w:ascii="宋体" w:hAnsi="宋体"/>
          <w:sz w:val="28"/>
        </w:rPr>
      </w:pPr>
      <w:bookmarkStart w:id="79" w:name="_Toc20437"/>
      <w:r>
        <w:rPr>
          <w:rFonts w:hint="eastAsia" w:hAnsi="宋体" w:cs="仿宋"/>
          <w:b/>
          <w:bCs/>
          <w:kern w:val="28"/>
          <w:sz w:val="24"/>
          <w:szCs w:val="24"/>
          <w:lang w:val="en-US" w:eastAsia="zh-CN"/>
        </w:rPr>
        <w:t>提供有效的</w:t>
      </w:r>
      <w:r>
        <w:rPr>
          <w:rFonts w:hint="eastAsia" w:hAnsi="宋体" w:cs="仿宋"/>
          <w:b/>
          <w:bCs/>
          <w:color w:val="0000FF"/>
          <w:kern w:val="28"/>
          <w:sz w:val="24"/>
          <w:szCs w:val="24"/>
          <w:lang w:val="en-US" w:eastAsia="zh-CN"/>
        </w:rPr>
        <w:t>承装（修、试）电力设施许可证或机电安装资质</w:t>
      </w:r>
      <w:r>
        <w:rPr>
          <w:rFonts w:hint="eastAsia" w:hAnsi="宋体" w:cs="仿宋"/>
          <w:b/>
          <w:bCs/>
          <w:kern w:val="28"/>
          <w:sz w:val="24"/>
          <w:szCs w:val="24"/>
          <w:lang w:val="en-US" w:eastAsia="zh-CN"/>
        </w:rPr>
        <w:t>(</w:t>
      </w:r>
      <w:r>
        <w:rPr>
          <w:rFonts w:hint="eastAsia" w:ascii="宋体" w:hAnsi="宋体" w:cs="仿宋"/>
          <w:b/>
          <w:bCs/>
          <w:kern w:val="28"/>
          <w:sz w:val="24"/>
        </w:rPr>
        <w:t>加盖</w:t>
      </w:r>
      <w:r>
        <w:rPr>
          <w:rFonts w:hint="eastAsia" w:ascii="宋体" w:hAnsi="宋体" w:cs="仿宋"/>
          <w:b/>
          <w:bCs/>
          <w:kern w:val="28"/>
          <w:sz w:val="24"/>
          <w:lang w:eastAsia="zh-CN"/>
        </w:rPr>
        <w:t>报价人</w:t>
      </w:r>
      <w:r>
        <w:rPr>
          <w:rFonts w:hint="eastAsia" w:ascii="宋体" w:hAnsi="宋体" w:cs="仿宋"/>
          <w:b/>
          <w:bCs/>
          <w:kern w:val="28"/>
          <w:sz w:val="24"/>
        </w:rPr>
        <w:t>公章</w:t>
      </w:r>
      <w:r>
        <w:rPr>
          <w:rFonts w:hint="eastAsia" w:hAnsi="宋体" w:cs="仿宋"/>
          <w:b/>
          <w:bCs/>
          <w:kern w:val="28"/>
          <w:sz w:val="24"/>
          <w:szCs w:val="24"/>
          <w:lang w:val="en-US" w:eastAsia="zh-CN"/>
        </w:rPr>
        <w:t>)。</w:t>
      </w:r>
      <w:r>
        <w:rPr>
          <w:rFonts w:hint="eastAsia" w:ascii="宋体" w:hAnsi="宋体"/>
          <w:b/>
          <w:bCs/>
          <w:sz w:val="28"/>
        </w:rPr>
        <w:br w:type="page"/>
      </w:r>
      <w:r>
        <w:rPr>
          <w:rFonts w:hint="eastAsia" w:ascii="宋体" w:hAnsi="宋体"/>
          <w:sz w:val="28"/>
        </w:rPr>
        <w:t>1.</w:t>
      </w:r>
      <w:r>
        <w:rPr>
          <w:rFonts w:hint="eastAsia" w:ascii="宋体" w:hAnsi="宋体"/>
          <w:sz w:val="28"/>
          <w:lang w:val="en-US" w:eastAsia="zh-CN"/>
        </w:rPr>
        <w:t>4</w:t>
      </w:r>
      <w:r>
        <w:rPr>
          <w:rFonts w:hint="eastAsia" w:ascii="宋体" w:hAnsi="宋体"/>
          <w:sz w:val="28"/>
        </w:rPr>
        <w:t>关于无重大违法记录的声明函</w:t>
      </w:r>
      <w:bookmarkEnd w:id="51"/>
      <w:bookmarkEnd w:id="52"/>
      <w:bookmarkEnd w:id="53"/>
      <w:bookmarkEnd w:id="54"/>
      <w:bookmarkEnd w:id="55"/>
      <w:bookmarkEnd w:id="56"/>
      <w:bookmarkEnd w:id="57"/>
      <w:bookmarkEnd w:id="58"/>
      <w:bookmarkEnd w:id="79"/>
    </w:p>
    <w:p>
      <w:pPr>
        <w:keepLines/>
        <w:widowControl/>
        <w:spacing w:line="360" w:lineRule="auto"/>
        <w:jc w:val="center"/>
        <w:rPr>
          <w:rFonts w:ascii="宋体" w:hAnsi="宋体"/>
          <w:sz w:val="24"/>
        </w:rPr>
      </w:pPr>
    </w:p>
    <w:p>
      <w:pPr>
        <w:pStyle w:val="2"/>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珠海正方盛泰投资有限公司</w:t>
      </w:r>
    </w:p>
    <w:p>
      <w:pPr>
        <w:pStyle w:val="2"/>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2"/>
        <w:keepLines/>
        <w:widowControl/>
        <w:snapToGrid w:val="0"/>
        <w:spacing w:line="360" w:lineRule="auto"/>
        <w:ind w:firstLine="480" w:firstLineChars="200"/>
        <w:rPr>
          <w:rFonts w:hAnsi="宋体"/>
          <w:bCs/>
          <w:sz w:val="24"/>
          <w:szCs w:val="24"/>
        </w:rPr>
      </w:pPr>
      <w:r>
        <w:rPr>
          <w:rFonts w:hint="eastAsia" w:hAnsi="宋体"/>
          <w:bCs/>
          <w:sz w:val="24"/>
          <w:szCs w:val="24"/>
        </w:rPr>
        <w:t>1</w:t>
      </w:r>
      <w:r>
        <w:rPr>
          <w:rFonts w:hint="eastAsia" w:cs="Times New Roman"/>
          <w:b w:val="0"/>
          <w:bCs w:val="0"/>
          <w:color w:val="auto"/>
          <w:sz w:val="24"/>
          <w:lang w:val="en-US" w:eastAsia="zh-CN"/>
        </w:rPr>
        <w:t xml:space="preserve">. </w:t>
      </w: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2"/>
        <w:keepLines/>
        <w:widowControl/>
        <w:snapToGrid w:val="0"/>
        <w:spacing w:line="360" w:lineRule="auto"/>
        <w:ind w:firstLine="0"/>
        <w:rPr>
          <w:rFonts w:hAnsi="宋体"/>
          <w:bCs/>
          <w:sz w:val="24"/>
          <w:szCs w:val="24"/>
        </w:rPr>
      </w:pPr>
    </w:p>
    <w:p>
      <w:pPr>
        <w:pStyle w:val="2"/>
        <w:keepLines/>
        <w:widowControl/>
        <w:snapToGrid w:val="0"/>
        <w:spacing w:line="360" w:lineRule="auto"/>
        <w:ind w:firstLine="0"/>
        <w:rPr>
          <w:rFonts w:hAnsi="宋体"/>
          <w:bCs/>
          <w:sz w:val="24"/>
          <w:szCs w:val="24"/>
        </w:rPr>
      </w:pPr>
      <w:r>
        <w:rPr>
          <w:rFonts w:hint="eastAsia" w:hAnsi="宋体"/>
          <w:bCs/>
          <w:sz w:val="24"/>
          <w:szCs w:val="24"/>
        </w:rPr>
        <w:t>注：</w:t>
      </w:r>
    </w:p>
    <w:p>
      <w:pPr>
        <w:pStyle w:val="2"/>
        <w:keepLines/>
        <w:widowControl/>
        <w:numPr>
          <w:ilvl w:val="0"/>
          <w:numId w:val="2"/>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2"/>
        <w:keepLines/>
        <w:widowControl/>
        <w:numPr>
          <w:ilvl w:val="0"/>
          <w:numId w:val="2"/>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18"/>
        <w:rPr>
          <w:rFonts w:hint="default"/>
          <w:lang w:val="en-US" w:eastAsia="zh-CN"/>
        </w:rPr>
      </w:pPr>
    </w:p>
    <w:p>
      <w:pPr>
        <w:rPr>
          <w:rFonts w:hint="eastAsia" w:ascii="黑体" w:hAnsi="黑体" w:cs="黑体"/>
          <w:b/>
          <w:bCs w:val="0"/>
          <w:sz w:val="28"/>
          <w:szCs w:val="28"/>
          <w:lang w:val="en-US" w:eastAsia="zh-CN"/>
        </w:rPr>
      </w:pPr>
      <w:bookmarkStart w:id="80" w:name="_Toc202252037"/>
      <w:bookmarkStart w:id="81" w:name="_Toc202817000"/>
      <w:bookmarkStart w:id="82" w:name="_Toc3330"/>
      <w:bookmarkStart w:id="83" w:name="_Toc202251078"/>
      <w:bookmarkStart w:id="84" w:name="_Toc202819882"/>
      <w:bookmarkStart w:id="85" w:name="_Toc503427721"/>
      <w:bookmarkStart w:id="86" w:name="_Toc276645592"/>
      <w:bookmarkStart w:id="87" w:name="_Toc202820355"/>
      <w:bookmarkStart w:id="88" w:name="_Toc259090996"/>
      <w:bookmarkStart w:id="89" w:name="_Toc202251703"/>
      <w:bookmarkStart w:id="90" w:name="_Toc21572"/>
      <w:bookmarkStart w:id="91" w:name="_Toc29543"/>
      <w:bookmarkStart w:id="92" w:name="_Toc12992"/>
      <w:bookmarkStart w:id="93" w:name="_Toc202254108"/>
      <w:bookmarkStart w:id="94" w:name="_Toc24253"/>
      <w:r>
        <w:rPr>
          <w:rFonts w:hint="eastAsia" w:ascii="黑体" w:hAnsi="黑体" w:cs="黑体"/>
          <w:b/>
          <w:bCs w:val="0"/>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80" w:after="80" w:line="360" w:lineRule="auto"/>
        <w:textAlignment w:val="auto"/>
        <w:rPr>
          <w:rFonts w:hint="eastAsia" w:ascii="黑体" w:hAnsi="黑体" w:eastAsia="黑体" w:cs="黑体"/>
          <w:b/>
          <w:bCs w:val="0"/>
          <w:sz w:val="28"/>
          <w:szCs w:val="28"/>
        </w:rPr>
      </w:pPr>
      <w:r>
        <w:rPr>
          <w:rFonts w:hint="eastAsia" w:ascii="黑体" w:hAnsi="黑体" w:cs="黑体"/>
          <w:b/>
          <w:bCs w:val="0"/>
          <w:sz w:val="28"/>
          <w:szCs w:val="28"/>
          <w:lang w:val="en-US" w:eastAsia="zh-CN"/>
        </w:rPr>
        <w:t>二</w:t>
      </w:r>
      <w:r>
        <w:rPr>
          <w:rFonts w:hint="eastAsia" w:ascii="黑体" w:hAnsi="黑体" w:eastAsia="黑体" w:cs="黑体"/>
          <w:b/>
          <w:bCs w:val="0"/>
          <w:sz w:val="28"/>
          <w:szCs w:val="28"/>
        </w:rPr>
        <w:t>、经济价格文件</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spacing w:line="500" w:lineRule="exact"/>
        <w:jc w:val="left"/>
        <w:rPr>
          <w:rStyle w:val="16"/>
          <w:rFonts w:hint="default" w:ascii="Times New Roman" w:hAnsi="Times New Roman" w:cs="Times New Roman"/>
          <w:color w:val="auto"/>
          <w:sz w:val="36"/>
          <w:szCs w:val="36"/>
        </w:rPr>
      </w:pPr>
      <w:r>
        <w:rPr>
          <w:rStyle w:val="16"/>
          <w:rFonts w:hint="eastAsia" w:cs="Times New Roman"/>
          <w:color w:val="auto"/>
          <w:sz w:val="36"/>
          <w:szCs w:val="36"/>
          <w:lang w:val="en-US" w:eastAsia="zh-CN"/>
        </w:rPr>
        <w:t>2.1</w:t>
      </w:r>
      <w:r>
        <w:rPr>
          <w:rStyle w:val="16"/>
          <w:rFonts w:hint="default" w:ascii="Times New Roman" w:hAnsi="Times New Roman" w:cs="Times New Roman"/>
          <w:color w:val="auto"/>
          <w:sz w:val="36"/>
          <w:szCs w:val="36"/>
        </w:rPr>
        <w:t>报 价 承 诺 书</w:t>
      </w:r>
    </w:p>
    <w:p>
      <w:pPr>
        <w:spacing w:line="360" w:lineRule="auto"/>
        <w:rPr>
          <w:rFonts w:hint="default" w:ascii="Times New Roman" w:hAnsi="Times New Roman" w:eastAsia="仿宋" w:cs="Times New Roman"/>
          <w:b/>
          <w:color w:val="auto"/>
          <w:sz w:val="24"/>
        </w:rPr>
      </w:pP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珠海正方盛泰投资有限公司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城市阳台项目三台发电机深度保养服务</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spacing w:before="156" w:beforeLines="50" w:after="156" w:afterLines="50"/>
        <w:jc w:val="both"/>
        <w:rPr>
          <w:rFonts w:hint="default" w:ascii="Times New Roman" w:hAnsi="Times New Roman" w:eastAsia="仿宋" w:cs="Times New Roman"/>
          <w:color w:val="auto"/>
          <w:sz w:val="28"/>
          <w:szCs w:val="28"/>
        </w:rPr>
      </w:pPr>
      <w:r>
        <w:rPr>
          <w:rFonts w:hint="eastAsia" w:cs="Times New Roman"/>
          <w:color w:val="auto"/>
          <w:sz w:val="32"/>
          <w:szCs w:val="32"/>
          <w:lang w:val="en-US" w:eastAsia="zh-CN"/>
        </w:rPr>
        <w:t>2.2</w:t>
      </w:r>
      <w:r>
        <w:rPr>
          <w:rStyle w:val="16"/>
          <w:rFonts w:hint="default" w:ascii="Times New Roman" w:hAnsi="Times New Roman" w:cs="Times New Roman"/>
          <w:color w:val="auto"/>
          <w:sz w:val="40"/>
          <w:szCs w:val="30"/>
        </w:rPr>
        <w:t>报 价 书</w:t>
      </w:r>
    </w:p>
    <w:p>
      <w:pPr>
        <w:spacing w:line="336"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珠海正方盛泰投资有限公司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36"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城市阳台项目三台发电机深度保养服务</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p>
    <w:p>
      <w:pPr>
        <w:spacing w:line="336" w:lineRule="auto"/>
        <w:rPr>
          <w:rFonts w:hint="eastAsia" w:cs="Times New Roman"/>
          <w:color w:val="auto"/>
          <w:sz w:val="28"/>
          <w:szCs w:val="28"/>
          <w:lang w:val="en-US" w:eastAsia="zh-CN"/>
        </w:rPr>
      </w:pP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城市阳台项目三台发电机深度保养服务</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具体详见下表（下页）：</w:t>
      </w:r>
    </w:p>
    <w:tbl>
      <w:tblPr>
        <w:tblStyle w:val="13"/>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0"/>
        <w:gridCol w:w="976"/>
        <w:gridCol w:w="2452"/>
        <w:gridCol w:w="675"/>
        <w:gridCol w:w="535"/>
        <w:gridCol w:w="535"/>
        <w:gridCol w:w="1007"/>
        <w:gridCol w:w="1175"/>
        <w:gridCol w:w="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blHeader/>
        </w:trPr>
        <w:tc>
          <w:tcPr>
            <w:tcW w:w="5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项目特征描述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工程量/台</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总工程量</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全费用综合单价(元) </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合计(元) </w:t>
            </w: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SC27G900D2/SC25G610D2</w:t>
            </w: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机油滤清器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燃油油水分离滤清器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燃油滤清器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发动机专用机油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DCA65水箱防锈剂</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水箱清洗剂</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进回油管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保养人工费、运输费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6700" w:type="dxa"/>
            <w:gridSpan w:val="7"/>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SC27G900D2/SC25G610D2小计：</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bCs/>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b/>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SC16DE820</w:t>
            </w: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机油滤清器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燃油滤清器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发动机专用机油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DCA65水箱防锈剂</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水箱清洗剂</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启动蓄电池 200AH</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52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76" w:type="dxa"/>
            <w:vMerge w:val="continue"/>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2452"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保养人工费、运输费</w:t>
            </w:r>
          </w:p>
        </w:tc>
        <w:tc>
          <w:tcPr>
            <w:tcW w:w="675"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535"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5"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rPr>
                <w:rFonts w:hint="eastAsia" w:ascii="宋体" w:hAnsi="宋体" w:eastAsia="宋体" w:cs="宋体"/>
                <w:i w:val="0"/>
                <w:color w:val="000000"/>
                <w:sz w:val="22"/>
                <w:szCs w:val="22"/>
                <w:u w:val="none"/>
              </w:rPr>
            </w:pPr>
          </w:p>
        </w:tc>
        <w:tc>
          <w:tcPr>
            <w:tcW w:w="1175"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6700" w:type="dxa"/>
            <w:gridSpan w:val="7"/>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SC16DE820小计：</w:t>
            </w:r>
          </w:p>
        </w:tc>
        <w:tc>
          <w:tcPr>
            <w:tcW w:w="117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0" w:hRule="atLeast"/>
        </w:trPr>
        <w:tc>
          <w:tcPr>
            <w:tcW w:w="6700" w:type="dxa"/>
            <w:gridSpan w:val="7"/>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2"/>
                <w:szCs w:val="22"/>
                <w:u w:val="none"/>
                <w:lang w:val="en-US" w:eastAsia="zh-CN" w:bidi="ar"/>
              </w:rPr>
              <w:t>合计</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0" w:hRule="atLeast"/>
        </w:trPr>
        <w:tc>
          <w:tcPr>
            <w:tcW w:w="8870" w:type="dxa"/>
            <w:gridSpan w:val="9"/>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说明：1.所有报价均为含税价，且已包含人工费、材料费、服务费、交通差旅费、餐饮费等完成本项目的所有费用。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b/>
                <w:bCs/>
                <w:i w:val="0"/>
                <w:color w:val="000000"/>
                <w:kern w:val="0"/>
                <w:sz w:val="20"/>
                <w:szCs w:val="20"/>
                <w:u w:val="none"/>
                <w:lang w:val="en-US" w:eastAsia="zh-CN" w:bidi="ar"/>
              </w:rPr>
              <w:t>2.发票类型：   %□增值税专用发票□增值税普通发票。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注：如因国家政策变化导致增值税税率发生变化的，本项目项下不含增值税的项目价款金额不变，对应增值税金额按照新税率计算，项目价款总额作对应调整。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3.质量标准：按任务书及甲方要求。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4.付款方式：服务验收且收到齐套请款资料后付款。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5.项目地点：珠海市香洲区情侣中路正方城市阳台工程部，项目对接人：黄玉盼13697704053</w:t>
            </w:r>
          </w:p>
        </w:tc>
      </w:tr>
    </w:tbl>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联系方式：</w:t>
      </w:r>
      <w:r>
        <w:rPr>
          <w:rFonts w:hint="default" w:ascii="Times New Roman" w:hAnsi="Times New Roman" w:eastAsia="宋体" w:cs="Times New Roman"/>
          <w:color w:val="auto"/>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pPr>
        <w:spacing w:line="360" w:lineRule="auto"/>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附件1：</w:t>
      </w:r>
      <w:bookmarkStart w:id="95" w:name="_Toc47961950"/>
      <w:bookmarkStart w:id="96" w:name="_Hlk41141708"/>
      <w:r>
        <w:rPr>
          <w:rFonts w:hint="eastAsia" w:ascii="宋体" w:hAnsi="宋体" w:eastAsia="宋体" w:cs="宋体"/>
          <w:b/>
          <w:bCs/>
          <w:color w:val="auto"/>
          <w:sz w:val="28"/>
          <w:szCs w:val="28"/>
          <w:lang w:val="en-US" w:eastAsia="zh-CN"/>
        </w:rPr>
        <w:t>技术任务书（另册）</w:t>
      </w:r>
      <w:bookmarkEnd w:id="95"/>
      <w:bookmarkEnd w:id="96"/>
    </w:p>
    <w:sectPr>
      <w:footerReference r:id="rId5" w:type="default"/>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2BA49"/>
    <w:multiLevelType w:val="singleLevel"/>
    <w:tmpl w:val="C872BA49"/>
    <w:lvl w:ilvl="0" w:tentative="0">
      <w:start w:val="2"/>
      <w:numFmt w:val="chineseCounting"/>
      <w:suff w:val="space"/>
      <w:lvlText w:val="第%1部分"/>
      <w:lvlJc w:val="left"/>
      <w:rPr>
        <w:rFonts w:hint="eastAsia"/>
      </w:rPr>
    </w:lvl>
  </w:abstractNum>
  <w:abstractNum w:abstractNumId="1">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22B3855"/>
    <w:rsid w:val="025E0102"/>
    <w:rsid w:val="03950549"/>
    <w:rsid w:val="04103632"/>
    <w:rsid w:val="04B61AA3"/>
    <w:rsid w:val="05B1555F"/>
    <w:rsid w:val="0671572A"/>
    <w:rsid w:val="067D1626"/>
    <w:rsid w:val="0841052C"/>
    <w:rsid w:val="097558B4"/>
    <w:rsid w:val="09770F2A"/>
    <w:rsid w:val="0A261215"/>
    <w:rsid w:val="0A4F74B7"/>
    <w:rsid w:val="0D8F41B1"/>
    <w:rsid w:val="0DB93286"/>
    <w:rsid w:val="0DCB0AAA"/>
    <w:rsid w:val="0E49720A"/>
    <w:rsid w:val="0EC420D1"/>
    <w:rsid w:val="0EC93FBB"/>
    <w:rsid w:val="10E91871"/>
    <w:rsid w:val="11DD4B3A"/>
    <w:rsid w:val="129618DC"/>
    <w:rsid w:val="14A90505"/>
    <w:rsid w:val="14DC73BB"/>
    <w:rsid w:val="14EB65E0"/>
    <w:rsid w:val="1588048B"/>
    <w:rsid w:val="168857E4"/>
    <w:rsid w:val="16D97ADD"/>
    <w:rsid w:val="16E45AEB"/>
    <w:rsid w:val="177F1319"/>
    <w:rsid w:val="17DF53E0"/>
    <w:rsid w:val="1B013FAA"/>
    <w:rsid w:val="1B513E4B"/>
    <w:rsid w:val="1BDC56E2"/>
    <w:rsid w:val="1D556636"/>
    <w:rsid w:val="1DCE44E0"/>
    <w:rsid w:val="1DDE5B7B"/>
    <w:rsid w:val="1F9A4108"/>
    <w:rsid w:val="202F7D49"/>
    <w:rsid w:val="210322A7"/>
    <w:rsid w:val="2121293A"/>
    <w:rsid w:val="224D141B"/>
    <w:rsid w:val="23EC6A93"/>
    <w:rsid w:val="248E736D"/>
    <w:rsid w:val="259F18F8"/>
    <w:rsid w:val="272E6E27"/>
    <w:rsid w:val="27540AC6"/>
    <w:rsid w:val="278065CC"/>
    <w:rsid w:val="28C56911"/>
    <w:rsid w:val="291B3A89"/>
    <w:rsid w:val="2BED4BFF"/>
    <w:rsid w:val="2D022F1E"/>
    <w:rsid w:val="2E0A4EF7"/>
    <w:rsid w:val="2F8C5B34"/>
    <w:rsid w:val="3035528F"/>
    <w:rsid w:val="303C5477"/>
    <w:rsid w:val="31BE38D0"/>
    <w:rsid w:val="329B19DD"/>
    <w:rsid w:val="338C409C"/>
    <w:rsid w:val="36991F33"/>
    <w:rsid w:val="36D13171"/>
    <w:rsid w:val="37FE2A53"/>
    <w:rsid w:val="38F34C92"/>
    <w:rsid w:val="3BDD1A9B"/>
    <w:rsid w:val="3BF341D2"/>
    <w:rsid w:val="3DDA2166"/>
    <w:rsid w:val="3E7E4135"/>
    <w:rsid w:val="3EC52271"/>
    <w:rsid w:val="3ED65B24"/>
    <w:rsid w:val="40DF147E"/>
    <w:rsid w:val="410E417C"/>
    <w:rsid w:val="41972168"/>
    <w:rsid w:val="426867F2"/>
    <w:rsid w:val="427C15D5"/>
    <w:rsid w:val="43F34101"/>
    <w:rsid w:val="442B09BE"/>
    <w:rsid w:val="4483748A"/>
    <w:rsid w:val="46291EEF"/>
    <w:rsid w:val="467170E3"/>
    <w:rsid w:val="46B354B7"/>
    <w:rsid w:val="47C0473A"/>
    <w:rsid w:val="4A4F4DF7"/>
    <w:rsid w:val="4B0F1E17"/>
    <w:rsid w:val="4C032E3E"/>
    <w:rsid w:val="4C8E76F1"/>
    <w:rsid w:val="4D1202BB"/>
    <w:rsid w:val="4E8C1884"/>
    <w:rsid w:val="4F971260"/>
    <w:rsid w:val="5067110C"/>
    <w:rsid w:val="506979EA"/>
    <w:rsid w:val="508467D4"/>
    <w:rsid w:val="50DB0041"/>
    <w:rsid w:val="518A0729"/>
    <w:rsid w:val="54032B60"/>
    <w:rsid w:val="545F0E76"/>
    <w:rsid w:val="551F30DA"/>
    <w:rsid w:val="55233FA3"/>
    <w:rsid w:val="555801ED"/>
    <w:rsid w:val="55AF6717"/>
    <w:rsid w:val="56213D59"/>
    <w:rsid w:val="563B6159"/>
    <w:rsid w:val="56DB22E8"/>
    <w:rsid w:val="57852512"/>
    <w:rsid w:val="57AB174E"/>
    <w:rsid w:val="584F6981"/>
    <w:rsid w:val="59A575EF"/>
    <w:rsid w:val="5B430636"/>
    <w:rsid w:val="5B7B0426"/>
    <w:rsid w:val="5BD82D7C"/>
    <w:rsid w:val="5BE44C27"/>
    <w:rsid w:val="5BFB7194"/>
    <w:rsid w:val="5D497B32"/>
    <w:rsid w:val="5EBE23CD"/>
    <w:rsid w:val="617E685D"/>
    <w:rsid w:val="61A2602F"/>
    <w:rsid w:val="61FF0F78"/>
    <w:rsid w:val="63997189"/>
    <w:rsid w:val="63A6159C"/>
    <w:rsid w:val="63C26653"/>
    <w:rsid w:val="63F16E5E"/>
    <w:rsid w:val="64847D61"/>
    <w:rsid w:val="665C30B6"/>
    <w:rsid w:val="66852B3E"/>
    <w:rsid w:val="67183BE9"/>
    <w:rsid w:val="67DE23FD"/>
    <w:rsid w:val="682078ED"/>
    <w:rsid w:val="68B65BF9"/>
    <w:rsid w:val="6A0D3F8C"/>
    <w:rsid w:val="6A787EA5"/>
    <w:rsid w:val="6A934041"/>
    <w:rsid w:val="6B4E5816"/>
    <w:rsid w:val="6CD54EA3"/>
    <w:rsid w:val="6D535020"/>
    <w:rsid w:val="71737A55"/>
    <w:rsid w:val="73CF0EC4"/>
    <w:rsid w:val="76656426"/>
    <w:rsid w:val="768D0B53"/>
    <w:rsid w:val="76DA30C2"/>
    <w:rsid w:val="775B4F8E"/>
    <w:rsid w:val="77C31107"/>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w:basedOn w:val="1"/>
    <w:link w:val="22"/>
    <w:qFormat/>
    <w:uiPriority w:val="0"/>
    <w:pPr>
      <w:spacing w:line="480" w:lineRule="exact"/>
      <w:jc w:val="left"/>
    </w:pPr>
    <w:rPr>
      <w:rFonts w:ascii="宋体" w:hAnsi="宋体"/>
    </w:rPr>
  </w:style>
  <w:style w:type="paragraph" w:styleId="7">
    <w:name w:val="Body Text Indent"/>
    <w:basedOn w:val="1"/>
    <w:link w:val="25"/>
    <w:unhideWhenUsed/>
    <w:qFormat/>
    <w:uiPriority w:val="0"/>
    <w:pPr>
      <w:spacing w:after="120"/>
      <w:ind w:left="420" w:leftChars="200"/>
    </w:pPr>
  </w:style>
  <w:style w:type="paragraph" w:styleId="8">
    <w:name w:val="Plain Text"/>
    <w:basedOn w:val="1"/>
    <w:link w:val="30"/>
    <w:qFormat/>
    <w:uiPriority w:val="0"/>
    <w:pPr>
      <w:spacing w:line="360" w:lineRule="auto"/>
      <w:ind w:firstLine="510"/>
    </w:pPr>
    <w:rPr>
      <w:rFonts w:ascii="宋体" w:hAnsi="Courier New" w:eastAsia="仿宋_GB2312"/>
      <w:sz w:val="24"/>
      <w:szCs w:val="20"/>
    </w:r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link w:val="29"/>
    <w:semiHidden/>
    <w:unhideWhenUsed/>
    <w:qFormat/>
    <w:uiPriority w:val="0"/>
    <w:pPr>
      <w:spacing w:after="120" w:line="240" w:lineRule="auto"/>
      <w:ind w:firstLine="420" w:firstLineChars="100"/>
      <w:jc w:val="both"/>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qFormat/>
    <w:uiPriority w:val="0"/>
    <w:rPr>
      <w:b/>
      <w:bCs/>
    </w:rPr>
  </w:style>
  <w:style w:type="character" w:styleId="17">
    <w:name w:val="Hyperlink"/>
    <w:basedOn w:val="15"/>
    <w:semiHidden/>
    <w:unhideWhenUsed/>
    <w:qFormat/>
    <w:uiPriority w:val="0"/>
    <w:rPr>
      <w:color w:val="0000FF"/>
      <w:u w:val="single"/>
    </w:rPr>
  </w:style>
  <w:style w:type="paragraph" w:customStyle="1" w:styleId="18">
    <w:name w:val="引文目录1"/>
    <w:basedOn w:val="1"/>
    <w:next w:val="1"/>
    <w:qFormat/>
    <w:uiPriority w:val="0"/>
    <w:pPr>
      <w:ind w:left="200" w:leftChars="200"/>
    </w:pPr>
    <w:rPr>
      <w:rFonts w:ascii="Times New Roman" w:hAnsi="Times New Roman"/>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99"/>
    <w:rPr>
      <w:kern w:val="2"/>
      <w:sz w:val="18"/>
      <w:szCs w:val="18"/>
    </w:rPr>
  </w:style>
  <w:style w:type="character" w:customStyle="1" w:styleId="22">
    <w:name w:val="正文文本 字符"/>
    <w:basedOn w:val="15"/>
    <w:link w:val="6"/>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5"/>
    <w:link w:val="7"/>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5"/>
    <w:link w:val="9"/>
    <w:qFormat/>
    <w:uiPriority w:val="0"/>
    <w:rPr>
      <w:kern w:val="2"/>
      <w:sz w:val="18"/>
      <w:szCs w:val="18"/>
    </w:rPr>
  </w:style>
  <w:style w:type="character" w:customStyle="1" w:styleId="28">
    <w:name w:val="标题 1 字符"/>
    <w:basedOn w:val="15"/>
    <w:link w:val="3"/>
    <w:qFormat/>
    <w:uiPriority w:val="0"/>
    <w:rPr>
      <w:b/>
      <w:bCs/>
      <w:kern w:val="44"/>
      <w:sz w:val="44"/>
      <w:szCs w:val="44"/>
    </w:rPr>
  </w:style>
  <w:style w:type="character" w:customStyle="1" w:styleId="29">
    <w:name w:val="正文文本首行缩进 字符"/>
    <w:basedOn w:val="22"/>
    <w:link w:val="12"/>
    <w:semiHidden/>
    <w:qFormat/>
    <w:uiPriority w:val="0"/>
    <w:rPr>
      <w:rFonts w:ascii="宋体" w:hAnsi="宋体"/>
      <w:kern w:val="2"/>
      <w:sz w:val="21"/>
      <w:szCs w:val="24"/>
    </w:rPr>
  </w:style>
  <w:style w:type="character" w:customStyle="1" w:styleId="30">
    <w:name w:val="纯文本 字符"/>
    <w:link w:val="8"/>
    <w:qFormat/>
    <w:uiPriority w:val="0"/>
    <w:rPr>
      <w:rFonts w:ascii="宋体" w:hAnsi="Courier New" w:eastAsia="仿宋_GB2312"/>
      <w:kern w:val="2"/>
      <w:sz w:val="24"/>
    </w:rPr>
  </w:style>
  <w:style w:type="character" w:customStyle="1" w:styleId="31">
    <w:name w:val="font31"/>
    <w:basedOn w:val="15"/>
    <w:qFormat/>
    <w:uiPriority w:val="0"/>
    <w:rPr>
      <w:rFonts w:hint="eastAsia" w:ascii="宋体" w:hAnsi="宋体" w:eastAsia="宋体" w:cs="宋体"/>
      <w:b/>
      <w:color w:val="000000"/>
      <w:sz w:val="14"/>
      <w:szCs w:val="14"/>
      <w:u w:val="none"/>
    </w:rPr>
  </w:style>
  <w:style w:type="character" w:customStyle="1" w:styleId="32">
    <w:name w:val="font01"/>
    <w:basedOn w:val="15"/>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0</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琦丽</cp:lastModifiedBy>
  <dcterms:modified xsi:type="dcterms:W3CDTF">2026-04-15T03:57:18Z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