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val="0"/>
        <w:autoSpaceDE w:val="0"/>
        <w:autoSpaceDN w:val="0"/>
        <w:spacing w:before="12" w:after="12" w:line="240" w:lineRule="atLeast"/>
        <w:ind w:right="633"/>
        <w:jc w:val="right"/>
        <w:rPr>
          <w:rFonts w:ascii="宋体" w:hAnsi="宋体"/>
          <w:sz w:val="52"/>
          <w:szCs w:val="52"/>
        </w:rPr>
      </w:pPr>
      <w:bookmarkStart w:id="0" w:name="_Toc127377399"/>
      <w:bookmarkStart w:id="1" w:name="_Toc127352784"/>
      <w:bookmarkStart w:id="2" w:name="_Toc127676640"/>
      <w:bookmarkStart w:id="3" w:name="_Toc286839478"/>
      <w:bookmarkStart w:id="4" w:name="_Toc193549262"/>
      <w:bookmarkStart w:id="5" w:name="_Toc54585762"/>
      <w:bookmarkStart w:id="19" w:name="_GoBack"/>
      <w:bookmarkEnd w:id="19"/>
      <w:r>
        <w:rPr>
          <w:rFonts w:hint="eastAsia" w:ascii="宋体" w:hAnsi="宋体"/>
          <w:sz w:val="52"/>
          <w:szCs w:val="52"/>
        </w:rPr>
        <w:t xml:space="preserve">    </w:t>
      </w:r>
    </w:p>
    <w:bookmarkEnd w:id="0"/>
    <w:bookmarkEnd w:id="1"/>
    <w:bookmarkEnd w:id="2"/>
    <w:p>
      <w:pPr>
        <w:spacing w:line="312" w:lineRule="auto"/>
        <w:jc w:val="center"/>
        <w:rPr>
          <w:rFonts w:hint="eastAsia" w:ascii="宋体" w:hAnsi="宋体"/>
          <w:b/>
          <w:sz w:val="72"/>
          <w:szCs w:val="72"/>
        </w:rPr>
      </w:pPr>
      <w:r>
        <w:rPr>
          <w:rFonts w:hint="eastAsia" w:ascii="宋体" w:hAnsi="宋体"/>
          <w:b/>
          <w:sz w:val="56"/>
          <w:szCs w:val="56"/>
          <w:lang w:val="en-US" w:eastAsia="zh-CN"/>
        </w:rPr>
        <w:t>香洲区社会福利中心柴油发电机烟囱改造</w:t>
      </w:r>
    </w:p>
    <w:p>
      <w:pPr>
        <w:spacing w:line="312" w:lineRule="auto"/>
        <w:jc w:val="center"/>
        <w:rPr>
          <w:rFonts w:hint="eastAsia" w:ascii="宋体" w:hAnsi="宋体"/>
          <w:b/>
          <w:sz w:val="72"/>
          <w:szCs w:val="72"/>
        </w:rPr>
      </w:pPr>
    </w:p>
    <w:p>
      <w:pPr>
        <w:spacing w:line="312" w:lineRule="auto"/>
        <w:jc w:val="center"/>
        <w:rPr>
          <w:rFonts w:ascii="宋体" w:hAnsi="宋体"/>
          <w:b/>
          <w:sz w:val="72"/>
          <w:szCs w:val="72"/>
        </w:rPr>
      </w:pPr>
      <w:r>
        <w:rPr>
          <w:rFonts w:hint="eastAsia" w:ascii="宋体" w:hAnsi="宋体"/>
          <w:b/>
          <w:sz w:val="72"/>
          <w:szCs w:val="72"/>
        </w:rPr>
        <w:t>技</w:t>
      </w:r>
    </w:p>
    <w:p>
      <w:pPr>
        <w:spacing w:line="312" w:lineRule="auto"/>
        <w:jc w:val="center"/>
        <w:rPr>
          <w:rFonts w:ascii="宋体" w:hAnsi="宋体"/>
          <w:b/>
          <w:sz w:val="72"/>
          <w:szCs w:val="72"/>
        </w:rPr>
      </w:pPr>
      <w:r>
        <w:rPr>
          <w:rFonts w:hint="eastAsia" w:ascii="宋体" w:hAnsi="宋体"/>
          <w:b/>
          <w:sz w:val="72"/>
          <w:szCs w:val="72"/>
        </w:rPr>
        <w:t>术</w:t>
      </w:r>
    </w:p>
    <w:p>
      <w:pPr>
        <w:spacing w:line="312" w:lineRule="auto"/>
        <w:jc w:val="center"/>
        <w:rPr>
          <w:rFonts w:ascii="宋体" w:hAnsi="宋体"/>
          <w:b/>
          <w:sz w:val="72"/>
          <w:szCs w:val="72"/>
        </w:rPr>
      </w:pPr>
      <w:r>
        <w:rPr>
          <w:rFonts w:hint="eastAsia" w:ascii="宋体" w:hAnsi="宋体"/>
          <w:b/>
          <w:sz w:val="72"/>
          <w:szCs w:val="72"/>
        </w:rPr>
        <w:t>规</w:t>
      </w:r>
    </w:p>
    <w:p>
      <w:pPr>
        <w:spacing w:line="312" w:lineRule="auto"/>
        <w:jc w:val="center"/>
        <w:rPr>
          <w:rFonts w:ascii="宋体" w:hAnsi="宋体"/>
          <w:b/>
          <w:sz w:val="72"/>
          <w:szCs w:val="72"/>
        </w:rPr>
      </w:pPr>
      <w:r>
        <w:rPr>
          <w:rFonts w:hint="eastAsia" w:ascii="宋体" w:hAnsi="宋体"/>
          <w:b/>
          <w:sz w:val="72"/>
          <w:szCs w:val="72"/>
        </w:rPr>
        <w:t>范</w:t>
      </w:r>
    </w:p>
    <w:p>
      <w:pPr>
        <w:spacing w:line="312" w:lineRule="auto"/>
        <w:jc w:val="center"/>
        <w:rPr>
          <w:rFonts w:ascii="宋体" w:hAnsi="宋体"/>
          <w:b/>
          <w:sz w:val="72"/>
          <w:szCs w:val="72"/>
        </w:rPr>
      </w:pPr>
      <w:r>
        <w:rPr>
          <w:rFonts w:hint="eastAsia" w:ascii="宋体" w:hAnsi="宋体"/>
          <w:b/>
          <w:sz w:val="72"/>
          <w:szCs w:val="72"/>
        </w:rPr>
        <w:t>书</w:t>
      </w:r>
    </w:p>
    <w:p>
      <w:pPr>
        <w:spacing w:line="312" w:lineRule="auto"/>
        <w:jc w:val="center"/>
        <w:rPr>
          <w:rFonts w:hint="eastAsia" w:ascii="仿宋_GB2312" w:eastAsia="仿宋_GB2312"/>
          <w:b/>
          <w:sz w:val="28"/>
          <w:szCs w:val="24"/>
        </w:rPr>
      </w:pPr>
    </w:p>
    <w:p>
      <w:pPr>
        <w:spacing w:line="312" w:lineRule="auto"/>
        <w:jc w:val="center"/>
        <w:rPr>
          <w:rFonts w:hint="eastAsia" w:ascii="仿宋_GB2312" w:eastAsia="仿宋_GB2312"/>
          <w:b/>
          <w:sz w:val="28"/>
          <w:szCs w:val="24"/>
        </w:rPr>
      </w:pPr>
    </w:p>
    <w:p>
      <w:pPr>
        <w:spacing w:line="880" w:lineRule="exact"/>
        <w:jc w:val="center"/>
        <w:rPr>
          <w:rFonts w:hint="eastAsia" w:ascii="黑体" w:eastAsia="黑体"/>
          <w:snapToGrid w:val="0"/>
          <w:w w:val="80"/>
          <w:kern w:val="18"/>
          <w:sz w:val="44"/>
          <w:szCs w:val="24"/>
        </w:rPr>
      </w:pPr>
      <w:r>
        <w:rPr>
          <w:rFonts w:hint="eastAsia" w:ascii="黑体" w:eastAsia="黑体"/>
          <w:snapToGrid w:val="0"/>
          <w:w w:val="80"/>
          <w:kern w:val="18"/>
          <w:sz w:val="44"/>
          <w:szCs w:val="24"/>
        </w:rPr>
        <w:t>珠海正方</w:t>
      </w:r>
      <w:r>
        <w:rPr>
          <w:rFonts w:hint="eastAsia" w:ascii="黑体" w:eastAsia="黑体"/>
          <w:snapToGrid w:val="0"/>
          <w:w w:val="80"/>
          <w:kern w:val="18"/>
          <w:sz w:val="44"/>
          <w:szCs w:val="24"/>
          <w:lang w:val="en-US" w:eastAsia="zh-CN"/>
        </w:rPr>
        <w:t>物业管理</w:t>
      </w:r>
      <w:r>
        <w:rPr>
          <w:rFonts w:hint="eastAsia" w:ascii="黑体" w:eastAsia="黑体"/>
          <w:snapToGrid w:val="0"/>
          <w:w w:val="80"/>
          <w:kern w:val="18"/>
          <w:sz w:val="44"/>
          <w:szCs w:val="24"/>
        </w:rPr>
        <w:t>有限公司</w:t>
      </w:r>
    </w:p>
    <w:p>
      <w:pPr>
        <w:spacing w:line="880" w:lineRule="exact"/>
        <w:jc w:val="center"/>
        <w:rPr>
          <w:rFonts w:hint="eastAsia" w:ascii="黑体" w:eastAsia="黑体"/>
          <w:snapToGrid w:val="0"/>
          <w:w w:val="80"/>
          <w:kern w:val="18"/>
          <w:sz w:val="44"/>
          <w:szCs w:val="24"/>
        </w:rPr>
      </w:pPr>
      <w:r>
        <w:rPr>
          <w:rFonts w:hint="eastAsia" w:ascii="黑体" w:eastAsia="黑体"/>
          <w:snapToGrid w:val="0"/>
          <w:w w:val="80"/>
          <w:kern w:val="18"/>
          <w:sz w:val="44"/>
          <w:szCs w:val="24"/>
        </w:rPr>
        <w:t>20</w:t>
      </w:r>
      <w:r>
        <w:rPr>
          <w:rFonts w:hint="eastAsia" w:ascii="黑体" w:eastAsia="黑体"/>
          <w:snapToGrid w:val="0"/>
          <w:w w:val="80"/>
          <w:kern w:val="18"/>
          <w:sz w:val="44"/>
          <w:szCs w:val="24"/>
          <w:lang w:val="en-US" w:eastAsia="zh-CN"/>
        </w:rPr>
        <w:t>26</w:t>
      </w:r>
      <w:r>
        <w:rPr>
          <w:rFonts w:hint="eastAsia" w:ascii="黑体" w:eastAsia="黑体"/>
          <w:snapToGrid w:val="0"/>
          <w:w w:val="80"/>
          <w:kern w:val="18"/>
          <w:sz w:val="44"/>
          <w:szCs w:val="24"/>
        </w:rPr>
        <w:t xml:space="preserve">年  月  </w:t>
      </w:r>
      <w:r>
        <w:rPr>
          <w:rFonts w:ascii="黑体" w:eastAsia="黑体"/>
          <w:snapToGrid w:val="0"/>
          <w:w w:val="80"/>
          <w:kern w:val="18"/>
          <w:sz w:val="44"/>
          <w:szCs w:val="24"/>
        </w:rPr>
        <w:t>日</w:t>
      </w:r>
    </w:p>
    <w:p>
      <w:pPr>
        <w:spacing w:line="880" w:lineRule="exact"/>
        <w:jc w:val="center"/>
        <w:rPr>
          <w:rFonts w:hint="eastAsia" w:ascii="黑体" w:eastAsia="黑体"/>
          <w:snapToGrid w:val="0"/>
          <w:w w:val="80"/>
          <w:kern w:val="18"/>
          <w:sz w:val="44"/>
          <w:szCs w:val="24"/>
        </w:rPr>
      </w:pPr>
    </w:p>
    <w:p>
      <w:pPr>
        <w:spacing w:line="880" w:lineRule="exact"/>
        <w:jc w:val="center"/>
        <w:rPr>
          <w:rFonts w:hint="eastAsia" w:ascii="黑体" w:eastAsia="黑体"/>
          <w:snapToGrid w:val="0"/>
          <w:w w:val="80"/>
          <w:kern w:val="18"/>
          <w:sz w:val="44"/>
          <w:szCs w:val="24"/>
        </w:rPr>
      </w:pPr>
    </w:p>
    <w:p>
      <w:pPr>
        <w:spacing w:line="880" w:lineRule="exact"/>
        <w:jc w:val="center"/>
        <w:rPr>
          <w:rFonts w:hint="eastAsia" w:ascii="黑体" w:eastAsia="黑体"/>
          <w:snapToGrid w:val="0"/>
          <w:w w:val="80"/>
          <w:kern w:val="18"/>
          <w:sz w:val="44"/>
          <w:szCs w:val="24"/>
        </w:rPr>
      </w:pPr>
    </w:p>
    <w:p>
      <w:pPr>
        <w:spacing w:line="1000" w:lineRule="exact"/>
        <w:jc w:val="center"/>
        <w:rPr>
          <w:rFonts w:hint="eastAsia" w:ascii="宋体" w:hAnsi="宋体"/>
          <w:snapToGrid w:val="0"/>
          <w:w w:val="80"/>
          <w:kern w:val="18"/>
          <w:sz w:val="52"/>
          <w:szCs w:val="52"/>
        </w:rPr>
      </w:pPr>
      <w:r>
        <w:rPr>
          <w:rFonts w:hint="eastAsia" w:ascii="宋体" w:hAnsi="宋体"/>
          <w:snapToGrid w:val="0"/>
          <w:w w:val="80"/>
          <w:kern w:val="18"/>
          <w:sz w:val="52"/>
          <w:szCs w:val="52"/>
        </w:rPr>
        <w:t>说 明</w:t>
      </w:r>
    </w:p>
    <w:p>
      <w:pPr>
        <w:spacing w:line="480" w:lineRule="auto"/>
        <w:ind w:firstLine="560" w:firstLineChars="200"/>
        <w:rPr>
          <w:rFonts w:hint="eastAsia" w:ascii="宋体" w:hAnsi="宋体"/>
          <w:sz w:val="28"/>
          <w:szCs w:val="28"/>
        </w:rPr>
      </w:pPr>
    </w:p>
    <w:p>
      <w:pPr>
        <w:spacing w:line="480" w:lineRule="auto"/>
        <w:ind w:firstLine="560" w:firstLineChars="200"/>
        <w:rPr>
          <w:rFonts w:hint="eastAsia" w:ascii="宋体" w:hAnsi="宋体"/>
          <w:sz w:val="28"/>
          <w:szCs w:val="28"/>
        </w:rPr>
      </w:pPr>
    </w:p>
    <w:p>
      <w:pPr>
        <w:spacing w:line="312" w:lineRule="auto"/>
        <w:jc w:val="center"/>
        <w:rPr>
          <w:rFonts w:hint="eastAsia" w:ascii="宋体" w:hAnsi="宋体" w:eastAsia="宋体" w:cs="Times New Roman"/>
          <w:sz w:val="28"/>
          <w:szCs w:val="28"/>
        </w:rPr>
      </w:pPr>
      <w:r>
        <w:rPr>
          <w:rFonts w:hint="eastAsia" w:ascii="宋体" w:hAnsi="宋体"/>
          <w:sz w:val="28"/>
          <w:szCs w:val="28"/>
        </w:rPr>
        <w:t>本技术规范，</w:t>
      </w:r>
      <w:r>
        <w:rPr>
          <w:rFonts w:hint="eastAsia" w:ascii="宋体" w:hAnsi="宋体" w:eastAsia="宋体" w:cs="Times New Roman"/>
          <w:sz w:val="28"/>
          <w:szCs w:val="28"/>
        </w:rPr>
        <w:t>针对</w:t>
      </w:r>
      <w:r>
        <w:rPr>
          <w:rFonts w:hint="eastAsia" w:ascii="宋体" w:hAnsi="宋体" w:eastAsia="宋体" w:cs="Times New Roman"/>
          <w:sz w:val="28"/>
          <w:szCs w:val="28"/>
          <w:lang w:val="en-US" w:eastAsia="zh-CN"/>
        </w:rPr>
        <w:t>香洲区社会福利中心柴油发电机烟囱改造</w:t>
      </w:r>
    </w:p>
    <w:p>
      <w:pPr>
        <w:spacing w:line="312" w:lineRule="auto"/>
        <w:jc w:val="left"/>
        <w:rPr>
          <w:rFonts w:hint="eastAsia" w:ascii="宋体" w:hAnsi="宋体"/>
          <w:color w:val="FF0000"/>
          <w:sz w:val="28"/>
          <w:szCs w:val="28"/>
        </w:rPr>
      </w:pPr>
      <w:r>
        <w:rPr>
          <w:rFonts w:hint="eastAsia" w:ascii="宋体" w:hAnsi="宋体"/>
          <w:sz w:val="28"/>
          <w:szCs w:val="28"/>
        </w:rPr>
        <w:t>，未注明事宜，需与珠海正方</w:t>
      </w:r>
      <w:r>
        <w:rPr>
          <w:rFonts w:hint="eastAsia" w:ascii="宋体" w:hAnsi="宋体"/>
          <w:sz w:val="28"/>
          <w:szCs w:val="28"/>
          <w:lang w:val="en-US" w:eastAsia="zh-CN"/>
        </w:rPr>
        <w:t>物业管理</w:t>
      </w:r>
      <w:r>
        <w:rPr>
          <w:rFonts w:hint="eastAsia" w:ascii="宋体" w:hAnsi="宋体"/>
          <w:sz w:val="28"/>
          <w:szCs w:val="28"/>
        </w:rPr>
        <w:t>有限公司协商确定。</w:t>
      </w:r>
    </w:p>
    <w:p>
      <w:pPr>
        <w:spacing w:line="312" w:lineRule="auto"/>
        <w:jc w:val="center"/>
        <w:rPr>
          <w:rFonts w:hint="eastAsia" w:ascii="仿宋_GB2312" w:eastAsia="仿宋_GB2312"/>
          <w:b/>
          <w:sz w:val="28"/>
          <w:szCs w:val="24"/>
        </w:rPr>
      </w:pPr>
    </w:p>
    <w:p>
      <w:pPr>
        <w:spacing w:line="312" w:lineRule="auto"/>
        <w:jc w:val="center"/>
        <w:rPr>
          <w:rFonts w:hint="eastAsia" w:ascii="仿宋_GB2312" w:eastAsia="仿宋_GB2312"/>
          <w:b/>
          <w:sz w:val="28"/>
          <w:szCs w:val="24"/>
        </w:rPr>
      </w:pPr>
    </w:p>
    <w:p>
      <w:pPr>
        <w:spacing w:line="312" w:lineRule="auto"/>
        <w:jc w:val="center"/>
        <w:rPr>
          <w:rFonts w:hint="eastAsia" w:ascii="仿宋_GB2312" w:eastAsia="仿宋_GB2312"/>
          <w:b/>
          <w:sz w:val="28"/>
          <w:szCs w:val="24"/>
        </w:rPr>
      </w:pPr>
    </w:p>
    <w:p>
      <w:pPr>
        <w:spacing w:line="312" w:lineRule="auto"/>
        <w:jc w:val="center"/>
        <w:rPr>
          <w:rFonts w:hint="eastAsia" w:ascii="仿宋_GB2312" w:eastAsia="仿宋_GB2312"/>
          <w:b/>
          <w:sz w:val="28"/>
          <w:szCs w:val="24"/>
        </w:rPr>
      </w:pPr>
    </w:p>
    <w:p>
      <w:pPr>
        <w:spacing w:line="312" w:lineRule="auto"/>
        <w:jc w:val="center"/>
        <w:rPr>
          <w:rFonts w:hint="eastAsia" w:ascii="仿宋_GB2312" w:eastAsia="仿宋_GB2312"/>
          <w:b/>
          <w:sz w:val="28"/>
          <w:szCs w:val="24"/>
        </w:rPr>
      </w:pPr>
    </w:p>
    <w:p>
      <w:pPr>
        <w:spacing w:line="312" w:lineRule="auto"/>
        <w:jc w:val="center"/>
        <w:rPr>
          <w:rFonts w:hint="eastAsia" w:ascii="仿宋_GB2312" w:eastAsia="仿宋_GB2312"/>
          <w:b/>
          <w:sz w:val="28"/>
          <w:szCs w:val="24"/>
        </w:rPr>
      </w:pPr>
    </w:p>
    <w:p>
      <w:pPr>
        <w:spacing w:line="360" w:lineRule="auto"/>
        <w:ind w:left="1050" w:leftChars="500"/>
        <w:rPr>
          <w:rFonts w:hint="eastAsia" w:eastAsia="黑体"/>
          <w:sz w:val="28"/>
        </w:rPr>
      </w:pPr>
      <w:r>
        <w:rPr>
          <w:rFonts w:hint="eastAsia" w:eastAsia="黑体"/>
          <w:sz w:val="28"/>
        </w:rPr>
        <w:t>编       制：</w:t>
      </w:r>
      <w:r>
        <w:rPr>
          <w:rFonts w:hint="eastAsia" w:eastAsia="黑体"/>
          <w:i/>
          <w:iCs/>
          <w:color w:val="FF0000"/>
          <w:sz w:val="28"/>
        </w:rPr>
        <w:t xml:space="preserve">            </w:t>
      </w:r>
      <w:r>
        <w:rPr>
          <w:rFonts w:hint="eastAsia" w:eastAsia="黑体"/>
          <w:sz w:val="28"/>
        </w:rPr>
        <w:t>20</w:t>
      </w:r>
      <w:r>
        <w:rPr>
          <w:rFonts w:hint="eastAsia" w:eastAsia="黑体"/>
          <w:sz w:val="28"/>
          <w:lang w:val="en-US" w:eastAsia="zh-CN"/>
        </w:rPr>
        <w:t>26</w:t>
      </w:r>
      <w:r>
        <w:rPr>
          <w:rFonts w:hint="eastAsia" w:eastAsia="黑体"/>
          <w:sz w:val="28"/>
        </w:rPr>
        <w:t>年    月   日</w:t>
      </w:r>
    </w:p>
    <w:p>
      <w:pPr>
        <w:spacing w:line="360" w:lineRule="auto"/>
        <w:ind w:left="1050" w:leftChars="500"/>
        <w:rPr>
          <w:rFonts w:hint="eastAsia" w:eastAsia="黑体"/>
          <w:sz w:val="28"/>
        </w:rPr>
      </w:pPr>
    </w:p>
    <w:p>
      <w:pPr>
        <w:spacing w:line="360" w:lineRule="auto"/>
        <w:ind w:left="1050" w:leftChars="500"/>
        <w:rPr>
          <w:rFonts w:hint="eastAsia" w:eastAsia="黑体"/>
          <w:sz w:val="28"/>
        </w:rPr>
      </w:pPr>
      <w:r>
        <w:rPr>
          <w:rFonts w:hint="eastAsia" w:eastAsia="黑体"/>
          <w:sz w:val="28"/>
        </w:rPr>
        <w:t>审       核：</w:t>
      </w:r>
      <w:r>
        <w:rPr>
          <w:rFonts w:hint="eastAsia" w:eastAsia="黑体"/>
          <w:i/>
          <w:iCs/>
          <w:color w:val="FF0000"/>
          <w:sz w:val="28"/>
        </w:rPr>
        <w:t xml:space="preserve">         </w:t>
      </w:r>
      <w:r>
        <w:rPr>
          <w:rFonts w:hint="eastAsia" w:eastAsia="黑体"/>
          <w:sz w:val="28"/>
        </w:rPr>
        <w:t xml:space="preserve">   20</w:t>
      </w:r>
      <w:r>
        <w:rPr>
          <w:rFonts w:hint="eastAsia" w:eastAsia="黑体"/>
          <w:sz w:val="28"/>
          <w:lang w:val="en-US" w:eastAsia="zh-CN"/>
        </w:rPr>
        <w:t>26</w:t>
      </w:r>
      <w:r>
        <w:rPr>
          <w:rFonts w:hint="eastAsia" w:eastAsia="黑体"/>
          <w:sz w:val="28"/>
        </w:rPr>
        <w:t>年    月   日</w:t>
      </w:r>
    </w:p>
    <w:p>
      <w:pPr>
        <w:spacing w:line="360" w:lineRule="auto"/>
        <w:ind w:left="1050" w:leftChars="500"/>
        <w:rPr>
          <w:rFonts w:hint="eastAsia" w:eastAsia="黑体"/>
          <w:sz w:val="28"/>
        </w:rPr>
      </w:pPr>
      <w:r>
        <w:rPr>
          <w:rFonts w:hint="eastAsia" w:eastAsia="黑体"/>
          <w:sz w:val="28"/>
        </w:rPr>
        <w:t xml:space="preserve"> </w:t>
      </w:r>
    </w:p>
    <w:p>
      <w:pPr>
        <w:spacing w:line="360" w:lineRule="auto"/>
        <w:ind w:left="1050" w:leftChars="500"/>
        <w:rPr>
          <w:rFonts w:hint="eastAsia" w:eastAsia="黑体"/>
          <w:sz w:val="28"/>
        </w:rPr>
      </w:pPr>
    </w:p>
    <w:p>
      <w:pPr>
        <w:spacing w:line="360" w:lineRule="auto"/>
        <w:ind w:left="1050" w:leftChars="500"/>
        <w:rPr>
          <w:rFonts w:hint="eastAsia" w:eastAsia="黑体"/>
          <w:sz w:val="28"/>
        </w:rPr>
      </w:pPr>
      <w:r>
        <w:rPr>
          <w:rFonts w:hint="eastAsia" w:eastAsia="黑体"/>
          <w:sz w:val="28"/>
        </w:rPr>
        <w:t>批       准：</w:t>
      </w:r>
      <w:r>
        <w:rPr>
          <w:rFonts w:hint="eastAsia" w:eastAsia="黑体"/>
          <w:i/>
          <w:iCs/>
          <w:color w:val="FF0000"/>
          <w:spacing w:val="22"/>
          <w:sz w:val="28"/>
        </w:rPr>
        <w:t xml:space="preserve">       </w:t>
      </w:r>
      <w:r>
        <w:rPr>
          <w:rFonts w:hint="eastAsia" w:eastAsia="黑体"/>
          <w:sz w:val="28"/>
        </w:rPr>
        <w:t xml:space="preserve">   20</w:t>
      </w:r>
      <w:r>
        <w:rPr>
          <w:rFonts w:hint="eastAsia" w:eastAsia="黑体"/>
          <w:sz w:val="28"/>
          <w:lang w:val="en-US" w:eastAsia="zh-CN"/>
        </w:rPr>
        <w:t>26</w:t>
      </w:r>
      <w:r>
        <w:rPr>
          <w:rFonts w:hint="eastAsia" w:eastAsia="黑体"/>
          <w:sz w:val="28"/>
        </w:rPr>
        <w:t>年    月   日</w:t>
      </w:r>
    </w:p>
    <w:p>
      <w:pPr>
        <w:pStyle w:val="9"/>
        <w:adjustRightInd w:val="0"/>
        <w:snapToGrid w:val="0"/>
        <w:spacing w:after="0" w:line="360" w:lineRule="auto"/>
        <w:jc w:val="center"/>
        <w:rPr>
          <w:rFonts w:hint="eastAsia" w:hAnsi="宋体"/>
          <w:b/>
          <w:szCs w:val="28"/>
        </w:rPr>
      </w:pPr>
    </w:p>
    <w:p>
      <w:pPr>
        <w:pStyle w:val="2"/>
        <w:numPr>
          <w:ilvl w:val="0"/>
          <w:numId w:val="1"/>
        </w:numPr>
        <w:rPr>
          <w:rFonts w:ascii="Calibri" w:eastAsia="Calibri"/>
        </w:rPr>
      </w:pPr>
      <w:r>
        <w:rPr>
          <w:rFonts w:hint="eastAsia" w:ascii="Calibri" w:hAnsi="Calibri"/>
        </w:rPr>
        <w:t>一般规定</w:t>
      </w:r>
      <w:bookmarkEnd w:id="3"/>
    </w:p>
    <w:p>
      <w:pPr>
        <w:pStyle w:val="26"/>
        <w:spacing w:line="440" w:lineRule="atLeast"/>
        <w:rPr>
          <w:rFonts w:ascii="Arial" w:hAnsi="Arial"/>
          <w:sz w:val="24"/>
        </w:rPr>
      </w:pPr>
      <w:bookmarkStart w:id="6" w:name="_Toc286839479"/>
      <w:r>
        <w:rPr>
          <w:rFonts w:ascii="Arial" w:hAnsi="Arial"/>
          <w:sz w:val="24"/>
        </w:rPr>
        <w:t>1.1</w:t>
      </w:r>
      <w:r>
        <w:rPr>
          <w:rFonts w:hint="eastAsia" w:ascii="Arial" w:hAnsi="Arial"/>
          <w:sz w:val="24"/>
        </w:rPr>
        <w:t>工程概况</w:t>
      </w:r>
      <w:bookmarkEnd w:id="6"/>
      <w:bookmarkStart w:id="7" w:name="_Toc286839480"/>
      <w:bookmarkStart w:id="8" w:name="_Toc518723291"/>
      <w:bookmarkStart w:id="9" w:name="_Toc90030632"/>
      <w:bookmarkStart w:id="10" w:name="_Toc515335449"/>
      <w:bookmarkStart w:id="11" w:name="_Toc206383712"/>
      <w:bookmarkStart w:id="12" w:name="_Toc219196541"/>
      <w:bookmarkStart w:id="13" w:name="_Toc494871119"/>
    </w:p>
    <w:p>
      <w:pPr>
        <w:spacing w:line="312" w:lineRule="auto"/>
        <w:jc w:val="both"/>
        <w:rPr>
          <w:rFonts w:hint="default" w:ascii="Arial" w:hAnsi="宋体" w:eastAsia="宋体" w:cs="Times New Roman"/>
          <w:sz w:val="24"/>
          <w:lang w:val="en-US" w:eastAsia="zh-CN"/>
        </w:rPr>
      </w:pPr>
      <w:r>
        <w:rPr>
          <w:rFonts w:hint="eastAsia" w:ascii="Arial" w:hAnsi="宋体"/>
          <w:sz w:val="24"/>
        </w:rPr>
        <w:t>本</w:t>
      </w:r>
      <w:r>
        <w:rPr>
          <w:rFonts w:hint="eastAsia" w:ascii="Arial" w:hAnsi="宋体"/>
          <w:sz w:val="24"/>
          <w:szCs w:val="22"/>
        </w:rPr>
        <w:t>工程涉</w:t>
      </w:r>
      <w:r>
        <w:rPr>
          <w:rFonts w:hint="eastAsia" w:ascii="Arial" w:hAnsi="宋体" w:eastAsia="宋体" w:cs="Times New Roman"/>
          <w:sz w:val="24"/>
        </w:rPr>
        <w:t>及</w:t>
      </w:r>
      <w:r>
        <w:rPr>
          <w:rFonts w:hint="eastAsia" w:ascii="Arial" w:hAnsi="宋体" w:eastAsia="宋体" w:cs="Times New Roman"/>
          <w:sz w:val="24"/>
          <w:lang w:val="en-US" w:eastAsia="zh-CN"/>
        </w:rPr>
        <w:t>香洲区社会福利中心柴油发电机烟囱改造</w:t>
      </w:r>
      <w:r>
        <w:rPr>
          <w:rFonts w:hint="eastAsia" w:ascii="Arial" w:hAnsi="宋体" w:eastAsia="宋体" w:cs="Times New Roman"/>
          <w:sz w:val="24"/>
        </w:rPr>
        <w:t>，</w:t>
      </w:r>
      <w:r>
        <w:rPr>
          <w:rFonts w:hint="eastAsia" w:ascii="Arial" w:hAnsi="宋体" w:eastAsia="宋体" w:cs="Times New Roman"/>
          <w:sz w:val="24"/>
          <w:lang w:val="en-US" w:eastAsia="zh-CN"/>
        </w:rPr>
        <w:t>实施内容详见清单</w:t>
      </w:r>
    </w:p>
    <w:bookmarkEnd w:id="7"/>
    <w:bookmarkEnd w:id="8"/>
    <w:bookmarkEnd w:id="9"/>
    <w:bookmarkEnd w:id="10"/>
    <w:bookmarkEnd w:id="11"/>
    <w:bookmarkEnd w:id="12"/>
    <w:bookmarkEnd w:id="13"/>
    <w:p>
      <w:pPr>
        <w:pStyle w:val="26"/>
        <w:spacing w:line="440" w:lineRule="atLeast"/>
        <w:rPr>
          <w:rFonts w:ascii="Arial" w:hAnsi="Arial"/>
          <w:sz w:val="24"/>
        </w:rPr>
      </w:pPr>
      <w:bookmarkStart w:id="14" w:name="_Toc286839482"/>
      <w:r>
        <w:rPr>
          <w:rFonts w:ascii="Arial" w:hAnsi="Arial"/>
          <w:sz w:val="24"/>
        </w:rPr>
        <w:t>1.</w:t>
      </w:r>
      <w:r>
        <w:rPr>
          <w:rFonts w:hint="eastAsia" w:ascii="Arial" w:hAnsi="Arial"/>
          <w:sz w:val="24"/>
        </w:rPr>
        <w:t>2承包人提供的设备及材料</w:t>
      </w:r>
      <w:bookmarkEnd w:id="14"/>
    </w:p>
    <w:p>
      <w:pPr>
        <w:spacing w:line="440" w:lineRule="atLeast"/>
        <w:ind w:firstLine="424" w:firstLineChars="177"/>
        <w:rPr>
          <w:rFonts w:ascii="Arial" w:hAnsi="宋体"/>
          <w:sz w:val="24"/>
        </w:rPr>
      </w:pPr>
      <w:r>
        <w:rPr>
          <w:rFonts w:hint="eastAsia" w:ascii="Arial" w:hAnsi="宋体"/>
          <w:sz w:val="24"/>
        </w:rPr>
        <w:t>承包人必须按合同条款的规定负责采购、验收、运输和保管工程施工中所需的全部材料。材料应具有材质证明或出厂合格证书，并符合国家相关技术规范的要求。</w:t>
      </w:r>
    </w:p>
    <w:p>
      <w:pPr>
        <w:spacing w:line="440" w:lineRule="atLeast"/>
        <w:ind w:firstLine="424" w:firstLineChars="177"/>
        <w:rPr>
          <w:rFonts w:ascii="Arial" w:hAnsi="宋体"/>
          <w:sz w:val="24"/>
        </w:rPr>
      </w:pPr>
      <w:r>
        <w:rPr>
          <w:rFonts w:hint="eastAsia" w:ascii="Arial" w:hAnsi="宋体"/>
          <w:sz w:val="24"/>
        </w:rPr>
        <w:t>由于某种原因无法提供规定材料时，承包人可以提出使用代用材料的申请报告，报送发包人批准。采用代用材料的报告必须附有代用材料的技术标准和试验报告，只有在证明其不降低工程质量并经发包人批准后才能采用。</w:t>
      </w:r>
    </w:p>
    <w:p>
      <w:pPr>
        <w:spacing w:line="440" w:lineRule="atLeast"/>
        <w:ind w:firstLine="424" w:firstLineChars="177"/>
        <w:rPr>
          <w:rFonts w:ascii="Arial" w:hAnsi="宋体"/>
          <w:sz w:val="24"/>
        </w:rPr>
      </w:pPr>
      <w:r>
        <w:rPr>
          <w:rFonts w:hint="eastAsia" w:ascii="Arial" w:hAnsi="宋体"/>
          <w:sz w:val="24"/>
        </w:rPr>
        <w:t>由承包人提供的材料应按合同规定经过检查和试验，承包人提供材质证明、出厂合格证书、材料样品和试验报告。承包人对其提供使用的材料应负全部责任，发包人一旦发现承包人在本工程中使用不合格的材料时，承包人应按用户的指示立即更换材料，并承担由于工程质量不合格所造成的一切损失。</w:t>
      </w:r>
    </w:p>
    <w:p>
      <w:pPr>
        <w:spacing w:line="440" w:lineRule="atLeast"/>
        <w:ind w:firstLine="424" w:firstLineChars="177"/>
        <w:rPr>
          <w:rFonts w:ascii="Arial" w:hAnsi="宋体"/>
          <w:sz w:val="24"/>
        </w:rPr>
      </w:pPr>
      <w:r>
        <w:rPr>
          <w:rFonts w:hint="eastAsia" w:ascii="Arial" w:hAnsi="宋体"/>
          <w:sz w:val="24"/>
        </w:rPr>
        <w:t>承包人所有设备均须按合同规定经过检查、验证和运转试验，承包人对其所用的设备负有全部责任。用户一旦发现承包人所用的施工设备影响工程的进度和质量时，承包人应按用户的指示更换设备。</w:t>
      </w:r>
      <w:bookmarkStart w:id="15" w:name="_Toc286839483"/>
    </w:p>
    <w:bookmarkEnd w:id="15"/>
    <w:p>
      <w:pPr>
        <w:pStyle w:val="26"/>
        <w:spacing w:line="440" w:lineRule="atLeast"/>
        <w:rPr>
          <w:rFonts w:ascii="Arial" w:eastAsia="Arial"/>
          <w:sz w:val="24"/>
        </w:rPr>
      </w:pPr>
      <w:bookmarkStart w:id="16" w:name="_Toc286839484"/>
      <w:r>
        <w:rPr>
          <w:rFonts w:ascii="Arial" w:hAnsi="Arial"/>
          <w:sz w:val="24"/>
        </w:rPr>
        <w:t>1.</w:t>
      </w:r>
      <w:r>
        <w:rPr>
          <w:rFonts w:hint="eastAsia" w:ascii="Arial" w:hAnsi="Arial"/>
          <w:sz w:val="24"/>
        </w:rPr>
        <w:t>3</w:t>
      </w:r>
      <w:r>
        <w:rPr>
          <w:rFonts w:hint="eastAsia" w:ascii="Arial" w:hAnsi="宋体"/>
          <w:sz w:val="24"/>
        </w:rPr>
        <w:t>由发包人提供的图纸和文件</w:t>
      </w:r>
      <w:bookmarkEnd w:id="16"/>
    </w:p>
    <w:p>
      <w:pPr>
        <w:spacing w:line="440" w:lineRule="atLeast"/>
        <w:ind w:firstLine="424" w:firstLineChars="177"/>
        <w:rPr>
          <w:rFonts w:hint="eastAsia" w:ascii="Arial" w:hAnsi="宋体"/>
          <w:sz w:val="24"/>
        </w:rPr>
      </w:pPr>
      <w:r>
        <w:rPr>
          <w:rFonts w:hint="eastAsia" w:ascii="Arial" w:hAnsi="宋体"/>
          <w:sz w:val="24"/>
        </w:rPr>
        <w:t>发包人负责向承包人递交为有效地实施本工程所必需施工样品和必要的文字说明</w:t>
      </w:r>
      <w:r>
        <w:rPr>
          <w:rFonts w:ascii="Arial" w:hAnsi="宋体"/>
          <w:sz w:val="24"/>
        </w:rPr>
        <w:t>(</w:t>
      </w:r>
      <w:r>
        <w:rPr>
          <w:rFonts w:hint="eastAsia" w:ascii="Arial" w:hAnsi="宋体"/>
          <w:sz w:val="24"/>
        </w:rPr>
        <w:t>下文统称图纸和文件</w:t>
      </w:r>
      <w:r>
        <w:rPr>
          <w:rFonts w:ascii="Arial" w:hAnsi="宋体"/>
          <w:sz w:val="24"/>
        </w:rPr>
        <w:t>)</w:t>
      </w:r>
      <w:r>
        <w:rPr>
          <w:rFonts w:hint="eastAsia" w:ascii="Arial" w:hAnsi="宋体"/>
          <w:sz w:val="24"/>
        </w:rPr>
        <w:t>。图纸和文件应一致，达到深度要求，相互无矛盾，以便于承包人进行复核与审批。</w:t>
      </w:r>
    </w:p>
    <w:p>
      <w:pPr>
        <w:spacing w:line="440" w:lineRule="atLeast"/>
        <w:ind w:firstLine="424" w:firstLineChars="177"/>
        <w:rPr>
          <w:rFonts w:hint="eastAsia" w:ascii="Arial" w:hAnsi="宋体"/>
          <w:sz w:val="24"/>
        </w:rPr>
      </w:pPr>
      <w:r>
        <w:rPr>
          <w:rFonts w:hint="eastAsia" w:ascii="Arial" w:hAnsi="宋体"/>
          <w:sz w:val="24"/>
        </w:rPr>
        <w:t>承包人对发包人提供的任何图纸文件应仔细审阅，如发现错误或表达不清楚的地方，必须在2天内正式通知发包人。</w:t>
      </w:r>
    </w:p>
    <w:p>
      <w:pPr>
        <w:pStyle w:val="26"/>
        <w:spacing w:line="440" w:lineRule="atLeast"/>
        <w:rPr>
          <w:rFonts w:ascii="Arial" w:hAnsi="Arial"/>
          <w:sz w:val="24"/>
        </w:rPr>
      </w:pPr>
      <w:r>
        <w:rPr>
          <w:rFonts w:hint="eastAsia" w:ascii="Arial" w:hAnsi="Arial"/>
          <w:sz w:val="24"/>
        </w:rPr>
        <w:t>1.4承包人对安全防护的责任</w:t>
      </w:r>
    </w:p>
    <w:p>
      <w:pPr>
        <w:spacing w:line="440" w:lineRule="atLeast"/>
        <w:ind w:firstLine="424" w:firstLineChars="177"/>
        <w:rPr>
          <w:rFonts w:ascii="Arial" w:hAnsi="宋体"/>
          <w:sz w:val="24"/>
        </w:rPr>
      </w:pPr>
      <w:r>
        <w:rPr>
          <w:rFonts w:hint="eastAsia" w:ascii="Arial" w:hAnsi="宋体"/>
          <w:sz w:val="24"/>
        </w:rPr>
        <w:t>在工程最终交付使用之前的整个施工期内，承包人必须制订并实施一切必要的措施，保证工程现场施工安全</w:t>
      </w:r>
      <w:r>
        <w:rPr>
          <w:rFonts w:ascii="Arial" w:hAnsi="宋体"/>
          <w:sz w:val="24"/>
        </w:rPr>
        <w:t>(</w:t>
      </w:r>
      <w:r>
        <w:rPr>
          <w:rFonts w:hint="eastAsia" w:ascii="Arial" w:hAnsi="宋体"/>
          <w:sz w:val="24"/>
        </w:rPr>
        <w:t>包括承包人和非承包人的人员安全</w:t>
      </w:r>
      <w:r>
        <w:rPr>
          <w:rFonts w:ascii="Arial" w:hAnsi="宋体"/>
          <w:sz w:val="24"/>
        </w:rPr>
        <w:t>)</w:t>
      </w:r>
      <w:r>
        <w:rPr>
          <w:rFonts w:hint="eastAsia" w:ascii="Arial" w:hAnsi="宋体"/>
          <w:sz w:val="24"/>
        </w:rPr>
        <w:t>，维护工地正常生产、生活秩序。对于用电等危险性作业承包人须设专职监护人员进行监护。承包人必须遵守国家颁布的有关安全规程，对于不符合我国法律、法规、安全规程及合同规定的安全隐患，发包人有权要求承包人限期整改。若发生安全事故，承包人必须在国家相关法规规定时间内向发包人汇报、递交事故报告。</w:t>
      </w:r>
    </w:p>
    <w:p>
      <w:pPr>
        <w:pStyle w:val="26"/>
        <w:spacing w:line="440" w:lineRule="atLeast"/>
        <w:rPr>
          <w:rFonts w:ascii="Arial" w:eastAsia="Arial"/>
          <w:sz w:val="24"/>
        </w:rPr>
      </w:pPr>
      <w:bookmarkStart w:id="17" w:name="_Toc286839487"/>
      <w:r>
        <w:rPr>
          <w:rFonts w:ascii="Arial" w:hAnsi="Arial"/>
          <w:sz w:val="24"/>
        </w:rPr>
        <w:t>1.</w:t>
      </w:r>
      <w:r>
        <w:rPr>
          <w:rFonts w:hint="eastAsia" w:ascii="Arial" w:hAnsi="Arial"/>
          <w:sz w:val="24"/>
        </w:rPr>
        <w:t>5承包人对环境保护</w:t>
      </w:r>
      <w:bookmarkEnd w:id="17"/>
      <w:r>
        <w:rPr>
          <w:rFonts w:hint="eastAsia" w:ascii="Arial" w:hAnsi="Arial"/>
          <w:sz w:val="24"/>
        </w:rPr>
        <w:t>的责任</w:t>
      </w:r>
    </w:p>
    <w:p>
      <w:pPr>
        <w:spacing w:line="440" w:lineRule="atLeast"/>
        <w:ind w:firstLine="424" w:firstLineChars="177"/>
        <w:rPr>
          <w:rFonts w:ascii="Arial" w:hAnsi="宋体"/>
          <w:sz w:val="24"/>
        </w:rPr>
      </w:pPr>
      <w:r>
        <w:rPr>
          <w:rFonts w:hint="eastAsia" w:ascii="Arial" w:hAnsi="宋体"/>
          <w:sz w:val="24"/>
        </w:rPr>
        <w:t>承包人必须遵守国家和地方政府颁发的有关环境保护的法律、法规、条例。承包人不得将有害物质</w:t>
      </w:r>
      <w:r>
        <w:rPr>
          <w:rFonts w:ascii="Arial" w:hAnsi="宋体"/>
          <w:sz w:val="24"/>
        </w:rPr>
        <w:t>(</w:t>
      </w:r>
      <w:r>
        <w:rPr>
          <w:rFonts w:hint="eastAsia" w:ascii="Arial" w:hAnsi="宋体"/>
          <w:sz w:val="24"/>
        </w:rPr>
        <w:t>如燃料、油料、化学品、酸等，以及超过允许剂量的有害气体和尘埃、弃碴等</w:t>
      </w:r>
      <w:r>
        <w:rPr>
          <w:rFonts w:ascii="Arial" w:hAnsi="宋体"/>
          <w:sz w:val="24"/>
        </w:rPr>
        <w:t>)</w:t>
      </w:r>
      <w:r>
        <w:rPr>
          <w:rFonts w:hint="eastAsia" w:ascii="Arial" w:hAnsi="宋体"/>
          <w:sz w:val="24"/>
        </w:rPr>
        <w:t>污染土地、河川。倘因承包人过失破坏环境保护而遭致经济损失或赔偿，承包人应承担全部责任。</w:t>
      </w:r>
    </w:p>
    <w:p>
      <w:pPr>
        <w:spacing w:line="440" w:lineRule="atLeast"/>
        <w:ind w:firstLine="424" w:firstLineChars="177"/>
        <w:rPr>
          <w:rFonts w:ascii="Arial" w:hAnsi="宋体"/>
          <w:sz w:val="24"/>
        </w:rPr>
      </w:pPr>
      <w:r>
        <w:rPr>
          <w:rFonts w:hint="eastAsia" w:ascii="Arial" w:hAnsi="宋体"/>
          <w:sz w:val="24"/>
        </w:rPr>
        <w:t>承包人应将工程垃圾按照当地环卫部门规定的要求堆放。由于承包人的施工违反当地城市管理相关规定，造成的人身安全事故、环境破坏和经济损失，由承包人承担全部责任。</w:t>
      </w:r>
    </w:p>
    <w:p>
      <w:pPr>
        <w:spacing w:line="440" w:lineRule="atLeast"/>
        <w:ind w:firstLine="424" w:firstLineChars="177"/>
        <w:rPr>
          <w:rFonts w:ascii="Arial" w:hAnsi="宋体"/>
          <w:sz w:val="24"/>
        </w:rPr>
      </w:pPr>
      <w:r>
        <w:rPr>
          <w:rFonts w:hint="eastAsia" w:ascii="Arial" w:hAnsi="宋体"/>
          <w:sz w:val="24"/>
        </w:rPr>
        <w:t>为保持施工区的环境卫生，必须及时清理垃圾，并将其运至当地环卫部门指定的地点。</w:t>
      </w:r>
    </w:p>
    <w:p>
      <w:pPr>
        <w:spacing w:line="440" w:lineRule="atLeast"/>
        <w:ind w:firstLine="424" w:firstLineChars="177"/>
        <w:rPr>
          <w:rFonts w:hint="eastAsia" w:ascii="Arial" w:hAnsi="宋体"/>
          <w:sz w:val="24"/>
        </w:rPr>
      </w:pPr>
      <w:r>
        <w:rPr>
          <w:rFonts w:hint="eastAsia" w:ascii="Arial" w:hAnsi="宋体"/>
          <w:sz w:val="24"/>
        </w:rPr>
        <w:t>承包人应按发包人指令拆除施工临时设施和临时生活设施，拆除后的场地应清理并恢复。清理工作所需费用由承包人承担。</w:t>
      </w:r>
    </w:p>
    <w:p>
      <w:pPr>
        <w:pStyle w:val="26"/>
        <w:spacing w:line="440" w:lineRule="atLeast"/>
        <w:rPr>
          <w:rFonts w:hint="eastAsia" w:ascii="Arial" w:eastAsia="Arial"/>
          <w:sz w:val="24"/>
        </w:rPr>
      </w:pPr>
      <w:r>
        <w:rPr>
          <w:rFonts w:ascii="Arial" w:hAnsi="Arial"/>
          <w:sz w:val="24"/>
        </w:rPr>
        <w:t>1.</w:t>
      </w:r>
      <w:r>
        <w:rPr>
          <w:rFonts w:hint="eastAsia" w:ascii="Arial" w:hAnsi="Arial"/>
          <w:sz w:val="24"/>
        </w:rPr>
        <w:t>6</w:t>
      </w:r>
      <w:r>
        <w:rPr>
          <w:rFonts w:hint="eastAsia" w:ascii="Arial" w:hAnsi="宋体"/>
          <w:sz w:val="24"/>
        </w:rPr>
        <w:t>发包人对工程承担的责任</w:t>
      </w:r>
    </w:p>
    <w:p>
      <w:pPr>
        <w:spacing w:line="440" w:lineRule="atLeast"/>
        <w:ind w:firstLine="424" w:firstLineChars="177"/>
        <w:rPr>
          <w:rFonts w:hint="eastAsia" w:ascii="Arial" w:hAnsi="宋体"/>
          <w:sz w:val="24"/>
        </w:rPr>
      </w:pPr>
      <w:r>
        <w:rPr>
          <w:rFonts w:hint="eastAsia" w:ascii="Arial" w:hAnsi="宋体"/>
          <w:sz w:val="24"/>
        </w:rPr>
        <w:t>提供详细设计图纸及文件的审核、确认；本项目由中标人按发包人材质要求设计图案。对工程施工质量的跟踪、监督；工程竣工后组织对工程的验收。</w:t>
      </w:r>
    </w:p>
    <w:p>
      <w:pPr>
        <w:pStyle w:val="2"/>
        <w:rPr>
          <w:rFonts w:hint="eastAsia" w:ascii="Calibri" w:hAnsi="Calibri"/>
        </w:rPr>
      </w:pPr>
      <w:r>
        <w:rPr>
          <w:rFonts w:hint="eastAsia" w:ascii="Calibri" w:hAnsi="Calibri"/>
        </w:rPr>
        <w:t xml:space="preserve">2. 适用规范和标准  </w:t>
      </w:r>
    </w:p>
    <w:p>
      <w:pPr>
        <w:pStyle w:val="26"/>
        <w:spacing w:line="440" w:lineRule="atLeast"/>
        <w:rPr>
          <w:rFonts w:hint="eastAsia" w:ascii="Arial" w:hAnsi="宋体"/>
          <w:sz w:val="24"/>
        </w:rPr>
      </w:pPr>
      <w:r>
        <w:rPr>
          <w:rFonts w:hint="eastAsia" w:ascii="Arial" w:hAnsi="宋体"/>
          <w:sz w:val="24"/>
        </w:rPr>
        <w:t xml:space="preserve">2.1 适用的规范、标准和规程 </w:t>
      </w:r>
    </w:p>
    <w:p>
      <w:pPr>
        <w:spacing w:line="440" w:lineRule="atLeast"/>
        <w:rPr>
          <w:rFonts w:ascii="Arial" w:hAnsi="宋体"/>
          <w:sz w:val="24"/>
        </w:rPr>
      </w:pPr>
      <w:r>
        <w:rPr>
          <w:rFonts w:hint="eastAsia" w:ascii="Arial" w:hAnsi="宋体"/>
          <w:sz w:val="24"/>
        </w:rPr>
        <w:t>2.1.1 除合同另有约定外，本工程适用现行国家、行业和地方规范、标准和规程。构成合同文件的任何内容与适用的规范、标准和规程之间出现矛盾，承包人应书面要</w:t>
      </w:r>
      <w:r>
        <w:rPr>
          <w:rFonts w:ascii="Arial" w:hAnsi="宋体"/>
          <w:sz w:val="24"/>
        </w:rPr>
        <w:t>·</w:t>
      </w:r>
      <w:r>
        <w:rPr>
          <w:rFonts w:hint="eastAsia" w:ascii="Arial" w:hAnsi="宋体"/>
          <w:sz w:val="24"/>
        </w:rPr>
        <w:t>监理人予以澄清，除监理人有特别指示外，承包人应按照其中要求最严格的标准执行。</w:t>
      </w:r>
    </w:p>
    <w:p>
      <w:pPr>
        <w:spacing w:line="440" w:lineRule="atLeast"/>
        <w:rPr>
          <w:rFonts w:hint="eastAsia" w:ascii="Arial" w:hAnsi="宋体"/>
          <w:sz w:val="24"/>
        </w:rPr>
      </w:pPr>
      <w:r>
        <w:rPr>
          <w:rFonts w:hint="eastAsia" w:ascii="Arial" w:hAnsi="宋体"/>
          <w:sz w:val="24"/>
        </w:rPr>
        <w:t>2.1.2除合同另有约定外，材料、施工工艺和本工程都应依照本技术标准和要求以及适用的现行规范、标准和规程的最新版本执行。</w:t>
      </w:r>
    </w:p>
    <w:p>
      <w:pPr>
        <w:pStyle w:val="26"/>
        <w:spacing w:line="440" w:lineRule="atLeast"/>
        <w:rPr>
          <w:rFonts w:hint="eastAsia" w:ascii="Arial" w:hAnsi="宋体"/>
          <w:sz w:val="24"/>
        </w:rPr>
      </w:pPr>
      <w:r>
        <w:rPr>
          <w:rFonts w:hint="eastAsia" w:ascii="Arial" w:hAnsi="宋体"/>
          <w:sz w:val="24"/>
        </w:rPr>
        <w:t>2.2依据标准</w:t>
      </w:r>
    </w:p>
    <w:p>
      <w:pPr>
        <w:spacing w:line="440" w:lineRule="atLeast"/>
        <w:ind w:firstLine="424" w:firstLineChars="177"/>
        <w:rPr>
          <w:rFonts w:ascii="Arial" w:hAnsi="宋体"/>
          <w:sz w:val="24"/>
        </w:rPr>
      </w:pPr>
      <w:r>
        <w:rPr>
          <w:rFonts w:hint="eastAsia" w:ascii="Arial" w:hAnsi="宋体"/>
          <w:sz w:val="24"/>
        </w:rPr>
        <w:t>承包人施工所用的材料、设备和工程质量的检验和验收应符合本技术条款中引用的国家标准或行业颁布的技术标准、规程规范。</w:t>
      </w:r>
    </w:p>
    <w:p>
      <w:pPr>
        <w:spacing w:line="440" w:lineRule="atLeast"/>
        <w:ind w:firstLine="424" w:firstLineChars="177"/>
        <w:rPr>
          <w:rFonts w:ascii="Arial" w:hAnsi="宋体"/>
          <w:sz w:val="24"/>
        </w:rPr>
      </w:pPr>
      <w:r>
        <w:rPr>
          <w:rFonts w:hint="eastAsia" w:ascii="Arial" w:hAnsi="宋体"/>
          <w:sz w:val="24"/>
        </w:rPr>
        <w:t>当本技术条款的内容与所引用的标准和规程规范的规定有矛盾时，应以本技术条款的规定或发包人指示为准。</w:t>
      </w:r>
    </w:p>
    <w:p>
      <w:pPr>
        <w:spacing w:line="440" w:lineRule="atLeast"/>
        <w:ind w:firstLine="424" w:firstLineChars="177"/>
        <w:rPr>
          <w:rFonts w:ascii="Arial" w:hAnsi="宋体"/>
          <w:sz w:val="24"/>
        </w:rPr>
      </w:pPr>
      <w:r>
        <w:rPr>
          <w:rFonts w:hint="eastAsia" w:ascii="Arial" w:hAnsi="宋体"/>
          <w:sz w:val="24"/>
        </w:rPr>
        <w:t>技术条款中有涉及工程安全的规定，必须严格遵守国家和行业的标准，遇有矛盾时应由发包人按国家和行业标准的规定进行修正，涉及变更的应按合同条款的有关规定的办理。</w:t>
      </w:r>
    </w:p>
    <w:p>
      <w:pPr>
        <w:spacing w:line="440" w:lineRule="atLeast"/>
        <w:ind w:firstLine="424" w:firstLineChars="177"/>
        <w:rPr>
          <w:rFonts w:ascii="Arial" w:hAnsi="宋体"/>
          <w:sz w:val="24"/>
        </w:rPr>
      </w:pPr>
      <w:r>
        <w:rPr>
          <w:rFonts w:hint="eastAsia" w:ascii="Arial" w:hAnsi="宋体"/>
          <w:sz w:val="24"/>
        </w:rPr>
        <w:t>在施工过程中，发包人为保证工程质量和施工进度要求，有权指示承包人或批准承包人采用新技术，并增补和修改技术条款的内容。其增补的修改的内容涉及变更时，按合同条款的有关规定办理。</w:t>
      </w:r>
    </w:p>
    <w:p>
      <w:pPr>
        <w:spacing w:line="440" w:lineRule="atLeast"/>
        <w:ind w:firstLine="424" w:firstLineChars="177"/>
        <w:rPr>
          <w:rFonts w:ascii="Arial" w:hAnsi="宋体"/>
          <w:sz w:val="24"/>
        </w:rPr>
      </w:pPr>
      <w:r>
        <w:rPr>
          <w:rFonts w:hint="eastAsia" w:ascii="Arial" w:hAnsi="宋体"/>
          <w:sz w:val="24"/>
        </w:rPr>
        <w:t>本合同技术条款中引用的标准和规程规范在本合同执行期间，若国家和行业进行重新修订，则按修订后的标准和规程规范为准。</w:t>
      </w:r>
    </w:p>
    <w:p>
      <w:pPr>
        <w:spacing w:line="440" w:lineRule="atLeast"/>
        <w:ind w:firstLine="424" w:firstLineChars="177"/>
        <w:rPr>
          <w:rFonts w:ascii="Arial" w:hAnsi="宋体"/>
          <w:sz w:val="24"/>
        </w:rPr>
      </w:pPr>
      <w:r>
        <w:rPr>
          <w:rFonts w:hint="eastAsia" w:ascii="Arial" w:hAnsi="宋体"/>
          <w:sz w:val="24"/>
        </w:rPr>
        <w:t>本工程项目的材料、设备、施工必须达到现行中华人民共和国及省、市、行业的一切有关法规、规范的要求，同时还须结合本项目实际情况，响应招标文件及施工图要求。</w:t>
      </w:r>
    </w:p>
    <w:p>
      <w:pPr>
        <w:spacing w:line="440" w:lineRule="atLeast"/>
        <w:ind w:firstLine="424" w:firstLineChars="177"/>
        <w:rPr>
          <w:rFonts w:hint="eastAsia" w:ascii="Arial" w:hAnsi="宋体"/>
          <w:sz w:val="24"/>
        </w:rPr>
      </w:pPr>
      <w:r>
        <w:rPr>
          <w:rFonts w:hint="eastAsia" w:ascii="Arial" w:hAnsi="宋体"/>
          <w:sz w:val="24"/>
        </w:rPr>
        <w:t>本合同工作内容包括下述规范、标准、规程仅是本工程的最基本依据，并未包括实施中所涉及到的所有规定、标准和规程。</w:t>
      </w:r>
    </w:p>
    <w:tbl>
      <w:tblPr>
        <w:tblStyle w:val="14"/>
        <w:tblW w:w="8147"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1" w:type="dxa"/>
          <w:bottom w:w="0" w:type="dxa"/>
          <w:right w:w="11" w:type="dxa"/>
        </w:tblCellMar>
      </w:tblPr>
      <w:tblGrid>
        <w:gridCol w:w="558"/>
        <w:gridCol w:w="5547"/>
        <w:gridCol w:w="204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1" w:type="dxa"/>
            <w:bottom w:w="0" w:type="dxa"/>
            <w:right w:w="11" w:type="dxa"/>
          </w:tblCellMar>
        </w:tblPrEx>
        <w:trPr>
          <w:trHeight w:val="409" w:hRule="atLeast"/>
          <w:tblHeader/>
          <w:jc w:val="center"/>
        </w:trPr>
        <w:tc>
          <w:tcPr>
            <w:tcW w:w="558" w:type="dxa"/>
            <w:tcBorders>
              <w:top w:val="single" w:color="auto" w:sz="8" w:space="0"/>
              <w:left w:val="single" w:color="auto" w:sz="8" w:space="0"/>
              <w:bottom w:val="single" w:color="auto" w:sz="6" w:space="0"/>
              <w:right w:val="single" w:color="auto" w:sz="6" w:space="0"/>
            </w:tcBorders>
            <w:noWrap w:val="0"/>
            <w:vAlign w:val="center"/>
          </w:tcPr>
          <w:p>
            <w:pPr>
              <w:pStyle w:val="23"/>
              <w:spacing w:before="104" w:after="104" w:line="60" w:lineRule="auto"/>
              <w:jc w:val="center"/>
              <w:rPr>
                <w:rFonts w:ascii="Arial" w:hAnsi="宋体"/>
                <w:kern w:val="2"/>
                <w:sz w:val="21"/>
              </w:rPr>
            </w:pPr>
            <w:r>
              <w:rPr>
                <w:rFonts w:hint="eastAsia" w:ascii="Arial" w:hAnsi="宋体"/>
                <w:kern w:val="2"/>
                <w:sz w:val="21"/>
              </w:rPr>
              <w:t>序号</w:t>
            </w:r>
          </w:p>
        </w:tc>
        <w:tc>
          <w:tcPr>
            <w:tcW w:w="5547" w:type="dxa"/>
            <w:tcBorders>
              <w:top w:val="single" w:color="auto" w:sz="8" w:space="0"/>
              <w:left w:val="single" w:color="auto" w:sz="6" w:space="0"/>
              <w:bottom w:val="single" w:color="auto" w:sz="6" w:space="0"/>
              <w:right w:val="single" w:color="auto" w:sz="6" w:space="0"/>
            </w:tcBorders>
            <w:noWrap w:val="0"/>
            <w:vAlign w:val="center"/>
          </w:tcPr>
          <w:p>
            <w:pPr>
              <w:pStyle w:val="23"/>
              <w:spacing w:before="104" w:after="104" w:line="60" w:lineRule="auto"/>
              <w:jc w:val="center"/>
              <w:rPr>
                <w:rFonts w:ascii="Arial" w:hAnsi="宋体"/>
                <w:kern w:val="2"/>
                <w:sz w:val="21"/>
              </w:rPr>
            </w:pPr>
            <w:r>
              <w:rPr>
                <w:rFonts w:hint="eastAsia" w:ascii="Arial" w:hAnsi="宋体"/>
                <w:kern w:val="2"/>
                <w:sz w:val="21"/>
              </w:rPr>
              <w:t>标</w:t>
            </w:r>
            <w:r>
              <w:rPr>
                <w:rFonts w:ascii="Arial" w:hAnsi="宋体"/>
                <w:kern w:val="2"/>
                <w:sz w:val="21"/>
              </w:rPr>
              <w:t xml:space="preserve">  </w:t>
            </w:r>
            <w:r>
              <w:rPr>
                <w:rFonts w:hint="eastAsia" w:ascii="Arial" w:hAnsi="宋体"/>
                <w:kern w:val="2"/>
                <w:sz w:val="21"/>
              </w:rPr>
              <w:t>准</w:t>
            </w:r>
            <w:r>
              <w:rPr>
                <w:rFonts w:ascii="Arial" w:hAnsi="宋体"/>
                <w:kern w:val="2"/>
                <w:sz w:val="21"/>
              </w:rPr>
              <w:t xml:space="preserve">  </w:t>
            </w:r>
            <w:r>
              <w:rPr>
                <w:rFonts w:hint="eastAsia" w:ascii="Arial" w:hAnsi="宋体"/>
                <w:kern w:val="2"/>
                <w:sz w:val="21"/>
              </w:rPr>
              <w:t>名</w:t>
            </w:r>
            <w:r>
              <w:rPr>
                <w:rFonts w:ascii="Arial" w:hAnsi="宋体"/>
                <w:kern w:val="2"/>
                <w:sz w:val="21"/>
              </w:rPr>
              <w:t xml:space="preserve">  </w:t>
            </w:r>
            <w:r>
              <w:rPr>
                <w:rFonts w:hint="eastAsia" w:ascii="Arial" w:hAnsi="宋体"/>
                <w:kern w:val="2"/>
                <w:sz w:val="21"/>
              </w:rPr>
              <w:t>称</w:t>
            </w:r>
          </w:p>
        </w:tc>
        <w:tc>
          <w:tcPr>
            <w:tcW w:w="2042" w:type="dxa"/>
            <w:tcBorders>
              <w:top w:val="single" w:color="auto" w:sz="8" w:space="0"/>
              <w:left w:val="single" w:color="auto" w:sz="6" w:space="0"/>
              <w:bottom w:val="single" w:color="auto" w:sz="6" w:space="0"/>
              <w:right w:val="single" w:color="auto" w:sz="8" w:space="0"/>
            </w:tcBorders>
            <w:noWrap w:val="0"/>
            <w:vAlign w:val="center"/>
          </w:tcPr>
          <w:p>
            <w:pPr>
              <w:spacing w:before="104" w:after="104" w:line="60" w:lineRule="auto"/>
              <w:ind w:left="128" w:firstLine="27" w:firstLineChars="13"/>
              <w:jc w:val="center"/>
              <w:rPr>
                <w:rFonts w:ascii="Arial" w:hAnsi="宋体"/>
              </w:rPr>
            </w:pPr>
            <w:r>
              <w:rPr>
                <w:rFonts w:hint="eastAsia" w:ascii="Arial" w:hAnsi="宋体"/>
              </w:rPr>
              <w:t>标准编号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1" w:type="dxa"/>
            <w:bottom w:w="0" w:type="dxa"/>
            <w:right w:w="11" w:type="dxa"/>
          </w:tblCellMar>
        </w:tblPrEx>
        <w:trPr>
          <w:trHeight w:val="724" w:hRule="atLeast"/>
          <w:tblHeader/>
          <w:jc w:val="center"/>
        </w:trPr>
        <w:tc>
          <w:tcPr>
            <w:tcW w:w="558" w:type="dxa"/>
            <w:tcBorders>
              <w:top w:val="single" w:color="auto" w:sz="6" w:space="0"/>
              <w:left w:val="single" w:color="auto" w:sz="8" w:space="0"/>
              <w:bottom w:val="single" w:color="auto" w:sz="6" w:space="0"/>
              <w:right w:val="single" w:color="auto" w:sz="6" w:space="0"/>
            </w:tcBorders>
            <w:noWrap w:val="0"/>
            <w:vAlign w:val="center"/>
          </w:tcPr>
          <w:p>
            <w:pPr>
              <w:pStyle w:val="11"/>
              <w:spacing w:before="104" w:after="104" w:line="60" w:lineRule="auto"/>
              <w:ind w:left="8" w:leftChars="-23" w:hanging="56" w:hangingChars="27"/>
              <w:jc w:val="center"/>
              <w:rPr>
                <w:rFonts w:ascii="Arial" w:hAnsi="宋体"/>
                <w:kern w:val="2"/>
                <w:sz w:val="21"/>
                <w:szCs w:val="20"/>
              </w:rPr>
            </w:pPr>
            <w:r>
              <w:rPr>
                <w:rFonts w:hint="eastAsia" w:ascii="Arial" w:hAnsi="宋体"/>
                <w:kern w:val="2"/>
                <w:sz w:val="21"/>
                <w:szCs w:val="20"/>
              </w:rPr>
              <w:t>1</w:t>
            </w:r>
          </w:p>
        </w:tc>
        <w:tc>
          <w:tcPr>
            <w:tcW w:w="5547" w:type="dxa"/>
            <w:tcBorders>
              <w:top w:val="single" w:color="auto" w:sz="6" w:space="0"/>
              <w:left w:val="single" w:color="auto" w:sz="6" w:space="0"/>
              <w:bottom w:val="single" w:color="auto" w:sz="6" w:space="0"/>
              <w:right w:val="single" w:color="auto" w:sz="6" w:space="0"/>
            </w:tcBorders>
            <w:noWrap w:val="0"/>
            <w:vAlign w:val="center"/>
          </w:tcPr>
          <w:p>
            <w:pPr>
              <w:pStyle w:val="2"/>
              <w:shd w:val="clear" w:color="auto" w:fill="FFFFFF"/>
              <w:spacing w:before="0" w:after="0" w:line="60" w:lineRule="auto"/>
              <w:jc w:val="center"/>
              <w:rPr>
                <w:rFonts w:hint="eastAsia" w:ascii="Arial" w:hAnsi="宋体"/>
                <w:b w:val="0"/>
                <w:kern w:val="2"/>
                <w:sz w:val="21"/>
              </w:rPr>
            </w:pPr>
            <w:r>
              <w:rPr>
                <w:rFonts w:ascii="Arial" w:hAnsi="宋体"/>
                <w:b w:val="0"/>
                <w:kern w:val="2"/>
                <w:sz w:val="21"/>
              </w:rPr>
              <w:t>建筑工程施工质量验收统一标准</w:t>
            </w:r>
          </w:p>
        </w:tc>
        <w:tc>
          <w:tcPr>
            <w:tcW w:w="2042" w:type="dxa"/>
            <w:tcBorders>
              <w:top w:val="single" w:color="auto" w:sz="6" w:space="0"/>
              <w:left w:val="single" w:color="auto" w:sz="6" w:space="0"/>
              <w:bottom w:val="single" w:color="auto" w:sz="6" w:space="0"/>
              <w:right w:val="single" w:color="auto" w:sz="8" w:space="0"/>
            </w:tcBorders>
            <w:noWrap w:val="0"/>
            <w:vAlign w:val="center"/>
          </w:tcPr>
          <w:p>
            <w:pPr>
              <w:spacing w:line="60" w:lineRule="auto"/>
              <w:jc w:val="center"/>
              <w:rPr>
                <w:rFonts w:hint="eastAsia" w:ascii="Arial" w:hAnsi="宋体"/>
              </w:rPr>
            </w:pPr>
            <w:r>
              <w:rPr>
                <w:rFonts w:ascii="Arial" w:hAnsi="宋体"/>
              </w:rPr>
              <w:t>(GB50300-</w:t>
            </w:r>
            <w:r>
              <w:rPr>
                <w:rFonts w:hint="eastAsia" w:ascii="Arial" w:hAnsi="宋体"/>
              </w:rPr>
              <w:t>2013</w:t>
            </w:r>
            <w:r>
              <w:rPr>
                <w:rFonts w:ascii="Arial" w:hAnsi="宋体"/>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1" w:type="dxa"/>
            <w:bottom w:w="0" w:type="dxa"/>
            <w:right w:w="11" w:type="dxa"/>
          </w:tblCellMar>
        </w:tblPrEx>
        <w:trPr>
          <w:tblHeader/>
          <w:jc w:val="center"/>
        </w:trPr>
        <w:tc>
          <w:tcPr>
            <w:tcW w:w="558" w:type="dxa"/>
            <w:tcBorders>
              <w:top w:val="single" w:color="auto" w:sz="6" w:space="0"/>
              <w:left w:val="single" w:color="auto" w:sz="8" w:space="0"/>
              <w:bottom w:val="single" w:color="auto" w:sz="6" w:space="0"/>
              <w:right w:val="single" w:color="auto" w:sz="6" w:space="0"/>
            </w:tcBorders>
            <w:noWrap w:val="0"/>
            <w:vAlign w:val="center"/>
          </w:tcPr>
          <w:p>
            <w:pPr>
              <w:pStyle w:val="2"/>
              <w:shd w:val="clear" w:color="auto" w:fill="FFFFFF"/>
              <w:spacing w:before="0" w:after="0" w:line="60" w:lineRule="auto"/>
              <w:jc w:val="center"/>
              <w:rPr>
                <w:rFonts w:ascii="Arial" w:hAnsi="宋体"/>
                <w:b w:val="0"/>
                <w:kern w:val="2"/>
                <w:sz w:val="21"/>
              </w:rPr>
            </w:pPr>
            <w:r>
              <w:rPr>
                <w:rFonts w:ascii="Arial" w:hAnsi="宋体"/>
                <w:b w:val="0"/>
                <w:kern w:val="2"/>
                <w:sz w:val="21"/>
              </w:rPr>
              <w:fldChar w:fldCharType="begin"/>
            </w:r>
            <w:r>
              <w:rPr>
                <w:rFonts w:ascii="Arial" w:hAnsi="宋体"/>
                <w:b w:val="0"/>
                <w:kern w:val="2"/>
                <w:sz w:val="21"/>
              </w:rPr>
              <w:instrText xml:space="preserve"> </w:instrText>
            </w:r>
            <w:r>
              <w:rPr>
                <w:rFonts w:hint="eastAsia" w:ascii="Arial" w:hAnsi="宋体"/>
                <w:b w:val="0"/>
                <w:kern w:val="2"/>
                <w:sz w:val="21"/>
              </w:rPr>
              <w:instrText xml:space="preserve">= 2 \* Arabic</w:instrText>
            </w:r>
            <w:r>
              <w:rPr>
                <w:rFonts w:ascii="Arial" w:hAnsi="宋体"/>
                <w:b w:val="0"/>
                <w:kern w:val="2"/>
                <w:sz w:val="21"/>
              </w:rPr>
              <w:instrText xml:space="preserve"> </w:instrText>
            </w:r>
            <w:r>
              <w:rPr>
                <w:rFonts w:ascii="Arial" w:hAnsi="宋体"/>
                <w:b w:val="0"/>
                <w:kern w:val="2"/>
                <w:sz w:val="21"/>
              </w:rPr>
              <w:fldChar w:fldCharType="separate"/>
            </w:r>
            <w:r>
              <w:rPr>
                <w:rFonts w:ascii="Arial" w:hAnsi="宋体"/>
                <w:b w:val="0"/>
                <w:kern w:val="2"/>
                <w:sz w:val="21"/>
              </w:rPr>
              <w:t>2</w:t>
            </w:r>
            <w:r>
              <w:rPr>
                <w:rFonts w:ascii="Arial" w:hAnsi="宋体"/>
                <w:b w:val="0"/>
                <w:kern w:val="2"/>
                <w:sz w:val="21"/>
              </w:rPr>
              <w:fldChar w:fldCharType="end"/>
            </w:r>
          </w:p>
        </w:tc>
        <w:tc>
          <w:tcPr>
            <w:tcW w:w="5547" w:type="dxa"/>
            <w:tcBorders>
              <w:top w:val="single" w:color="auto" w:sz="6" w:space="0"/>
              <w:left w:val="single" w:color="auto" w:sz="6" w:space="0"/>
              <w:bottom w:val="single" w:color="auto" w:sz="6" w:space="0"/>
              <w:right w:val="single" w:color="auto" w:sz="6" w:space="0"/>
            </w:tcBorders>
            <w:noWrap w:val="0"/>
            <w:vAlign w:val="center"/>
          </w:tcPr>
          <w:p>
            <w:pPr>
              <w:pStyle w:val="2"/>
              <w:shd w:val="clear" w:color="auto" w:fill="FFFFFF"/>
              <w:spacing w:before="0" w:after="0" w:line="60" w:lineRule="auto"/>
              <w:jc w:val="center"/>
              <w:rPr>
                <w:rFonts w:hint="eastAsia" w:ascii="Arial" w:hAnsi="宋体"/>
                <w:b w:val="0"/>
                <w:kern w:val="2"/>
                <w:sz w:val="21"/>
              </w:rPr>
            </w:pPr>
            <w:r>
              <w:rPr>
                <w:rFonts w:hint="eastAsia" w:ascii="Arial" w:hAnsi="宋体"/>
                <w:b w:val="0"/>
                <w:kern w:val="2"/>
                <w:sz w:val="21"/>
              </w:rPr>
              <w:t>建筑施工安全检查标准</w:t>
            </w:r>
          </w:p>
        </w:tc>
        <w:tc>
          <w:tcPr>
            <w:tcW w:w="2042" w:type="dxa"/>
            <w:tcBorders>
              <w:top w:val="single" w:color="auto" w:sz="6" w:space="0"/>
              <w:left w:val="single" w:color="auto" w:sz="6" w:space="0"/>
              <w:bottom w:val="single" w:color="auto" w:sz="6" w:space="0"/>
              <w:right w:val="single" w:color="auto" w:sz="8" w:space="0"/>
            </w:tcBorders>
            <w:noWrap w:val="0"/>
            <w:vAlign w:val="center"/>
          </w:tcPr>
          <w:p>
            <w:pPr>
              <w:pStyle w:val="2"/>
              <w:shd w:val="clear" w:color="auto" w:fill="FFFFFF"/>
              <w:spacing w:before="0" w:after="0" w:line="60" w:lineRule="auto"/>
              <w:jc w:val="center"/>
              <w:rPr>
                <w:rFonts w:hint="eastAsia" w:ascii="Arial" w:hAnsi="宋体"/>
                <w:b w:val="0"/>
                <w:kern w:val="2"/>
                <w:sz w:val="21"/>
              </w:rPr>
            </w:pPr>
            <w:r>
              <w:rPr>
                <w:rFonts w:hint="eastAsia" w:ascii="Arial" w:hAnsi="宋体"/>
                <w:b w:val="0"/>
                <w:kern w:val="2"/>
                <w:sz w:val="21"/>
              </w:rPr>
              <w:t>JGJ59-2011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1" w:type="dxa"/>
            <w:bottom w:w="0" w:type="dxa"/>
            <w:right w:w="11" w:type="dxa"/>
          </w:tblCellMar>
        </w:tblPrEx>
        <w:trPr>
          <w:tblHeader/>
          <w:jc w:val="center"/>
        </w:trPr>
        <w:tc>
          <w:tcPr>
            <w:tcW w:w="558" w:type="dxa"/>
            <w:tcBorders>
              <w:top w:val="single" w:color="auto" w:sz="6" w:space="0"/>
              <w:left w:val="single" w:color="auto" w:sz="8" w:space="0"/>
              <w:bottom w:val="single" w:color="auto" w:sz="6" w:space="0"/>
              <w:right w:val="single" w:color="auto" w:sz="6" w:space="0"/>
            </w:tcBorders>
            <w:noWrap w:val="0"/>
            <w:vAlign w:val="center"/>
          </w:tcPr>
          <w:p>
            <w:pPr>
              <w:pStyle w:val="2"/>
              <w:shd w:val="clear" w:color="auto" w:fill="FFFFFF"/>
              <w:spacing w:before="0" w:after="0" w:line="60" w:lineRule="auto"/>
              <w:jc w:val="center"/>
              <w:rPr>
                <w:rFonts w:hint="eastAsia" w:ascii="Arial" w:hAnsi="宋体"/>
                <w:b w:val="0"/>
                <w:kern w:val="2"/>
                <w:sz w:val="21"/>
              </w:rPr>
            </w:pPr>
            <w:r>
              <w:rPr>
                <w:rFonts w:hint="eastAsia" w:ascii="Arial" w:hAnsi="宋体"/>
                <w:b w:val="0"/>
                <w:kern w:val="2"/>
                <w:sz w:val="21"/>
              </w:rPr>
              <w:t>3</w:t>
            </w:r>
          </w:p>
        </w:tc>
        <w:tc>
          <w:tcPr>
            <w:tcW w:w="5547" w:type="dxa"/>
            <w:tcBorders>
              <w:top w:val="single" w:color="auto" w:sz="6" w:space="0"/>
              <w:left w:val="single" w:color="auto" w:sz="6" w:space="0"/>
              <w:bottom w:val="single" w:color="auto" w:sz="6" w:space="0"/>
              <w:right w:val="single" w:color="auto" w:sz="6" w:space="0"/>
            </w:tcBorders>
            <w:noWrap w:val="0"/>
            <w:vAlign w:val="center"/>
          </w:tcPr>
          <w:p>
            <w:pPr>
              <w:pStyle w:val="2"/>
              <w:shd w:val="clear" w:color="auto" w:fill="FFFFFF"/>
              <w:spacing w:before="0" w:after="0" w:line="60" w:lineRule="auto"/>
              <w:jc w:val="center"/>
              <w:rPr>
                <w:rFonts w:hint="eastAsia" w:ascii="Arial" w:hAnsi="宋体"/>
                <w:b w:val="0"/>
                <w:kern w:val="2"/>
                <w:sz w:val="21"/>
              </w:rPr>
            </w:pPr>
            <w:r>
              <w:rPr>
                <w:rFonts w:hint="eastAsia" w:ascii="Arial" w:hAnsi="宋体"/>
                <w:b w:val="0"/>
                <w:kern w:val="2"/>
                <w:sz w:val="21"/>
              </w:rPr>
              <w:t>珠海市安全文明施工标准</w:t>
            </w:r>
          </w:p>
        </w:tc>
        <w:tc>
          <w:tcPr>
            <w:tcW w:w="2042" w:type="dxa"/>
            <w:tcBorders>
              <w:top w:val="single" w:color="auto" w:sz="6" w:space="0"/>
              <w:left w:val="single" w:color="auto" w:sz="6" w:space="0"/>
              <w:bottom w:val="single" w:color="auto" w:sz="6" w:space="0"/>
              <w:right w:val="single" w:color="auto" w:sz="8" w:space="0"/>
            </w:tcBorders>
            <w:noWrap w:val="0"/>
            <w:vAlign w:val="center"/>
          </w:tcPr>
          <w:p>
            <w:pPr>
              <w:pStyle w:val="2"/>
              <w:shd w:val="clear" w:color="auto" w:fill="FFFFFF"/>
              <w:spacing w:before="0" w:after="0" w:line="60" w:lineRule="auto"/>
              <w:jc w:val="center"/>
              <w:rPr>
                <w:rFonts w:hint="eastAsia" w:ascii="Arial" w:hAnsi="宋体"/>
                <w:b w:val="0"/>
                <w:kern w:val="2"/>
                <w:sz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1" w:type="dxa"/>
            <w:bottom w:w="0" w:type="dxa"/>
            <w:right w:w="11" w:type="dxa"/>
          </w:tblCellMar>
        </w:tblPrEx>
        <w:trPr>
          <w:trHeight w:val="216" w:hRule="atLeast"/>
          <w:tblHeader/>
          <w:jc w:val="center"/>
        </w:trPr>
        <w:tc>
          <w:tcPr>
            <w:tcW w:w="558" w:type="dxa"/>
            <w:tcBorders>
              <w:top w:val="single" w:color="auto" w:sz="6" w:space="0"/>
              <w:left w:val="single" w:color="auto" w:sz="8" w:space="0"/>
              <w:bottom w:val="single" w:color="auto" w:sz="6" w:space="0"/>
              <w:right w:val="single" w:color="auto" w:sz="6" w:space="0"/>
            </w:tcBorders>
            <w:noWrap w:val="0"/>
            <w:vAlign w:val="center"/>
          </w:tcPr>
          <w:p>
            <w:pPr>
              <w:pStyle w:val="2"/>
              <w:shd w:val="clear" w:color="auto" w:fill="FFFFFF"/>
              <w:spacing w:before="0" w:after="0" w:line="60" w:lineRule="auto"/>
              <w:jc w:val="center"/>
              <w:rPr>
                <w:rFonts w:ascii="Arial" w:hAnsi="宋体"/>
                <w:b w:val="0"/>
                <w:kern w:val="2"/>
                <w:sz w:val="21"/>
              </w:rPr>
            </w:pPr>
            <w:r>
              <w:rPr>
                <w:rFonts w:hint="eastAsia" w:ascii="Arial" w:hAnsi="宋体"/>
                <w:b w:val="0"/>
                <w:kern w:val="2"/>
                <w:sz w:val="21"/>
              </w:rPr>
              <w:t>4</w:t>
            </w:r>
          </w:p>
        </w:tc>
        <w:tc>
          <w:tcPr>
            <w:tcW w:w="5547" w:type="dxa"/>
            <w:tcBorders>
              <w:top w:val="single" w:color="auto" w:sz="6" w:space="0"/>
              <w:left w:val="single" w:color="auto" w:sz="6" w:space="0"/>
              <w:bottom w:val="single" w:color="auto" w:sz="6" w:space="0"/>
              <w:right w:val="single" w:color="auto" w:sz="6" w:space="0"/>
            </w:tcBorders>
            <w:noWrap w:val="0"/>
            <w:vAlign w:val="center"/>
          </w:tcPr>
          <w:p>
            <w:pPr>
              <w:pStyle w:val="2"/>
              <w:shd w:val="clear" w:color="auto" w:fill="FFFFFF"/>
              <w:spacing w:before="0" w:after="0" w:line="60" w:lineRule="auto"/>
              <w:jc w:val="center"/>
              <w:rPr>
                <w:rFonts w:hint="eastAsia" w:ascii="Arial" w:hAnsi="宋体"/>
                <w:b w:val="0"/>
                <w:kern w:val="2"/>
                <w:sz w:val="21"/>
              </w:rPr>
            </w:pPr>
            <w:r>
              <w:rPr>
                <w:rFonts w:hint="eastAsia" w:ascii="Arial" w:hAnsi="宋体"/>
                <w:b w:val="0"/>
                <w:kern w:val="2"/>
                <w:sz w:val="21"/>
              </w:rPr>
              <w:t>施工现场临时用电安全技术规范</w:t>
            </w:r>
          </w:p>
        </w:tc>
        <w:tc>
          <w:tcPr>
            <w:tcW w:w="2042" w:type="dxa"/>
            <w:tcBorders>
              <w:top w:val="single" w:color="auto" w:sz="6" w:space="0"/>
              <w:left w:val="single" w:color="auto" w:sz="6" w:space="0"/>
              <w:bottom w:val="single" w:color="auto" w:sz="6" w:space="0"/>
              <w:right w:val="single" w:color="auto" w:sz="8" w:space="0"/>
            </w:tcBorders>
            <w:noWrap w:val="0"/>
            <w:vAlign w:val="center"/>
          </w:tcPr>
          <w:p>
            <w:pPr>
              <w:pStyle w:val="2"/>
              <w:shd w:val="clear" w:color="auto" w:fill="FFFFFF"/>
              <w:spacing w:before="0" w:after="0" w:line="60" w:lineRule="auto"/>
              <w:jc w:val="center"/>
              <w:rPr>
                <w:rFonts w:hint="eastAsia" w:ascii="Arial" w:hAnsi="宋体"/>
                <w:b w:val="0"/>
                <w:kern w:val="2"/>
                <w:sz w:val="21"/>
              </w:rPr>
            </w:pPr>
            <w:r>
              <w:rPr>
                <w:rFonts w:hint="eastAsia" w:ascii="Arial" w:hAnsi="宋体"/>
                <w:b w:val="0"/>
                <w:kern w:val="2"/>
                <w:sz w:val="21"/>
              </w:rPr>
              <w:t>JGJ46-2005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1" w:type="dxa"/>
            <w:bottom w:w="0" w:type="dxa"/>
            <w:right w:w="11" w:type="dxa"/>
          </w:tblCellMar>
        </w:tblPrEx>
        <w:trPr>
          <w:trHeight w:val="250" w:hRule="atLeast"/>
          <w:tblHeader/>
          <w:jc w:val="center"/>
        </w:trPr>
        <w:tc>
          <w:tcPr>
            <w:tcW w:w="558" w:type="dxa"/>
            <w:tcBorders>
              <w:top w:val="single" w:color="auto" w:sz="6" w:space="0"/>
              <w:left w:val="single" w:color="auto" w:sz="8" w:space="0"/>
              <w:bottom w:val="single" w:color="auto" w:sz="6" w:space="0"/>
              <w:right w:val="single" w:color="auto" w:sz="6" w:space="0"/>
            </w:tcBorders>
            <w:noWrap w:val="0"/>
            <w:vAlign w:val="center"/>
          </w:tcPr>
          <w:p>
            <w:pPr>
              <w:pStyle w:val="11"/>
              <w:spacing w:before="104" w:after="104" w:line="60" w:lineRule="auto"/>
              <w:ind w:left="8" w:leftChars="-23" w:hanging="56" w:hangingChars="27"/>
              <w:jc w:val="center"/>
              <w:rPr>
                <w:rFonts w:ascii="Arial" w:hAnsi="宋体"/>
                <w:kern w:val="2"/>
                <w:sz w:val="21"/>
                <w:szCs w:val="20"/>
              </w:rPr>
            </w:pPr>
          </w:p>
        </w:tc>
        <w:tc>
          <w:tcPr>
            <w:tcW w:w="7589" w:type="dxa"/>
            <w:gridSpan w:val="2"/>
            <w:tcBorders>
              <w:top w:val="single" w:color="auto" w:sz="6" w:space="0"/>
              <w:left w:val="single" w:color="auto" w:sz="6" w:space="0"/>
              <w:bottom w:val="single" w:color="auto" w:sz="6" w:space="0"/>
              <w:right w:val="single" w:color="auto" w:sz="8" w:space="0"/>
            </w:tcBorders>
            <w:noWrap w:val="0"/>
            <w:vAlign w:val="center"/>
          </w:tcPr>
          <w:p>
            <w:pPr>
              <w:spacing w:before="104" w:after="104" w:line="60" w:lineRule="auto"/>
              <w:ind w:left="128" w:firstLine="27" w:firstLineChars="13"/>
              <w:jc w:val="center"/>
              <w:rPr>
                <w:rFonts w:hint="eastAsia" w:ascii="Arial" w:hAnsi="宋体"/>
              </w:rPr>
            </w:pPr>
            <w:r>
              <w:rPr>
                <w:rFonts w:hint="eastAsia" w:ascii="Arial" w:hAnsi="宋体"/>
              </w:rPr>
              <w:t>最后验收必须通过验收小组的验收方能进行结算。</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1" w:type="dxa"/>
            <w:bottom w:w="0" w:type="dxa"/>
            <w:right w:w="11" w:type="dxa"/>
          </w:tblCellMar>
        </w:tblPrEx>
        <w:trPr>
          <w:trHeight w:val="250" w:hRule="atLeast"/>
          <w:tblHeader/>
          <w:jc w:val="center"/>
        </w:trPr>
        <w:tc>
          <w:tcPr>
            <w:tcW w:w="558" w:type="dxa"/>
            <w:tcBorders>
              <w:top w:val="single" w:color="auto" w:sz="6" w:space="0"/>
              <w:left w:val="single" w:color="auto" w:sz="8" w:space="0"/>
              <w:bottom w:val="single" w:color="auto" w:sz="6" w:space="0"/>
              <w:right w:val="single" w:color="auto" w:sz="6" w:space="0"/>
            </w:tcBorders>
            <w:noWrap w:val="0"/>
            <w:vAlign w:val="center"/>
          </w:tcPr>
          <w:p>
            <w:pPr>
              <w:pStyle w:val="11"/>
              <w:spacing w:before="104" w:after="104" w:line="60" w:lineRule="auto"/>
              <w:ind w:left="8" w:leftChars="-23" w:hanging="56" w:hangingChars="27"/>
              <w:jc w:val="center"/>
              <w:rPr>
                <w:rFonts w:ascii="Arial" w:hAnsi="宋体"/>
                <w:kern w:val="2"/>
                <w:sz w:val="21"/>
                <w:szCs w:val="20"/>
              </w:rPr>
            </w:pPr>
          </w:p>
        </w:tc>
        <w:tc>
          <w:tcPr>
            <w:tcW w:w="7589" w:type="dxa"/>
            <w:gridSpan w:val="2"/>
            <w:tcBorders>
              <w:top w:val="single" w:color="auto" w:sz="6" w:space="0"/>
              <w:left w:val="single" w:color="auto" w:sz="6" w:space="0"/>
              <w:bottom w:val="single" w:color="auto" w:sz="6" w:space="0"/>
              <w:right w:val="single" w:color="auto" w:sz="8" w:space="0"/>
            </w:tcBorders>
            <w:noWrap w:val="0"/>
            <w:vAlign w:val="center"/>
          </w:tcPr>
          <w:p>
            <w:pPr>
              <w:spacing w:before="104" w:after="104" w:line="60" w:lineRule="auto"/>
              <w:ind w:left="128" w:firstLine="27" w:firstLineChars="13"/>
              <w:jc w:val="center"/>
              <w:rPr>
                <w:rFonts w:hint="eastAsia" w:ascii="Arial" w:hAnsi="宋体"/>
              </w:rPr>
            </w:pPr>
          </w:p>
        </w:tc>
      </w:tr>
    </w:tbl>
    <w:p>
      <w:pPr>
        <w:pStyle w:val="2"/>
        <w:rPr>
          <w:rFonts w:hint="eastAsia" w:ascii="Calibri" w:hAnsi="Calibri"/>
        </w:rPr>
      </w:pPr>
      <w:r>
        <w:rPr>
          <w:rFonts w:hint="eastAsia" w:ascii="Calibri" w:hAnsi="Calibri"/>
        </w:rPr>
        <w:t>3、工程范围、技术说明及要求</w:t>
      </w:r>
    </w:p>
    <w:p>
      <w:pPr>
        <w:spacing w:line="312" w:lineRule="auto"/>
        <w:jc w:val="both"/>
        <w:rPr>
          <w:rFonts w:hint="default" w:ascii="Arial" w:hAnsi="宋体" w:eastAsia="宋体" w:cs="Times New Roman"/>
          <w:sz w:val="24"/>
          <w:lang w:val="en-US" w:eastAsia="zh-CN"/>
        </w:rPr>
      </w:pPr>
      <w:r>
        <w:rPr>
          <w:rFonts w:hint="eastAsia" w:ascii="Arial" w:hAnsi="宋体"/>
          <w:sz w:val="24"/>
        </w:rPr>
        <w:t>本</w:t>
      </w:r>
      <w:r>
        <w:rPr>
          <w:rFonts w:hint="eastAsia" w:ascii="Arial" w:hAnsi="宋体"/>
          <w:sz w:val="24"/>
          <w:szCs w:val="22"/>
        </w:rPr>
        <w:t>工程涉</w:t>
      </w:r>
      <w:r>
        <w:rPr>
          <w:rFonts w:hint="eastAsia" w:ascii="Arial" w:hAnsi="宋体" w:eastAsia="宋体" w:cs="Times New Roman"/>
          <w:sz w:val="24"/>
        </w:rPr>
        <w:t>及</w:t>
      </w:r>
      <w:r>
        <w:rPr>
          <w:rFonts w:hint="eastAsia" w:ascii="Arial" w:hAnsi="宋体" w:eastAsia="宋体" w:cs="Times New Roman"/>
          <w:sz w:val="24"/>
          <w:lang w:val="en-US" w:eastAsia="zh-CN"/>
        </w:rPr>
        <w:t>洲区社会福利中心柴油发电机烟囱改造</w:t>
      </w:r>
      <w:r>
        <w:rPr>
          <w:rFonts w:hint="eastAsia" w:ascii="Arial" w:hAnsi="宋体" w:eastAsia="宋体" w:cs="Times New Roman"/>
          <w:sz w:val="24"/>
        </w:rPr>
        <w:t>，</w:t>
      </w:r>
      <w:r>
        <w:rPr>
          <w:rFonts w:hint="eastAsia" w:ascii="Arial" w:hAnsi="宋体" w:eastAsia="宋体" w:cs="Times New Roman"/>
          <w:sz w:val="24"/>
          <w:lang w:val="en-US" w:eastAsia="zh-CN"/>
        </w:rPr>
        <w:t>实施内容详见清单</w:t>
      </w:r>
    </w:p>
    <w:p>
      <w:pPr>
        <w:spacing w:line="440" w:lineRule="atLeast"/>
        <w:rPr>
          <w:rFonts w:hint="default" w:ascii="Arial" w:hAnsi="宋体" w:eastAsia="宋体"/>
          <w:b/>
          <w:bCs/>
          <w:sz w:val="24"/>
          <w:u w:val="single"/>
          <w:lang w:val="en-US" w:eastAsia="zh-CN"/>
        </w:rPr>
      </w:pPr>
      <w:r>
        <w:rPr>
          <w:rFonts w:hint="eastAsia" w:ascii="Arial" w:hAnsi="宋体"/>
          <w:b/>
          <w:bCs/>
          <w:sz w:val="24"/>
          <w:u w:val="single"/>
          <w:lang w:eastAsia="zh-CN"/>
        </w:rPr>
        <w:t>本工程要点：</w:t>
      </w:r>
      <w:r>
        <w:rPr>
          <w:rFonts w:hint="eastAsia" w:ascii="Arial" w:hAnsi="宋体"/>
          <w:b/>
          <w:bCs/>
          <w:sz w:val="24"/>
          <w:u w:val="single"/>
          <w:lang w:val="en-US" w:eastAsia="zh-CN"/>
        </w:rPr>
        <w:t>1、施工完成</w:t>
      </w:r>
      <w:r>
        <w:rPr>
          <w:rFonts w:hint="eastAsia" w:ascii="Arial" w:hAnsi="宋体"/>
          <w:b/>
          <w:bCs/>
          <w:sz w:val="24"/>
          <w:u w:val="single"/>
          <w:lang w:eastAsia="zh-CN"/>
        </w:rPr>
        <w:t>前后，中标单位需</w:t>
      </w:r>
      <w:r>
        <w:rPr>
          <w:rFonts w:hint="eastAsia" w:ascii="Arial" w:hAnsi="宋体"/>
          <w:b/>
          <w:bCs/>
          <w:sz w:val="24"/>
          <w:u w:val="single"/>
          <w:lang w:val="en-US" w:eastAsia="zh-CN"/>
        </w:rPr>
        <w:t>按照图纸、技术标准进行施工，如有变动需设计单位、立项方、监理单位签名同意后方可实施，完成后必须</w:t>
      </w:r>
      <w:r>
        <w:rPr>
          <w:rFonts w:hint="eastAsia" w:ascii="Arial" w:hAnsi="宋体"/>
          <w:b/>
          <w:bCs/>
          <w:sz w:val="24"/>
          <w:u w:val="single"/>
          <w:lang w:eastAsia="zh-CN"/>
        </w:rPr>
        <w:t>通知立项方及监理单位（如有）共同</w:t>
      </w:r>
      <w:r>
        <w:rPr>
          <w:rFonts w:hint="eastAsia" w:ascii="Arial" w:hAnsi="宋体"/>
          <w:b/>
          <w:bCs/>
          <w:sz w:val="24"/>
          <w:u w:val="single"/>
          <w:lang w:val="en-US" w:eastAsia="zh-CN"/>
        </w:rPr>
        <w:t>检验及核实</w:t>
      </w:r>
      <w:r>
        <w:rPr>
          <w:rFonts w:hint="eastAsia" w:ascii="Arial" w:hAnsi="宋体"/>
          <w:b/>
          <w:bCs/>
          <w:sz w:val="24"/>
          <w:u w:val="single"/>
          <w:lang w:eastAsia="zh-CN"/>
        </w:rPr>
        <w:t>，并保留及提供施工前后对比照片。</w:t>
      </w:r>
    </w:p>
    <w:p>
      <w:pPr>
        <w:spacing w:line="440" w:lineRule="atLeast"/>
        <w:ind w:firstLine="424" w:firstLineChars="177"/>
        <w:rPr>
          <w:rFonts w:ascii="Arial" w:hAnsi="宋体"/>
          <w:sz w:val="24"/>
        </w:rPr>
      </w:pPr>
      <w:r>
        <w:rPr>
          <w:rFonts w:hint="eastAsia" w:ascii="Arial" w:hAnsi="宋体"/>
          <w:sz w:val="24"/>
        </w:rPr>
        <w:t>（其他未尽事宜请按国家有关规定及标准进行）</w:t>
      </w:r>
    </w:p>
    <w:p>
      <w:pPr>
        <w:spacing w:line="240" w:lineRule="atLeast"/>
        <w:ind w:firstLine="424" w:firstLineChars="177"/>
        <w:rPr>
          <w:rFonts w:hint="eastAsia" w:ascii="Arial" w:hAnsi="宋体"/>
          <w:sz w:val="24"/>
        </w:rPr>
      </w:pPr>
      <w:r>
        <w:rPr>
          <w:rFonts w:hint="eastAsia" w:ascii="Arial" w:hAnsi="宋体"/>
          <w:sz w:val="24"/>
        </w:rPr>
        <w:t>本工程按综合单价包干，综合单价应包括工程施工所需的人工、材料、机械、安全及文明施工措施费、赶工费、技术措施费、成品保护、各类半成品及成品检测试验费、不可预见费、材料价格上涨风险、保险费、施工单位临时设施搭设及拆除费、工程期间办公与生活及差旅费、施工及生活水电费、材料设备搬运及二次以上转运、停水停电应急措施费、工地保安、垃圾清理、场地清洁、验收、因不可抗力导致的施工方损失、管理费、利润以及为完成本工程的其他措施费等全部费用。工程量按实结算。</w:t>
      </w:r>
    </w:p>
    <w:p>
      <w:pPr>
        <w:spacing w:line="240" w:lineRule="atLeast"/>
        <w:ind w:firstLine="424" w:firstLineChars="177"/>
        <w:rPr>
          <w:rFonts w:hint="eastAsia" w:ascii="Arial" w:hAnsi="宋体"/>
          <w:sz w:val="24"/>
        </w:rPr>
      </w:pPr>
      <w:r>
        <w:rPr>
          <w:rFonts w:hint="eastAsia" w:ascii="Arial" w:hAnsi="宋体"/>
          <w:sz w:val="24"/>
        </w:rPr>
        <w:t>现场须按招标方指定的样式设置防护栏和广告布、指示牌等必要围护和宣传措施，该项费用为包干使用，结算时不进行调整。</w:t>
      </w:r>
    </w:p>
    <w:p>
      <w:pPr>
        <w:spacing w:line="240" w:lineRule="atLeast"/>
        <w:ind w:firstLine="424" w:firstLineChars="177"/>
        <w:rPr>
          <w:rFonts w:hint="eastAsia" w:ascii="Arial" w:hAnsi="宋体"/>
          <w:sz w:val="24"/>
        </w:rPr>
      </w:pPr>
      <w:r>
        <w:rPr>
          <w:rFonts w:hint="eastAsia" w:ascii="Arial" w:hAnsi="宋体"/>
          <w:sz w:val="24"/>
        </w:rPr>
        <w:t>工程量中按“项”和“樘”描述的费用为包干使用，结算时不予调整。</w:t>
      </w:r>
    </w:p>
    <w:p>
      <w:pPr>
        <w:spacing w:line="240" w:lineRule="atLeast"/>
        <w:ind w:firstLine="424" w:firstLineChars="177"/>
        <w:rPr>
          <w:rFonts w:hint="eastAsia" w:ascii="Arial" w:hAnsi="宋体"/>
          <w:sz w:val="24"/>
        </w:rPr>
      </w:pPr>
      <w:r>
        <w:rPr>
          <w:rFonts w:hint="eastAsia" w:ascii="Arial" w:hAnsi="宋体"/>
          <w:sz w:val="24"/>
        </w:rPr>
        <w:t>招标人只提供现场现状，施工用水、用电（含接驳费）由中标单位自行解决，费用在报价中综合考虑，结算时不予调整。</w:t>
      </w:r>
    </w:p>
    <w:p>
      <w:pPr>
        <w:spacing w:line="240" w:lineRule="atLeast"/>
        <w:ind w:firstLine="424" w:firstLineChars="177"/>
        <w:rPr>
          <w:rFonts w:hint="eastAsia" w:ascii="Arial" w:hAnsi="宋体"/>
          <w:sz w:val="24"/>
        </w:rPr>
      </w:pPr>
      <w:r>
        <w:rPr>
          <w:rFonts w:hint="eastAsia" w:ascii="Arial" w:hAnsi="宋体"/>
          <w:sz w:val="24"/>
        </w:rPr>
        <w:t>原施工场地内、外施工的排水、排污措施的疏通、杂物的清除和修补、重新砌筑及施工期间的抽、排水等，由中标人负责，所需费用在报价中综合考虑，结算时不予调整。</w:t>
      </w:r>
    </w:p>
    <w:p>
      <w:pPr>
        <w:spacing w:line="240" w:lineRule="atLeast"/>
        <w:ind w:firstLine="424" w:firstLineChars="177"/>
        <w:rPr>
          <w:rFonts w:hint="eastAsia" w:ascii="Arial" w:hAnsi="宋体"/>
          <w:sz w:val="24"/>
        </w:rPr>
      </w:pPr>
      <w:r>
        <w:rPr>
          <w:rFonts w:hint="eastAsia" w:ascii="Arial" w:hAnsi="宋体"/>
          <w:sz w:val="24"/>
        </w:rPr>
        <w:t>现场条件以现状为准，投标人认为不满足施工条件的，费用在报价中综合考虑，中标后不因此增加任何费用。</w:t>
      </w:r>
    </w:p>
    <w:p>
      <w:pPr>
        <w:spacing w:line="240" w:lineRule="atLeast"/>
        <w:ind w:firstLine="424" w:firstLineChars="177"/>
        <w:rPr>
          <w:rFonts w:hint="eastAsia" w:ascii="Arial" w:hAnsi="宋体"/>
          <w:sz w:val="24"/>
        </w:rPr>
      </w:pPr>
      <w:r>
        <w:rPr>
          <w:rFonts w:hint="eastAsia" w:ascii="Arial" w:hAnsi="宋体"/>
          <w:sz w:val="24"/>
        </w:rPr>
        <w:t>招标人有权根据使用要求和工程需要对设计、主要材料及设备进行变更，有权根据变更以及招标文件及承包合同约定的造价调整方式对造价进行调整，中标人必须予以执行。</w:t>
      </w:r>
    </w:p>
    <w:p>
      <w:pPr>
        <w:spacing w:line="240" w:lineRule="atLeast"/>
        <w:ind w:firstLine="424" w:firstLineChars="177"/>
        <w:rPr>
          <w:rFonts w:hint="eastAsia" w:ascii="Arial" w:hAnsi="宋体"/>
          <w:sz w:val="24"/>
        </w:rPr>
      </w:pPr>
      <w:r>
        <w:rPr>
          <w:rFonts w:hint="eastAsia" w:ascii="Arial" w:hAnsi="宋体"/>
          <w:sz w:val="24"/>
        </w:rPr>
        <w:t>如果因为非承包人原因，招标人删减了合同中的某项原定工作或工程，结算时将调减此项目。</w:t>
      </w:r>
    </w:p>
    <w:p>
      <w:pPr>
        <w:spacing w:line="240" w:lineRule="atLeast"/>
        <w:ind w:firstLine="424" w:firstLineChars="177"/>
        <w:rPr>
          <w:rFonts w:hint="eastAsia" w:ascii="Arial" w:hAnsi="宋体"/>
          <w:sz w:val="24"/>
        </w:rPr>
      </w:pPr>
      <w:r>
        <w:rPr>
          <w:rFonts w:hint="eastAsia" w:ascii="Arial" w:hAnsi="宋体"/>
          <w:sz w:val="24"/>
        </w:rPr>
        <w:t>电子元器件要求：</w:t>
      </w:r>
    </w:p>
    <w:p>
      <w:pPr>
        <w:spacing w:line="240" w:lineRule="atLeast"/>
        <w:rPr>
          <w:rFonts w:hint="eastAsia" w:ascii="Arial" w:hAnsi="宋体"/>
          <w:sz w:val="24"/>
        </w:rPr>
      </w:pPr>
      <w:r>
        <w:rPr>
          <w:rFonts w:hint="eastAsia" w:ascii="Arial" w:hAnsi="宋体"/>
          <w:sz w:val="24"/>
        </w:rPr>
        <w:t>1）、配电箱、开关插座面板均要求为白色喷塑，室内电箱采用现代品牌，开关、插座采用西门子、TCL。</w:t>
      </w:r>
    </w:p>
    <w:p>
      <w:pPr>
        <w:spacing w:line="240" w:lineRule="atLeast"/>
        <w:rPr>
          <w:rFonts w:hint="eastAsia" w:ascii="Arial" w:hAnsi="宋体"/>
          <w:sz w:val="24"/>
        </w:rPr>
      </w:pPr>
      <w:r>
        <w:rPr>
          <w:rFonts w:hint="eastAsia" w:ascii="Arial" w:hAnsi="宋体"/>
          <w:sz w:val="24"/>
        </w:rPr>
        <w:t>2）、空气开关、漏电保护器等电气元件的品牌指定为施耐德、ABB、西门子。</w:t>
      </w:r>
    </w:p>
    <w:p>
      <w:pPr>
        <w:spacing w:line="240" w:lineRule="atLeast"/>
        <w:rPr>
          <w:rFonts w:hint="eastAsia" w:ascii="Arial" w:hAnsi="宋体"/>
          <w:sz w:val="24"/>
        </w:rPr>
      </w:pPr>
      <w:r>
        <w:rPr>
          <w:rFonts w:hint="eastAsia" w:ascii="Arial" w:hAnsi="宋体"/>
          <w:sz w:val="24"/>
        </w:rPr>
        <w:t>3）、灯源采用佛山照明、TCL。</w:t>
      </w:r>
    </w:p>
    <w:p>
      <w:pPr>
        <w:spacing w:line="240" w:lineRule="atLeast"/>
        <w:rPr>
          <w:rFonts w:hint="eastAsia" w:ascii="Arial" w:hAnsi="宋体"/>
          <w:sz w:val="24"/>
        </w:rPr>
      </w:pPr>
      <w:r>
        <w:rPr>
          <w:rFonts w:hint="eastAsia" w:ascii="Arial" w:hAnsi="宋体"/>
          <w:sz w:val="24"/>
        </w:rPr>
        <w:t>4）、排气扇采用松下、广东正野、江门金羚。</w:t>
      </w:r>
    </w:p>
    <w:p>
      <w:pPr>
        <w:spacing w:line="240" w:lineRule="atLeast"/>
        <w:ind w:firstLine="424" w:firstLineChars="177"/>
        <w:rPr>
          <w:rFonts w:hint="eastAsia" w:ascii="Arial" w:hAnsi="宋体"/>
          <w:sz w:val="24"/>
        </w:rPr>
      </w:pPr>
      <w:r>
        <w:rPr>
          <w:rFonts w:hint="eastAsia" w:ascii="Arial" w:hAnsi="宋体"/>
          <w:sz w:val="24"/>
        </w:rPr>
        <w:t>施工中造成的污染，费用由中标人承担；施工中破坏的物品仍按原样修复，所涉及的一切费用均由中标单位承担。</w:t>
      </w:r>
    </w:p>
    <w:p>
      <w:pPr>
        <w:spacing w:line="240" w:lineRule="atLeast"/>
        <w:ind w:firstLine="424" w:firstLineChars="177"/>
        <w:rPr>
          <w:rFonts w:hint="eastAsia" w:ascii="Arial" w:hAnsi="宋体"/>
          <w:sz w:val="24"/>
        </w:rPr>
      </w:pPr>
      <w:r>
        <w:rPr>
          <w:rFonts w:hint="eastAsia" w:ascii="Arial" w:hAnsi="宋体"/>
          <w:sz w:val="24"/>
        </w:rPr>
        <w:t>现场使用的石材、木板及防腐木、门窗、玻璃、灯具和装饰材料均需上报样板，并经确认才能使用；样板不符合要求的，招标单位有权要求更换，并由投标人承担因此产生的各种费用。</w:t>
      </w:r>
    </w:p>
    <w:p>
      <w:pPr>
        <w:spacing w:line="240" w:lineRule="atLeast"/>
        <w:ind w:firstLine="480" w:firstLineChars="200"/>
        <w:rPr>
          <w:rFonts w:hint="eastAsia" w:ascii="Arial" w:hAnsi="宋体"/>
          <w:sz w:val="24"/>
        </w:rPr>
      </w:pPr>
      <w:r>
        <w:rPr>
          <w:rFonts w:hint="eastAsia" w:ascii="Arial" w:hAnsi="宋体"/>
          <w:sz w:val="24"/>
        </w:rPr>
        <w:t>施工期间的材料和人工价差不予调整。</w:t>
      </w:r>
    </w:p>
    <w:p>
      <w:pPr>
        <w:spacing w:line="240" w:lineRule="atLeast"/>
        <w:ind w:firstLine="480" w:firstLineChars="200"/>
        <w:rPr>
          <w:rFonts w:ascii="Arial" w:hAnsi="宋体"/>
          <w:sz w:val="24"/>
        </w:rPr>
      </w:pPr>
      <w:r>
        <w:rPr>
          <w:rFonts w:hint="eastAsia" w:ascii="Arial" w:hAnsi="宋体"/>
          <w:sz w:val="24"/>
        </w:rPr>
        <w:t>投标人应当根据招标工程量清单、设计文件和市场原材料和构配件供应情况、市场因素等材料自行考虑风险因素进行报价。否则，一旦中标，招标人将不予支付除招标文件和承包合同约定的由招标人承担的风险因素之外的任何补偿。</w:t>
      </w:r>
    </w:p>
    <w:p>
      <w:pPr>
        <w:spacing w:line="240" w:lineRule="atLeast"/>
        <w:ind w:firstLine="480" w:firstLineChars="200"/>
        <w:rPr>
          <w:rFonts w:hint="eastAsia" w:ascii="Arial" w:hAnsi="宋体"/>
          <w:sz w:val="24"/>
        </w:rPr>
      </w:pPr>
    </w:p>
    <w:p>
      <w:pPr>
        <w:spacing w:line="240" w:lineRule="atLeast"/>
        <w:ind w:firstLine="480" w:firstLineChars="200"/>
        <w:rPr>
          <w:rFonts w:hint="eastAsia" w:ascii="Arial" w:hAnsi="宋体"/>
          <w:sz w:val="24"/>
        </w:rPr>
      </w:pPr>
      <w:r>
        <w:rPr>
          <w:rFonts w:hint="eastAsia" w:ascii="Arial" w:hAnsi="宋体"/>
          <w:sz w:val="24"/>
        </w:rPr>
        <w:t>工程验收执行国家、广东省和珠海市颁布的相关质量标准和要求。工程质量保修期按国家、广东省和珠海市颁布的相关《建设工程质量管理条例》的相关条款执行。</w:t>
      </w:r>
    </w:p>
    <w:p>
      <w:pPr>
        <w:spacing w:line="240" w:lineRule="atLeast"/>
        <w:ind w:firstLine="480" w:firstLineChars="200"/>
        <w:rPr>
          <w:rFonts w:hint="eastAsia" w:ascii="Arial" w:hAnsi="宋体"/>
          <w:sz w:val="24"/>
        </w:rPr>
      </w:pPr>
      <w:r>
        <w:rPr>
          <w:rFonts w:hint="eastAsia" w:ascii="Arial" w:hAnsi="宋体"/>
          <w:sz w:val="24"/>
        </w:rPr>
        <w:t>关于安全文明施工围挡：根据不同区域情况区分围挡类别要求</w:t>
      </w:r>
    </w:p>
    <w:p>
      <w:pPr>
        <w:spacing w:line="240" w:lineRule="atLeast"/>
        <w:ind w:firstLine="480" w:firstLineChars="200"/>
        <w:rPr>
          <w:rFonts w:hint="eastAsia" w:ascii="Arial" w:hAnsi="宋体"/>
          <w:sz w:val="24"/>
        </w:rPr>
      </w:pPr>
      <w:r>
        <w:rPr>
          <w:rFonts w:hint="eastAsia" w:ascii="Arial" w:hAnsi="宋体"/>
          <w:sz w:val="24"/>
        </w:rPr>
        <w:t>一类施工围挡：广告桁架（200*200*L桁架）+彩喷广告布（合成纤维PC布），要求：桁架标准统一、方正，彩喷图案行政部协助提供；</w:t>
      </w:r>
    </w:p>
    <w:p>
      <w:pPr>
        <w:spacing w:line="240" w:lineRule="atLeast"/>
        <w:ind w:firstLine="480" w:firstLineChars="200"/>
        <w:rPr>
          <w:rFonts w:hint="eastAsia" w:ascii="Arial" w:hAnsi="宋体"/>
          <w:sz w:val="24"/>
        </w:rPr>
      </w:pPr>
      <w:r>
        <w:rPr>
          <w:rFonts w:hint="eastAsia" w:ascii="Arial" w:hAnsi="宋体"/>
          <w:sz w:val="24"/>
        </w:rPr>
        <w:t>二类施工围挡：钢管（或方管、木方）骨架+彩喷广告布（合成纤维PC布），要求外立面整齐，骨架不外露，固定可靠。彩喷图案行政部协助提供；</w:t>
      </w:r>
    </w:p>
    <w:p>
      <w:pPr>
        <w:spacing w:line="240" w:lineRule="atLeast"/>
        <w:ind w:firstLine="480" w:firstLineChars="200"/>
        <w:rPr>
          <w:rFonts w:hint="eastAsia" w:ascii="Arial" w:hAnsi="宋体"/>
          <w:sz w:val="24"/>
        </w:rPr>
      </w:pPr>
      <w:r>
        <w:rPr>
          <w:rFonts w:hint="eastAsia" w:ascii="Arial" w:hAnsi="宋体"/>
          <w:sz w:val="24"/>
        </w:rPr>
        <w:t>三类围挡：普通常规围闭（可采用彩钢板围闭）。</w:t>
      </w:r>
    </w:p>
    <w:p>
      <w:pPr>
        <w:spacing w:line="240" w:lineRule="atLeast"/>
        <w:ind w:firstLine="480" w:firstLineChars="200"/>
        <w:rPr>
          <w:rFonts w:hint="eastAsia" w:ascii="Arial" w:hAnsi="宋体"/>
          <w:sz w:val="24"/>
        </w:rPr>
      </w:pPr>
      <w:r>
        <w:rPr>
          <w:rFonts w:hint="eastAsia" w:ascii="Arial" w:hAnsi="宋体"/>
          <w:sz w:val="24"/>
        </w:rPr>
        <w:t>四类围挡：铁码围闭。</w:t>
      </w:r>
    </w:p>
    <w:tbl>
      <w:tblPr>
        <w:tblStyle w:val="14"/>
        <w:tblW w:w="91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3"/>
        <w:gridCol w:w="3064"/>
        <w:gridCol w:w="3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3063" w:type="dxa"/>
            <w:noWrap w:val="0"/>
            <w:vAlign w:val="top"/>
          </w:tcPr>
          <w:p>
            <w:pPr>
              <w:spacing w:line="360" w:lineRule="auto"/>
              <w:jc w:val="center"/>
              <w:rPr>
                <w:rFonts w:hint="eastAsia" w:ascii="宋体" w:hAnsi="宋体"/>
                <w:color w:val="000000"/>
                <w:sz w:val="24"/>
                <w:szCs w:val="24"/>
              </w:rPr>
            </w:pPr>
            <w:r>
              <w:rPr>
                <w:rFonts w:hint="eastAsia" w:ascii="宋体" w:hAnsi="宋体"/>
                <w:color w:val="000000"/>
                <w:sz w:val="24"/>
                <w:szCs w:val="24"/>
              </w:rPr>
              <w:t>围挡类别选着</w:t>
            </w:r>
          </w:p>
        </w:tc>
        <w:tc>
          <w:tcPr>
            <w:tcW w:w="3064" w:type="dxa"/>
            <w:noWrap w:val="0"/>
            <w:vAlign w:val="top"/>
          </w:tcPr>
          <w:p>
            <w:pPr>
              <w:spacing w:line="360" w:lineRule="auto"/>
              <w:jc w:val="center"/>
              <w:rPr>
                <w:rFonts w:hint="eastAsia" w:ascii="宋体" w:hAnsi="宋体"/>
                <w:color w:val="000000"/>
                <w:sz w:val="24"/>
                <w:szCs w:val="24"/>
              </w:rPr>
            </w:pPr>
            <w:r>
              <w:rPr>
                <w:rFonts w:hint="eastAsia" w:ascii="宋体" w:hAnsi="宋体"/>
                <w:color w:val="000000"/>
                <w:sz w:val="24"/>
                <w:szCs w:val="24"/>
              </w:rPr>
              <w:t>立项部门主管签字确认</w:t>
            </w:r>
          </w:p>
        </w:tc>
        <w:tc>
          <w:tcPr>
            <w:tcW w:w="3064" w:type="dxa"/>
            <w:noWrap w:val="0"/>
            <w:vAlign w:val="top"/>
          </w:tcPr>
          <w:p>
            <w:pPr>
              <w:spacing w:line="360" w:lineRule="auto"/>
              <w:jc w:val="center"/>
              <w:rPr>
                <w:rFonts w:hint="eastAsia"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3" w:type="dxa"/>
            <w:noWrap w:val="0"/>
            <w:vAlign w:val="top"/>
          </w:tcPr>
          <w:p>
            <w:pPr>
              <w:spacing w:line="360" w:lineRule="auto"/>
              <w:jc w:val="center"/>
              <w:rPr>
                <w:rFonts w:hint="eastAsia" w:ascii="宋体" w:hAnsi="宋体"/>
                <w:color w:val="000000"/>
                <w:sz w:val="24"/>
                <w:szCs w:val="24"/>
              </w:rPr>
            </w:pPr>
            <w:r>
              <w:rPr>
                <w:rFonts w:hint="eastAsia" w:ascii="Arial" w:hAnsi="宋体"/>
                <w:sz w:val="24"/>
                <w:lang w:eastAsia="zh-CN"/>
              </w:rPr>
              <w:t>四</w:t>
            </w:r>
            <w:r>
              <w:rPr>
                <w:rFonts w:hint="eastAsia" w:ascii="Arial" w:hAnsi="宋体"/>
                <w:sz w:val="24"/>
              </w:rPr>
              <w:t>类</w:t>
            </w:r>
          </w:p>
        </w:tc>
        <w:tc>
          <w:tcPr>
            <w:tcW w:w="3064" w:type="dxa"/>
            <w:noWrap w:val="0"/>
            <w:vAlign w:val="top"/>
          </w:tcPr>
          <w:p>
            <w:pPr>
              <w:spacing w:line="360" w:lineRule="auto"/>
              <w:jc w:val="center"/>
              <w:rPr>
                <w:rFonts w:hint="eastAsia" w:ascii="宋体" w:hAnsi="宋体"/>
                <w:color w:val="000000"/>
                <w:sz w:val="24"/>
                <w:szCs w:val="24"/>
              </w:rPr>
            </w:pPr>
          </w:p>
        </w:tc>
        <w:tc>
          <w:tcPr>
            <w:tcW w:w="3064" w:type="dxa"/>
            <w:noWrap w:val="0"/>
            <w:vAlign w:val="top"/>
          </w:tcPr>
          <w:p>
            <w:pPr>
              <w:spacing w:line="360" w:lineRule="auto"/>
              <w:jc w:val="center"/>
              <w:rPr>
                <w:rFonts w:hint="eastAsia" w:ascii="宋体" w:hAnsi="宋体"/>
                <w:color w:val="000000"/>
                <w:sz w:val="24"/>
                <w:szCs w:val="24"/>
              </w:rPr>
            </w:pPr>
          </w:p>
        </w:tc>
      </w:tr>
    </w:tbl>
    <w:p>
      <w:pPr>
        <w:widowControl/>
        <w:spacing w:before="100" w:beforeAutospacing="1" w:after="100" w:afterAutospacing="1" w:line="360" w:lineRule="auto"/>
        <w:rPr>
          <w:rFonts w:hint="eastAsia" w:ascii="宋体" w:hAnsi="宋体" w:cs="宋体"/>
          <w:kern w:val="0"/>
          <w:sz w:val="24"/>
          <w:szCs w:val="24"/>
        </w:rPr>
      </w:pPr>
      <w:r>
        <w:rPr>
          <w:rFonts w:hint="eastAsia" w:ascii="宋体" w:hAnsi="宋体" w:cs="宋体"/>
          <w:kern w:val="0"/>
          <w:sz w:val="24"/>
          <w:szCs w:val="24"/>
        </w:rPr>
        <w:t>本工程要求承包人必须做好现场围闭后，方可进行施工，因场地较小，周边有儿童娱乐场所，施工期间做好警示及防护措施。</w:t>
      </w:r>
    </w:p>
    <w:p>
      <w:pPr>
        <w:widowControl/>
        <w:spacing w:before="100" w:beforeAutospacing="1" w:after="100" w:afterAutospacing="1" w:line="360" w:lineRule="auto"/>
        <w:rPr>
          <w:rFonts w:hint="eastAsia" w:ascii="宋体" w:hAnsi="宋体" w:cs="宋体"/>
          <w:b/>
          <w:kern w:val="0"/>
          <w:sz w:val="24"/>
          <w:szCs w:val="24"/>
        </w:rPr>
      </w:pPr>
      <w:r>
        <w:rPr>
          <w:rFonts w:hint="eastAsia" w:ascii="宋体" w:hAnsi="宋体" w:cs="宋体"/>
          <w:kern w:val="0"/>
          <w:sz w:val="24"/>
          <w:szCs w:val="24"/>
        </w:rPr>
        <w:t xml:space="preserve">    </w:t>
      </w:r>
      <w:r>
        <w:rPr>
          <w:rFonts w:hint="eastAsia" w:ascii="宋体" w:hAnsi="宋体" w:cs="宋体"/>
          <w:b/>
          <w:kern w:val="0"/>
          <w:sz w:val="24"/>
          <w:szCs w:val="24"/>
        </w:rPr>
        <w:t>·凡涉及隐蔽工程施工，施工方必须提前24小时通知工程部安排物管或其他立项部门相关人员现场见证监督，另合同金额5万元以上的，必须由监理见证检查隐蔽。施工单位必须拍摄照片隐蔽前照片。</w:t>
      </w:r>
    </w:p>
    <w:p>
      <w:pPr>
        <w:widowControl/>
        <w:spacing w:before="100" w:beforeAutospacing="1" w:after="100" w:afterAutospacing="1" w:line="360" w:lineRule="auto"/>
        <w:rPr>
          <w:rFonts w:hint="eastAsia" w:ascii="宋体" w:hAnsi="宋体" w:cs="宋体"/>
          <w:b/>
          <w:kern w:val="0"/>
          <w:sz w:val="24"/>
          <w:szCs w:val="24"/>
        </w:rPr>
      </w:pPr>
      <w:r>
        <w:rPr>
          <w:rFonts w:hint="eastAsia" w:ascii="宋体" w:hAnsi="宋体" w:cs="宋体"/>
          <w:b/>
          <w:kern w:val="0"/>
          <w:sz w:val="24"/>
          <w:szCs w:val="24"/>
        </w:rPr>
        <w:t xml:space="preserve">    ·</w:t>
      </w:r>
      <w:r>
        <w:rPr>
          <w:rFonts w:hint="eastAsia"/>
          <w:b/>
          <w:color w:val="000000"/>
        </w:rPr>
        <w:t>涉及暗敷、埋地管线（水、电）必须画敷设简图，标识线路走向，必要的文字说明，否则不予验收。</w:t>
      </w:r>
    </w:p>
    <w:p>
      <w:pPr>
        <w:spacing w:line="360" w:lineRule="auto"/>
        <w:ind w:firstLine="480" w:firstLineChars="200"/>
        <w:rPr>
          <w:rFonts w:hint="eastAsia" w:ascii="宋体" w:hAnsi="宋体" w:cs="宋体"/>
          <w:kern w:val="0"/>
          <w:sz w:val="24"/>
        </w:rPr>
      </w:pPr>
      <w:r>
        <w:rPr>
          <w:rFonts w:hint="eastAsia" w:ascii="宋体" w:hAnsi="宋体" w:cs="宋体"/>
          <w:kern w:val="0"/>
          <w:sz w:val="24"/>
        </w:rPr>
        <w:t>本工程内容详见工程量清单及图纸。</w:t>
      </w:r>
      <w:bookmarkEnd w:id="4"/>
      <w:bookmarkEnd w:id="5"/>
      <w:bookmarkStart w:id="18" w:name="_Toc222305599"/>
    </w:p>
    <w:p>
      <w:pPr>
        <w:spacing w:line="360" w:lineRule="auto"/>
        <w:ind w:firstLine="643" w:firstLineChars="200"/>
        <w:rPr>
          <w:rFonts w:ascii="宋体" w:hAnsi="宋体"/>
          <w:b/>
          <w:bCs/>
          <w:sz w:val="32"/>
          <w:szCs w:val="32"/>
        </w:rPr>
      </w:pPr>
      <w:r>
        <w:rPr>
          <w:rFonts w:hint="eastAsia" w:ascii="宋体" w:hAnsi="宋体"/>
          <w:b/>
          <w:bCs/>
          <w:sz w:val="32"/>
          <w:szCs w:val="32"/>
        </w:rPr>
        <w:t>4、工期、付款方式、质保期与售后服务</w:t>
      </w:r>
      <w:bookmarkEnd w:id="18"/>
    </w:p>
    <w:p>
      <w:pPr>
        <w:tabs>
          <w:tab w:val="left" w:pos="824"/>
        </w:tabs>
        <w:spacing w:line="360" w:lineRule="auto"/>
        <w:rPr>
          <w:rFonts w:hint="eastAsia" w:ascii="宋体" w:hAnsi="宋体"/>
          <w:sz w:val="24"/>
        </w:rPr>
      </w:pPr>
      <w:r>
        <w:rPr>
          <w:rFonts w:hint="eastAsia" w:ascii="宋体" w:hAnsi="宋体"/>
          <w:sz w:val="24"/>
          <w:lang w:val="en-US" w:eastAsia="zh-CN"/>
        </w:rPr>
        <w:t>1</w:t>
      </w:r>
      <w:r>
        <w:rPr>
          <w:rFonts w:hint="eastAsia" w:ascii="宋体" w:hAnsi="宋体"/>
          <w:sz w:val="24"/>
        </w:rPr>
        <w:t>、工期为签订合同开始</w:t>
      </w:r>
      <w:r>
        <w:rPr>
          <w:rFonts w:hint="eastAsia" w:ascii="宋体" w:hAnsi="宋体"/>
          <w:sz w:val="24"/>
          <w:lang w:val="en-US" w:eastAsia="zh-CN"/>
        </w:rPr>
        <w:t>7</w:t>
      </w:r>
      <w:r>
        <w:rPr>
          <w:rFonts w:hint="eastAsia" w:ascii="宋体" w:hAnsi="宋体"/>
          <w:sz w:val="24"/>
        </w:rPr>
        <w:t>天内完工，</w:t>
      </w:r>
      <w:r>
        <w:rPr>
          <w:rFonts w:hint="eastAsia" w:ascii="宋体" w:hAnsi="宋体"/>
          <w:sz w:val="24"/>
          <w:lang w:val="en-US" w:eastAsia="zh-CN"/>
        </w:rPr>
        <w:t>为配合工期，施工时间需考虑加班及轮班安排施工，</w:t>
      </w:r>
      <w:r>
        <w:rPr>
          <w:rFonts w:hint="eastAsia" w:ascii="宋体" w:hAnsi="宋体"/>
          <w:sz w:val="24"/>
        </w:rPr>
        <w:t>延误工期的按照所签订的合同条款执行。</w:t>
      </w:r>
    </w:p>
    <w:p>
      <w:pPr>
        <w:tabs>
          <w:tab w:val="left" w:pos="824"/>
        </w:tabs>
        <w:spacing w:line="360" w:lineRule="auto"/>
        <w:rPr>
          <w:rFonts w:hint="eastAsia" w:ascii="宋体" w:hAnsi="宋体"/>
          <w:sz w:val="24"/>
        </w:rPr>
      </w:pPr>
      <w:r>
        <w:rPr>
          <w:rFonts w:hint="eastAsia" w:ascii="宋体" w:hAnsi="宋体"/>
          <w:sz w:val="24"/>
        </w:rPr>
        <w:t>2</w:t>
      </w:r>
      <w:r>
        <w:rPr>
          <w:rFonts w:hint="eastAsia" w:ascii="宋体" w:hAnsi="宋体" w:eastAsia="宋体" w:cs="宋体"/>
          <w:sz w:val="24"/>
        </w:rPr>
        <w:t>、付款条件：</w:t>
      </w:r>
      <w:r>
        <w:rPr>
          <w:rFonts w:hint="eastAsia" w:ascii="宋体" w:hAnsi="宋体"/>
          <w:sz w:val="24"/>
        </w:rPr>
        <w:t>工程完成验收合格后，结算审核完毕即付款至结算价9</w:t>
      </w:r>
      <w:r>
        <w:rPr>
          <w:rFonts w:ascii="宋体" w:hAnsi="宋体"/>
          <w:sz w:val="24"/>
        </w:rPr>
        <w:t>7</w:t>
      </w:r>
      <w:r>
        <w:rPr>
          <w:rFonts w:hint="eastAsia" w:ascii="宋体" w:hAnsi="宋体"/>
          <w:sz w:val="24"/>
        </w:rPr>
        <w:t>%,余款</w:t>
      </w:r>
      <w:r>
        <w:rPr>
          <w:rFonts w:ascii="宋体" w:hAnsi="宋体"/>
          <w:sz w:val="24"/>
        </w:rPr>
        <w:t>3</w:t>
      </w:r>
      <w:r>
        <w:rPr>
          <w:rFonts w:hint="eastAsia" w:ascii="宋体" w:hAnsi="宋体"/>
          <w:sz w:val="24"/>
        </w:rPr>
        <w:t>%在约定保修期满付清。保修期内如履行保修义务，将扣减相应费用。</w:t>
      </w:r>
    </w:p>
    <w:p>
      <w:pPr>
        <w:tabs>
          <w:tab w:val="left" w:pos="824"/>
        </w:tabs>
        <w:spacing w:line="360" w:lineRule="auto"/>
        <w:rPr>
          <w:rFonts w:hint="eastAsia" w:ascii="宋体" w:hAnsi="宋体"/>
          <w:sz w:val="24"/>
        </w:rPr>
      </w:pPr>
      <w:r>
        <w:rPr>
          <w:rFonts w:hint="eastAsia" w:ascii="宋体" w:hAnsi="宋体"/>
          <w:sz w:val="24"/>
        </w:rPr>
        <w:t>3、在质保期内如出现故障，</w:t>
      </w:r>
      <w:r>
        <w:rPr>
          <w:rStyle w:val="108"/>
          <w:rFonts w:ascii="宋体" w:hAnsi="宋体"/>
        </w:rPr>
        <w:t>乙方</w:t>
      </w:r>
      <w:r>
        <w:rPr>
          <w:rFonts w:hint="eastAsia" w:ascii="宋体" w:hAnsi="宋体"/>
          <w:sz w:val="24"/>
        </w:rPr>
        <w:t>应在接到通知后24小时内到现场处理。</w:t>
      </w:r>
    </w:p>
    <w:p>
      <w:pPr>
        <w:tabs>
          <w:tab w:val="left" w:pos="824"/>
        </w:tabs>
        <w:spacing w:line="360" w:lineRule="auto"/>
        <w:rPr>
          <w:rFonts w:hint="eastAsia" w:ascii="宋体" w:hAnsi="宋体"/>
          <w:sz w:val="24"/>
        </w:rPr>
      </w:pPr>
      <w:r>
        <w:rPr>
          <w:rFonts w:hint="eastAsia" w:ascii="宋体" w:hAnsi="宋体"/>
          <w:sz w:val="24"/>
        </w:rPr>
        <w:t>4、售后服务期限：双方签署最终验收文件至少</w:t>
      </w:r>
      <w:r>
        <w:rPr>
          <w:rFonts w:hint="eastAsia" w:ascii="宋体" w:hAnsi="宋体"/>
          <w:sz w:val="24"/>
          <w:lang w:val="en-US" w:eastAsia="zh-CN"/>
        </w:rPr>
        <w:t>12</w:t>
      </w:r>
      <w:r>
        <w:rPr>
          <w:rFonts w:hint="eastAsia" w:ascii="宋体" w:hAnsi="宋体"/>
          <w:sz w:val="24"/>
        </w:rPr>
        <w:t>个月内为免费质保期。</w:t>
      </w:r>
    </w:p>
    <w:tbl>
      <w:tblPr>
        <w:tblStyle w:val="14"/>
        <w:tblW w:w="9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8"/>
        <w:gridCol w:w="1100"/>
        <w:gridCol w:w="3209"/>
        <w:gridCol w:w="658"/>
        <w:gridCol w:w="987"/>
        <w:gridCol w:w="1211"/>
        <w:gridCol w:w="1279"/>
        <w:gridCol w:w="6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8" w:hRule="atLeast"/>
        </w:trPr>
        <w:tc>
          <w:tcPr>
            <w:tcW w:w="9760" w:type="dxa"/>
            <w:gridSpan w:val="8"/>
            <w:tcBorders>
              <w:top w:val="nil"/>
              <w:left w:val="nil"/>
              <w:bottom w:val="nil"/>
              <w:right w:val="nil"/>
            </w:tcBorders>
            <w:noWrap w:val="0"/>
            <w:vAlign w:val="center"/>
          </w:tcPr>
          <w:p>
            <w:pPr>
              <w:keepNext w:val="0"/>
              <w:keepLines w:val="0"/>
              <w:widowControl/>
              <w:suppressLineNumbers w:val="0"/>
              <w:jc w:val="center"/>
              <w:textAlignment w:val="center"/>
              <w:rPr>
                <w:rFonts w:ascii="黑体" w:hAnsi="宋体" w:eastAsia="黑体" w:cs="黑体"/>
                <w:b/>
                <w:bCs/>
                <w:i w:val="0"/>
                <w:iCs w:val="0"/>
                <w:color w:val="000000"/>
                <w:sz w:val="36"/>
                <w:szCs w:val="36"/>
                <w:u w:val="none"/>
              </w:rPr>
            </w:pPr>
            <w:r>
              <w:rPr>
                <w:rFonts w:hint="eastAsia" w:ascii="黑体" w:hAnsi="宋体" w:eastAsia="黑体" w:cs="黑体"/>
                <w:b/>
                <w:bCs/>
                <w:i w:val="0"/>
                <w:iCs w:val="0"/>
                <w:color w:val="000000"/>
                <w:kern w:val="0"/>
                <w:sz w:val="36"/>
                <w:szCs w:val="36"/>
                <w:u w:val="none"/>
                <w:lang w:val="en-US" w:eastAsia="zh-CN" w:bidi="ar"/>
              </w:rPr>
              <w:t>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3" w:hRule="atLeast"/>
        </w:trPr>
        <w:tc>
          <w:tcPr>
            <w:tcW w:w="5625" w:type="dxa"/>
            <w:gridSpan w:val="4"/>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工程名称：香洲区社会福利中心柴油发电机烟囱改造</w:t>
            </w:r>
          </w:p>
        </w:tc>
        <w:tc>
          <w:tcPr>
            <w:tcW w:w="4135" w:type="dxa"/>
            <w:gridSpan w:val="4"/>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3" w:hRule="atLeast"/>
        </w:trPr>
        <w:tc>
          <w:tcPr>
            <w:tcW w:w="5625" w:type="dxa"/>
            <w:gridSpan w:val="4"/>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所属公司：珠海正方物业管理有限公司</w:t>
            </w:r>
          </w:p>
        </w:tc>
        <w:tc>
          <w:tcPr>
            <w:tcW w:w="4135" w:type="dxa"/>
            <w:gridSpan w:val="4"/>
            <w:tcBorders>
              <w:top w:val="nil"/>
              <w:left w:val="nil"/>
              <w:bottom w:val="single" w:color="000000" w:sz="4" w:space="0"/>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编制日期：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32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项目特征描述</w:t>
            </w:r>
          </w:p>
        </w:tc>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工程量</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全费用综合单价(元)</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合价(元)</w:t>
            </w:r>
          </w:p>
        </w:tc>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8"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洲区社会福利中心柴油发电机烟囱改造</w:t>
            </w:r>
          </w:p>
        </w:tc>
        <w:tc>
          <w:tcPr>
            <w:tcW w:w="3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1.名称：拆除铝质天花及重新安装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2.材质利旧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3.满足任务书及施工规范的其他要求</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16.000</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8"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拆除风管</w:t>
            </w:r>
          </w:p>
        </w:tc>
        <w:tc>
          <w:tcPr>
            <w:tcW w:w="3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1.名称：拆除风管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2.拆除风管及支架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3.拆除并清运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4.满足任务书及施工规范的其他要求</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8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不锈钢圆形排烟管</w:t>
            </w:r>
          </w:p>
        </w:tc>
        <w:tc>
          <w:tcPr>
            <w:tcW w:w="3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1.名称:不锈钢圆形排烟风管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2.材质:304不锈钢圆管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3.直径：200mm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4.板材厚度:1.5mm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5.接口形式:焊接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6.含弯头、转接等配件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7.满足任务书及施工规范的其他要求</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35.000</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8"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排烟管喷涂氟碳漆</w:t>
            </w:r>
          </w:p>
        </w:tc>
        <w:tc>
          <w:tcPr>
            <w:tcW w:w="3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1.名称:排烟管喷涂氟碳漆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3.喷涂氟碳漆一底两面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4.满足任务书及施工规范的其他要求</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22.000</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84"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不锈钢板通风管道</w:t>
            </w:r>
          </w:p>
        </w:tc>
        <w:tc>
          <w:tcPr>
            <w:tcW w:w="3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1.名称:不锈钢风管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3.长边长＞700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4.板材厚度:1.5mm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5.形状:矩形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6.接口形式:焊接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7.满足任务书及施工规范的其他要求</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2"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支架制作、安装(含刷油)</w:t>
            </w:r>
          </w:p>
        </w:tc>
        <w:tc>
          <w:tcPr>
            <w:tcW w:w="3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1、形式:支架制作、安装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3、除锈、刷油:人工除锈、刷樟丹二道、调和漆二遍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 另以上工作内容及未提及部分详见相关规范、招标文件、技术规格书及图纸</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36.000</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6"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单排钢脚手架</w:t>
            </w:r>
          </w:p>
        </w:tc>
        <w:tc>
          <w:tcPr>
            <w:tcW w:w="3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1.名称:外墙脚手架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2.搭设高度20m以内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3.满足任务书及规范其他要求</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8"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里脚手架(钢管)</w:t>
            </w:r>
          </w:p>
        </w:tc>
        <w:tc>
          <w:tcPr>
            <w:tcW w:w="3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1.名称:烟道井内脚手架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2.搭设高度7m以内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3.蜘蛛人配合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4.满足任务书及规范其他要求</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48.00 </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1" w:hRule="atLeast"/>
        </w:trPr>
        <w:tc>
          <w:tcPr>
            <w:tcW w:w="496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w:t>
            </w:r>
          </w:p>
        </w:tc>
        <w:tc>
          <w:tcPr>
            <w:tcW w:w="4793"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1" w:hRule="atLeast"/>
        </w:trPr>
        <w:tc>
          <w:tcPr>
            <w:tcW w:w="496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含税总价(税率9%)</w:t>
            </w:r>
          </w:p>
        </w:tc>
        <w:tc>
          <w:tcPr>
            <w:tcW w:w="4793"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32" w:hRule="atLeast"/>
        </w:trPr>
        <w:tc>
          <w:tcPr>
            <w:tcW w:w="9760" w:type="dxa"/>
            <w:gridSpan w:val="8"/>
            <w:tcBorders>
              <w:top w:val="nil"/>
              <w:left w:val="nil"/>
              <w:bottom w:val="nil"/>
              <w:right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备注：全费用综合单价包括但不限于实施和完成清单项目工程内容所需的直接费、间接费、管理费、利润、税金、规费、安全文明施工费、各类配合费、保险费、所有措施费、大型机械进出场费、运输费（含二次及多次转运费）、融资财务费、所有检验试验费、政策性文件规定调整费用、风险费（包括但不限于如人工涨价风险费、材料涨价风险费等）、本工程相关的各种协调费（包括与所有相关政府部门协调产生的费用）等所有费用，以及施工合同明示或暗示的所有责任、义务和风险，投标人的投标视为是一个有经验的投标人，在对工程充分了解及对风险充分估计后所作的完全投标。结算时全费用综合包干单价不因任何原因而调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trPr>
        <w:tc>
          <w:tcPr>
            <w:tcW w:w="658"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100"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3209"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658"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987"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211"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279"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658"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9" w:hRule="atLeast"/>
        </w:trPr>
        <w:tc>
          <w:tcPr>
            <w:tcW w:w="1758" w:type="dxa"/>
            <w:gridSpan w:val="2"/>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编制人：</w:t>
            </w:r>
          </w:p>
        </w:tc>
        <w:tc>
          <w:tcPr>
            <w:tcW w:w="3209"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658"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987"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211"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1279"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c>
          <w:tcPr>
            <w:tcW w:w="658" w:type="dxa"/>
            <w:tcBorders>
              <w:top w:val="nil"/>
              <w:left w:val="nil"/>
              <w:bottom w:val="nil"/>
              <w:right w:val="nil"/>
            </w:tcBorders>
            <w:noWrap/>
            <w:vAlign w:val="center"/>
          </w:tcPr>
          <w:p>
            <w:pPr>
              <w:jc w:val="center"/>
              <w:rPr>
                <w:rFonts w:hint="eastAsia" w:ascii="宋体" w:hAnsi="宋体" w:eastAsia="宋体" w:cs="宋体"/>
                <w:i w:val="0"/>
                <w:iCs w:val="0"/>
                <w:color w:val="000000"/>
                <w:sz w:val="22"/>
                <w:szCs w:val="22"/>
                <w:u w:val="none"/>
              </w:rPr>
            </w:pPr>
          </w:p>
        </w:tc>
      </w:tr>
    </w:tbl>
    <w:p>
      <w:pPr>
        <w:widowControl/>
        <w:spacing w:before="100" w:beforeAutospacing="1" w:after="100" w:afterAutospacing="1" w:line="440" w:lineRule="atLeast"/>
        <w:jc w:val="left"/>
        <w:rPr>
          <w:rFonts w:hint="eastAsia" w:ascii="宋体" w:hAnsi="宋体" w:cs="宋体"/>
          <w:b/>
          <w:kern w:val="0"/>
          <w:sz w:val="22"/>
          <w:szCs w:val="21"/>
        </w:rPr>
      </w:pPr>
    </w:p>
    <w:p>
      <w:pPr>
        <w:widowControl/>
        <w:spacing w:before="100" w:beforeAutospacing="1" w:after="100" w:afterAutospacing="1" w:line="440" w:lineRule="atLeast"/>
        <w:jc w:val="left"/>
        <w:rPr>
          <w:rFonts w:ascii="宋体" w:hAnsi="宋体" w:cs="宋体"/>
          <w:b/>
          <w:kern w:val="0"/>
          <w:sz w:val="22"/>
          <w:szCs w:val="21"/>
        </w:rPr>
      </w:pPr>
      <w:r>
        <w:rPr>
          <w:rFonts w:hint="eastAsia" w:ascii="宋体" w:hAnsi="宋体" w:cs="宋体"/>
          <w:b/>
          <w:kern w:val="0"/>
          <w:sz w:val="22"/>
          <w:szCs w:val="21"/>
        </w:rPr>
        <w:t>注</w:t>
      </w:r>
      <w:r>
        <w:rPr>
          <w:rFonts w:hint="eastAsia" w:ascii="宋体" w:hAnsi="宋体" w:cs="宋体"/>
          <w:b/>
          <w:kern w:val="0"/>
          <w:sz w:val="24"/>
          <w:szCs w:val="21"/>
        </w:rPr>
        <w:t>：</w:t>
      </w:r>
      <w:r>
        <w:rPr>
          <w:rFonts w:hint="eastAsia" w:ascii="宋体" w:hAnsi="宋体" w:cs="宋体"/>
          <w:b/>
          <w:kern w:val="0"/>
          <w:sz w:val="22"/>
          <w:szCs w:val="21"/>
          <w:u w:val="single"/>
        </w:rPr>
        <w:t>投标单位需看现场后报</w:t>
      </w:r>
      <w:r>
        <w:rPr>
          <w:rFonts w:ascii="宋体" w:hAnsi="宋体" w:cs="宋体"/>
          <w:b/>
          <w:kern w:val="0"/>
          <w:sz w:val="22"/>
          <w:szCs w:val="21"/>
          <w:u w:val="single"/>
        </w:rPr>
        <w:t>价</w:t>
      </w:r>
      <w:r>
        <w:rPr>
          <w:rFonts w:hint="eastAsia" w:ascii="宋体" w:hAnsi="宋体" w:cs="宋体"/>
          <w:b/>
          <w:kern w:val="0"/>
          <w:sz w:val="22"/>
          <w:szCs w:val="21"/>
          <w:u w:val="single"/>
        </w:rPr>
        <w:t>，充</w:t>
      </w:r>
      <w:r>
        <w:rPr>
          <w:rFonts w:ascii="宋体" w:hAnsi="宋体" w:cs="宋体"/>
          <w:b/>
          <w:kern w:val="0"/>
          <w:sz w:val="22"/>
          <w:szCs w:val="21"/>
          <w:u w:val="single"/>
        </w:rPr>
        <w:t>分</w:t>
      </w:r>
      <w:r>
        <w:rPr>
          <w:rFonts w:hint="eastAsia" w:ascii="宋体" w:hAnsi="宋体" w:cs="宋体"/>
          <w:b/>
          <w:kern w:val="0"/>
          <w:sz w:val="22"/>
          <w:szCs w:val="21"/>
          <w:u w:val="single"/>
        </w:rPr>
        <w:t>了</w:t>
      </w:r>
      <w:r>
        <w:rPr>
          <w:rFonts w:ascii="宋体" w:hAnsi="宋体" w:cs="宋体"/>
          <w:b/>
          <w:kern w:val="0"/>
          <w:sz w:val="22"/>
          <w:szCs w:val="21"/>
          <w:u w:val="single"/>
        </w:rPr>
        <w:t>解现有的</w:t>
      </w:r>
      <w:r>
        <w:rPr>
          <w:rFonts w:hint="eastAsia" w:ascii="宋体" w:hAnsi="宋体" w:cs="宋体"/>
          <w:b/>
          <w:kern w:val="0"/>
          <w:sz w:val="22"/>
          <w:szCs w:val="21"/>
          <w:u w:val="single"/>
          <w:lang w:eastAsia="zh-CN"/>
        </w:rPr>
        <w:t>施工</w:t>
      </w:r>
      <w:r>
        <w:rPr>
          <w:rFonts w:hint="eastAsia" w:ascii="宋体" w:hAnsi="宋体" w:cs="宋体"/>
          <w:b/>
          <w:kern w:val="0"/>
          <w:sz w:val="22"/>
          <w:szCs w:val="21"/>
          <w:u w:val="single"/>
          <w:lang w:eastAsia="zh-CN"/>
        </w:rPr>
        <w:t>条件及施工内容</w:t>
      </w:r>
      <w:r>
        <w:rPr>
          <w:rFonts w:ascii="宋体" w:hAnsi="宋体" w:cs="宋体"/>
          <w:b/>
          <w:kern w:val="0"/>
          <w:sz w:val="22"/>
          <w:szCs w:val="21"/>
        </w:rPr>
        <w:t>。</w:t>
      </w:r>
    </w:p>
    <w:p>
      <w:pPr>
        <w:widowControl/>
        <w:spacing w:before="100" w:beforeAutospacing="1" w:after="100" w:afterAutospacing="1" w:line="440" w:lineRule="atLeast"/>
        <w:jc w:val="left"/>
        <w:rPr>
          <w:rFonts w:hint="eastAsia" w:ascii="宋体" w:hAnsi="宋体" w:cs="宋体"/>
          <w:b/>
          <w:kern w:val="0"/>
          <w:sz w:val="22"/>
          <w:szCs w:val="21"/>
        </w:rPr>
      </w:pPr>
    </w:p>
    <w:p>
      <w:pPr>
        <w:widowControl/>
        <w:spacing w:before="100" w:beforeAutospacing="1" w:after="100" w:afterAutospacing="1" w:line="440" w:lineRule="atLeast"/>
        <w:jc w:val="left"/>
        <w:rPr>
          <w:rFonts w:hint="eastAsia" w:ascii="宋体" w:hAnsi="宋体" w:cs="宋体"/>
          <w:b/>
          <w:kern w:val="0"/>
          <w:sz w:val="22"/>
          <w:szCs w:val="21"/>
        </w:rPr>
      </w:pPr>
    </w:p>
    <w:p>
      <w:pPr>
        <w:widowControl/>
        <w:spacing w:before="100" w:beforeAutospacing="1" w:after="100" w:afterAutospacing="1" w:line="440" w:lineRule="atLeast"/>
        <w:jc w:val="left"/>
        <w:rPr>
          <w:rFonts w:hint="eastAsia" w:ascii="宋体" w:hAnsi="宋体" w:cs="宋体"/>
          <w:b/>
          <w:kern w:val="0"/>
          <w:sz w:val="22"/>
          <w:szCs w:val="21"/>
        </w:rPr>
      </w:pPr>
    </w:p>
    <w:p>
      <w:pPr>
        <w:widowControl/>
        <w:spacing w:before="100" w:beforeAutospacing="1" w:after="100" w:afterAutospacing="1" w:line="440" w:lineRule="atLeast"/>
        <w:jc w:val="left"/>
        <w:rPr>
          <w:rFonts w:hint="eastAsia" w:ascii="宋体" w:hAnsi="宋体" w:cs="宋体"/>
          <w:b/>
          <w:kern w:val="0"/>
          <w:sz w:val="22"/>
          <w:szCs w:val="21"/>
        </w:rPr>
      </w:pPr>
    </w:p>
    <w:p>
      <w:pPr>
        <w:widowControl/>
        <w:spacing w:before="100" w:beforeAutospacing="1" w:after="100" w:afterAutospacing="1" w:line="440" w:lineRule="atLeast"/>
        <w:jc w:val="left"/>
        <w:rPr>
          <w:rFonts w:hint="eastAsia" w:ascii="宋体" w:hAnsi="宋体" w:cs="宋体"/>
          <w:b/>
          <w:kern w:val="0"/>
          <w:sz w:val="22"/>
          <w:szCs w:val="21"/>
        </w:rPr>
      </w:pPr>
    </w:p>
    <w:p>
      <w:pPr>
        <w:widowControl/>
        <w:spacing w:before="100" w:beforeAutospacing="1" w:after="100" w:afterAutospacing="1" w:line="440" w:lineRule="atLeast"/>
        <w:jc w:val="left"/>
        <w:rPr>
          <w:rFonts w:hint="eastAsia" w:ascii="宋体" w:hAnsi="宋体" w:cs="宋体"/>
          <w:b/>
          <w:kern w:val="0"/>
          <w:sz w:val="22"/>
          <w:szCs w:val="21"/>
        </w:rPr>
      </w:pPr>
    </w:p>
    <w:p>
      <w:pPr>
        <w:jc w:val="center"/>
        <w:rPr>
          <w:rFonts w:hint="eastAsia" w:ascii="宋体" w:hAnsi="宋体" w:cs="宋体"/>
          <w:b/>
          <w:kern w:val="0"/>
          <w:sz w:val="24"/>
          <w:szCs w:val="24"/>
        </w:rPr>
      </w:pPr>
      <w:r>
        <w:rPr>
          <w:rFonts w:hint="eastAsia" w:ascii="宋体" w:hAnsi="宋体" w:cs="宋体"/>
          <w:b/>
          <w:kern w:val="0"/>
          <w:sz w:val="24"/>
          <w:szCs w:val="24"/>
        </w:rPr>
        <w:t>安全文明施工管理要求</w:t>
      </w:r>
    </w:p>
    <w:p>
      <w:pPr>
        <w:rPr>
          <w:rFonts w:hint="eastAsia" w:ascii="宋体" w:hAnsi="宋体" w:cs="宋体"/>
          <w:kern w:val="0"/>
          <w:sz w:val="24"/>
          <w:szCs w:val="24"/>
        </w:rPr>
      </w:pPr>
      <w:r>
        <w:rPr>
          <w:rFonts w:hint="eastAsia" w:ascii="宋体" w:hAnsi="宋体" w:cs="宋体"/>
          <w:kern w:val="0"/>
          <w:sz w:val="24"/>
          <w:szCs w:val="24"/>
        </w:rPr>
        <w:t>一）、施工基本要求</w:t>
      </w:r>
    </w:p>
    <w:p>
      <w:pPr>
        <w:rPr>
          <w:rFonts w:hint="eastAsia" w:ascii="宋体" w:hAnsi="宋体" w:cs="宋体"/>
          <w:kern w:val="0"/>
          <w:sz w:val="24"/>
          <w:szCs w:val="24"/>
        </w:rPr>
      </w:pPr>
      <w:r>
        <w:rPr>
          <w:rFonts w:hint="eastAsia" w:ascii="宋体" w:hAnsi="宋体" w:cs="宋体"/>
          <w:kern w:val="0"/>
          <w:sz w:val="24"/>
          <w:szCs w:val="24"/>
        </w:rPr>
        <w:t>1、施工前应进行设计交底工作，并应对施工现场进行核查，了解建设单位和总承包单位的有关规定。</w:t>
      </w:r>
    </w:p>
    <w:p>
      <w:pPr>
        <w:rPr>
          <w:rFonts w:hint="eastAsia" w:ascii="宋体" w:hAnsi="宋体" w:cs="宋体"/>
          <w:kern w:val="0"/>
          <w:sz w:val="24"/>
          <w:szCs w:val="24"/>
        </w:rPr>
      </w:pPr>
      <w:r>
        <w:rPr>
          <w:rFonts w:hint="eastAsia" w:ascii="宋体" w:hAnsi="宋体" w:cs="宋体"/>
          <w:kern w:val="0"/>
          <w:sz w:val="24"/>
          <w:szCs w:val="24"/>
        </w:rPr>
        <w:t>2、各工序、各分项工程应自检、互检及交接检。</w:t>
      </w:r>
    </w:p>
    <w:p>
      <w:pPr>
        <w:rPr>
          <w:rFonts w:hint="eastAsia" w:ascii="宋体" w:hAnsi="宋体" w:cs="宋体"/>
          <w:kern w:val="0"/>
          <w:sz w:val="24"/>
          <w:szCs w:val="24"/>
        </w:rPr>
      </w:pPr>
      <w:r>
        <w:rPr>
          <w:rFonts w:hint="eastAsia" w:ascii="宋体" w:hAnsi="宋体" w:cs="宋体"/>
          <w:kern w:val="0"/>
          <w:sz w:val="24"/>
          <w:szCs w:val="24"/>
        </w:rPr>
        <w:t>3、施工中，严禁损坏房屋原有的隔热设施，严禁损坏受力钢筋，严禁超荷载集中堆放物品。</w:t>
      </w:r>
    </w:p>
    <w:p>
      <w:pPr>
        <w:rPr>
          <w:rFonts w:hint="eastAsia" w:ascii="宋体" w:hAnsi="宋体" w:cs="宋体"/>
          <w:kern w:val="0"/>
          <w:sz w:val="24"/>
          <w:szCs w:val="24"/>
        </w:rPr>
      </w:pPr>
      <w:r>
        <w:rPr>
          <w:rFonts w:hint="eastAsia" w:ascii="宋体" w:hAnsi="宋体" w:cs="宋体"/>
          <w:kern w:val="0"/>
          <w:sz w:val="24"/>
          <w:szCs w:val="24"/>
        </w:rPr>
        <w:t>4、施工人员应遵守有关施工安全、劳动保护、防火、防毒的法律、法规。</w:t>
      </w:r>
    </w:p>
    <w:p>
      <w:pPr>
        <w:rPr>
          <w:rFonts w:hint="eastAsia" w:ascii="宋体" w:hAnsi="宋体" w:cs="宋体"/>
          <w:kern w:val="0"/>
          <w:sz w:val="24"/>
          <w:szCs w:val="24"/>
        </w:rPr>
      </w:pPr>
      <w:r>
        <w:rPr>
          <w:rFonts w:hint="eastAsia" w:ascii="宋体" w:hAnsi="宋体" w:cs="宋体"/>
          <w:kern w:val="0"/>
          <w:sz w:val="24"/>
          <w:szCs w:val="24"/>
        </w:rPr>
        <w:t>5、暂停施工时应切断电源；施工用电线路应避开易燃、易爆物品堆放地。</w:t>
      </w:r>
    </w:p>
    <w:p>
      <w:pPr>
        <w:rPr>
          <w:rFonts w:hint="eastAsia" w:ascii="宋体" w:hAnsi="宋体" w:cs="宋体"/>
          <w:kern w:val="0"/>
          <w:sz w:val="24"/>
          <w:szCs w:val="24"/>
        </w:rPr>
      </w:pPr>
      <w:r>
        <w:rPr>
          <w:rFonts w:hint="eastAsia" w:ascii="宋体" w:hAnsi="宋体" w:cs="宋体"/>
          <w:kern w:val="0"/>
          <w:sz w:val="24"/>
          <w:szCs w:val="24"/>
        </w:rPr>
        <w:t>6、不得在未作防水的地面蓄水或搅拌水泥，暂停施工时应切断进户水源。</w:t>
      </w:r>
    </w:p>
    <w:p>
      <w:pPr>
        <w:rPr>
          <w:rFonts w:hint="eastAsia" w:ascii="宋体" w:hAnsi="宋体" w:cs="宋体"/>
          <w:kern w:val="0"/>
          <w:sz w:val="24"/>
          <w:szCs w:val="24"/>
        </w:rPr>
      </w:pPr>
      <w:r>
        <w:rPr>
          <w:rFonts w:hint="eastAsia" w:ascii="宋体" w:hAnsi="宋体" w:cs="宋体"/>
          <w:kern w:val="0"/>
          <w:sz w:val="24"/>
          <w:szCs w:val="24"/>
        </w:rPr>
        <w:t>7、防水材料、油漆等可燃易燃物品应集中存放并安排专人看护，存放场地应设置足够数量的灭火器。</w:t>
      </w:r>
    </w:p>
    <w:p>
      <w:pPr>
        <w:rPr>
          <w:rFonts w:hint="eastAsia" w:ascii="宋体" w:hAnsi="宋体" w:cs="宋体"/>
          <w:kern w:val="0"/>
          <w:sz w:val="24"/>
          <w:szCs w:val="24"/>
        </w:rPr>
      </w:pPr>
      <w:r>
        <w:rPr>
          <w:rFonts w:hint="eastAsia" w:ascii="宋体" w:hAnsi="宋体" w:cs="宋体"/>
          <w:kern w:val="0"/>
          <w:sz w:val="24"/>
          <w:szCs w:val="24"/>
        </w:rPr>
        <w:t>8、施工现场使用的设备必须符合相关安全使用的要求。</w:t>
      </w:r>
    </w:p>
    <w:p>
      <w:pPr>
        <w:rPr>
          <w:rFonts w:hint="eastAsia" w:ascii="宋体" w:hAnsi="宋体" w:cs="宋体"/>
          <w:kern w:val="0"/>
          <w:sz w:val="24"/>
          <w:szCs w:val="24"/>
        </w:rPr>
      </w:pPr>
      <w:r>
        <w:rPr>
          <w:rFonts w:hint="eastAsia" w:ascii="宋体" w:hAnsi="宋体" w:cs="宋体"/>
          <w:kern w:val="0"/>
          <w:sz w:val="24"/>
          <w:szCs w:val="24"/>
        </w:rPr>
        <w:t>9、对于移交使用的电缆（室外埋地和室内）、电箱等用电设备（设施）应进行保护，确保不被破坏和偷盗。</w:t>
      </w:r>
    </w:p>
    <w:p>
      <w:pPr>
        <w:rPr>
          <w:rFonts w:hint="eastAsia" w:ascii="宋体" w:hAnsi="宋体" w:cs="宋体"/>
          <w:kern w:val="0"/>
          <w:sz w:val="24"/>
          <w:szCs w:val="24"/>
        </w:rPr>
      </w:pPr>
      <w:r>
        <w:rPr>
          <w:rFonts w:hint="eastAsia" w:ascii="宋体" w:hAnsi="宋体" w:cs="宋体"/>
          <w:kern w:val="0"/>
          <w:sz w:val="24"/>
          <w:szCs w:val="24"/>
        </w:rPr>
        <w:t>二）、文明施工和现场环境的要求</w:t>
      </w:r>
    </w:p>
    <w:p>
      <w:pPr>
        <w:rPr>
          <w:rFonts w:hint="eastAsia" w:ascii="宋体" w:hAnsi="宋体" w:cs="宋体"/>
          <w:kern w:val="0"/>
          <w:sz w:val="24"/>
          <w:szCs w:val="24"/>
        </w:rPr>
      </w:pPr>
      <w:r>
        <w:rPr>
          <w:rFonts w:hint="eastAsia" w:ascii="宋体" w:hAnsi="宋体" w:cs="宋体"/>
          <w:kern w:val="0"/>
          <w:sz w:val="24"/>
          <w:szCs w:val="24"/>
        </w:rPr>
        <w:t>1、施工人员应衣着整齐。</w:t>
      </w:r>
    </w:p>
    <w:p>
      <w:pPr>
        <w:rPr>
          <w:rFonts w:hint="eastAsia" w:ascii="宋体" w:hAnsi="宋体" w:cs="宋体"/>
          <w:kern w:val="0"/>
          <w:sz w:val="24"/>
          <w:szCs w:val="24"/>
        </w:rPr>
      </w:pPr>
      <w:r>
        <w:rPr>
          <w:rFonts w:hint="eastAsia" w:ascii="宋体" w:hAnsi="宋体" w:cs="宋体"/>
          <w:kern w:val="0"/>
          <w:sz w:val="24"/>
          <w:szCs w:val="24"/>
        </w:rPr>
        <w:t>2、施工人员应服从建设单位和总承包单位的治安保卫人员的监督、管理。</w:t>
      </w:r>
    </w:p>
    <w:p>
      <w:pPr>
        <w:rPr>
          <w:rFonts w:hint="eastAsia" w:ascii="宋体" w:hAnsi="宋体" w:cs="宋体"/>
          <w:kern w:val="0"/>
          <w:sz w:val="24"/>
          <w:szCs w:val="24"/>
        </w:rPr>
      </w:pPr>
      <w:r>
        <w:rPr>
          <w:rFonts w:hint="eastAsia" w:ascii="宋体" w:hAnsi="宋体" w:cs="宋体"/>
          <w:kern w:val="0"/>
          <w:sz w:val="24"/>
          <w:szCs w:val="24"/>
        </w:rPr>
        <w:t>3、应控制粉尘、污染物、噪声、振动对相邻居民、居民区和城市环境的污染及危害。</w:t>
      </w:r>
    </w:p>
    <w:p>
      <w:pPr>
        <w:rPr>
          <w:rFonts w:hint="eastAsia" w:ascii="宋体" w:hAnsi="宋体" w:cs="宋体"/>
          <w:kern w:val="0"/>
          <w:sz w:val="24"/>
          <w:szCs w:val="24"/>
        </w:rPr>
      </w:pPr>
      <w:r>
        <w:rPr>
          <w:rFonts w:hint="eastAsia" w:ascii="宋体" w:hAnsi="宋体" w:cs="宋体"/>
          <w:kern w:val="0"/>
          <w:sz w:val="24"/>
          <w:szCs w:val="24"/>
        </w:rPr>
        <w:t>4、施工堆料不得占用楼道内的公共空间，封堵紧急出口。</w:t>
      </w:r>
    </w:p>
    <w:p>
      <w:pPr>
        <w:rPr>
          <w:rFonts w:hint="eastAsia" w:ascii="宋体" w:hAnsi="宋体" w:cs="宋体"/>
          <w:kern w:val="0"/>
          <w:sz w:val="24"/>
          <w:szCs w:val="24"/>
        </w:rPr>
      </w:pPr>
      <w:r>
        <w:rPr>
          <w:rFonts w:hint="eastAsia" w:ascii="宋体" w:hAnsi="宋体" w:cs="宋体"/>
          <w:kern w:val="0"/>
          <w:sz w:val="24"/>
          <w:szCs w:val="24"/>
        </w:rPr>
        <w:t>5、室外堆料应遵守物业管理规定，避开公共通道、绿化地等市政公用设施。</w:t>
      </w:r>
    </w:p>
    <w:p>
      <w:pPr>
        <w:rPr>
          <w:rFonts w:hint="eastAsia" w:ascii="宋体" w:hAnsi="宋体" w:cs="宋体"/>
          <w:kern w:val="0"/>
          <w:sz w:val="24"/>
          <w:szCs w:val="24"/>
        </w:rPr>
      </w:pPr>
      <w:r>
        <w:rPr>
          <w:rFonts w:hint="eastAsia" w:ascii="宋体" w:hAnsi="宋体" w:cs="宋体"/>
          <w:kern w:val="0"/>
          <w:sz w:val="24"/>
          <w:szCs w:val="24"/>
        </w:rPr>
        <w:t>6、工程垃圾应密封包装，并放在指定的建筑垃圾堆放地并及时、定时清运干净。</w:t>
      </w:r>
    </w:p>
    <w:p>
      <w:pPr>
        <w:rPr>
          <w:rFonts w:hint="eastAsia" w:ascii="宋体" w:hAnsi="宋体" w:cs="宋体"/>
          <w:kern w:val="0"/>
          <w:sz w:val="24"/>
          <w:szCs w:val="24"/>
        </w:rPr>
      </w:pPr>
      <w:r>
        <w:rPr>
          <w:rFonts w:hint="eastAsia" w:ascii="宋体" w:hAnsi="宋体" w:cs="宋体"/>
          <w:kern w:val="0"/>
          <w:sz w:val="24"/>
          <w:szCs w:val="24"/>
        </w:rPr>
        <w:t>7、不得堵塞、破坏上下水管道、水电井等公共设施，不得损坏楼内各种公共标识。</w:t>
      </w:r>
    </w:p>
    <w:p>
      <w:pPr>
        <w:rPr>
          <w:rFonts w:hint="eastAsia" w:ascii="宋体" w:hAnsi="宋体" w:cs="宋体"/>
          <w:kern w:val="0"/>
          <w:sz w:val="24"/>
          <w:szCs w:val="24"/>
        </w:rPr>
      </w:pPr>
      <w:r>
        <w:rPr>
          <w:rFonts w:hint="eastAsia" w:ascii="宋体" w:hAnsi="宋体" w:cs="宋体"/>
          <w:kern w:val="0"/>
          <w:sz w:val="24"/>
          <w:szCs w:val="24"/>
        </w:rPr>
        <w:t>8、施工现场严禁焚烧各类废弃物。</w:t>
      </w:r>
    </w:p>
    <w:p>
      <w:pPr>
        <w:rPr>
          <w:rFonts w:hint="eastAsia" w:ascii="宋体" w:hAnsi="宋体" w:cs="宋体"/>
          <w:kern w:val="0"/>
          <w:sz w:val="24"/>
          <w:szCs w:val="24"/>
        </w:rPr>
      </w:pPr>
      <w:r>
        <w:rPr>
          <w:rFonts w:hint="eastAsia" w:ascii="宋体" w:hAnsi="宋体" w:cs="宋体"/>
          <w:kern w:val="0"/>
          <w:sz w:val="24"/>
          <w:szCs w:val="24"/>
        </w:rPr>
        <w:t>9、工程验收前应将施工现场清理干净。</w:t>
      </w:r>
    </w:p>
    <w:p>
      <w:pPr>
        <w:rPr>
          <w:rFonts w:hint="eastAsia" w:ascii="宋体" w:hAnsi="宋体" w:cs="宋体"/>
          <w:kern w:val="0"/>
          <w:sz w:val="24"/>
          <w:szCs w:val="24"/>
        </w:rPr>
      </w:pPr>
      <w:r>
        <w:rPr>
          <w:rFonts w:hint="eastAsia" w:ascii="宋体" w:hAnsi="宋体" w:cs="宋体"/>
          <w:kern w:val="0"/>
          <w:sz w:val="24"/>
          <w:szCs w:val="24"/>
        </w:rPr>
        <w:t>三）、成品保护要求</w:t>
      </w:r>
    </w:p>
    <w:p>
      <w:pPr>
        <w:rPr>
          <w:rFonts w:hint="eastAsia" w:ascii="宋体" w:hAnsi="宋体" w:cs="宋体"/>
          <w:kern w:val="0"/>
          <w:sz w:val="24"/>
          <w:szCs w:val="24"/>
        </w:rPr>
      </w:pPr>
      <w:r>
        <w:rPr>
          <w:rFonts w:hint="eastAsia" w:ascii="宋体" w:hAnsi="宋体" w:cs="宋体"/>
          <w:kern w:val="0"/>
          <w:sz w:val="24"/>
          <w:szCs w:val="24"/>
        </w:rPr>
        <w:t>1、材料运输使用电梯时，应对电梯采取保护措施。</w:t>
      </w:r>
    </w:p>
    <w:p>
      <w:pPr>
        <w:rPr>
          <w:rFonts w:hint="eastAsia" w:ascii="宋体" w:hAnsi="宋体" w:cs="宋体"/>
          <w:kern w:val="0"/>
          <w:sz w:val="24"/>
          <w:szCs w:val="24"/>
        </w:rPr>
      </w:pPr>
      <w:r>
        <w:rPr>
          <w:rFonts w:hint="eastAsia" w:ascii="宋体" w:hAnsi="宋体" w:cs="宋体"/>
          <w:kern w:val="0"/>
          <w:sz w:val="24"/>
          <w:szCs w:val="24"/>
        </w:rPr>
        <w:t>2、材料搬运时要避免损坏楼道内顶棚、墙壁、扶手、窗户和楼道门等各种公共设施。</w:t>
      </w:r>
    </w:p>
    <w:p>
      <w:pPr>
        <w:rPr>
          <w:rFonts w:hint="eastAsia" w:ascii="宋体" w:hAnsi="宋体" w:cs="宋体"/>
          <w:kern w:val="0"/>
          <w:sz w:val="24"/>
          <w:szCs w:val="24"/>
        </w:rPr>
      </w:pPr>
      <w:r>
        <w:rPr>
          <w:rFonts w:hint="eastAsia" w:ascii="宋体" w:hAnsi="宋体" w:cs="宋体"/>
          <w:kern w:val="0"/>
          <w:sz w:val="24"/>
          <w:szCs w:val="24"/>
        </w:rPr>
        <w:t>3、对邮箱、消防、供电、电视、报警、网络等公共设施应采取保护措施。</w:t>
      </w:r>
    </w:p>
    <w:p>
      <w:pPr>
        <w:rPr>
          <w:rFonts w:hint="eastAsia" w:ascii="宋体" w:hAnsi="宋体" w:cs="宋体"/>
          <w:kern w:val="0"/>
          <w:sz w:val="24"/>
          <w:szCs w:val="24"/>
        </w:rPr>
      </w:pPr>
      <w:r>
        <w:rPr>
          <w:rFonts w:hint="eastAsia" w:ascii="宋体" w:hAnsi="宋体" w:cs="宋体"/>
          <w:kern w:val="0"/>
          <w:sz w:val="24"/>
          <w:szCs w:val="24"/>
        </w:rPr>
        <w:t>4、各工种施工时不得污染、损坏其他工种或其他单位的半成品、成品。</w:t>
      </w:r>
    </w:p>
    <w:p>
      <w:pPr>
        <w:rPr>
          <w:rFonts w:hint="eastAsia" w:ascii="宋体" w:hAnsi="宋体" w:cs="宋体"/>
          <w:kern w:val="0"/>
          <w:sz w:val="24"/>
          <w:szCs w:val="24"/>
        </w:rPr>
      </w:pPr>
      <w:r>
        <w:rPr>
          <w:rFonts w:hint="eastAsia" w:ascii="宋体" w:hAnsi="宋体" w:cs="宋体"/>
          <w:kern w:val="0"/>
          <w:sz w:val="24"/>
          <w:szCs w:val="24"/>
        </w:rPr>
        <w:t>四）、施工现场防火安全要求</w:t>
      </w:r>
    </w:p>
    <w:p>
      <w:pPr>
        <w:rPr>
          <w:rFonts w:hint="eastAsia" w:ascii="宋体" w:hAnsi="宋体" w:cs="宋体"/>
          <w:kern w:val="0"/>
          <w:sz w:val="24"/>
          <w:szCs w:val="24"/>
        </w:rPr>
      </w:pPr>
      <w:r>
        <w:rPr>
          <w:rFonts w:hint="eastAsia" w:ascii="宋体" w:hAnsi="宋体" w:cs="宋体"/>
          <w:kern w:val="0"/>
          <w:sz w:val="24"/>
          <w:szCs w:val="24"/>
        </w:rPr>
        <w:t>1、施工单位必须制定施工防火安全制度，施工人员必须严格遵守。</w:t>
      </w:r>
    </w:p>
    <w:p>
      <w:pPr>
        <w:rPr>
          <w:rFonts w:hint="eastAsia" w:ascii="宋体" w:hAnsi="宋体" w:cs="宋体"/>
          <w:kern w:val="0"/>
          <w:sz w:val="24"/>
          <w:szCs w:val="24"/>
        </w:rPr>
      </w:pPr>
      <w:r>
        <w:rPr>
          <w:rFonts w:hint="eastAsia" w:ascii="宋体" w:hAnsi="宋体" w:cs="宋体"/>
          <w:kern w:val="0"/>
          <w:sz w:val="24"/>
          <w:szCs w:val="24"/>
        </w:rPr>
        <w:t>2、装修施工过程中，装修材料应远离火源，并应派专人负责施工现场的防火安全，且不得影响原有消防设施的试验功能。</w:t>
      </w:r>
    </w:p>
    <w:p>
      <w:pPr>
        <w:rPr>
          <w:rFonts w:hint="eastAsia" w:ascii="宋体" w:hAnsi="宋体" w:cs="宋体"/>
          <w:kern w:val="0"/>
          <w:sz w:val="24"/>
          <w:szCs w:val="24"/>
        </w:rPr>
      </w:pPr>
      <w:r>
        <w:rPr>
          <w:rFonts w:hint="eastAsia" w:ascii="宋体" w:hAnsi="宋体" w:cs="宋体"/>
          <w:kern w:val="0"/>
          <w:sz w:val="24"/>
          <w:szCs w:val="24"/>
        </w:rPr>
        <w:t>3、施工现场不得大量积存可燃材料；易燃物品应相对集中放置在安全区域并应有明显标识。</w:t>
      </w:r>
    </w:p>
    <w:p>
      <w:pPr>
        <w:rPr>
          <w:rFonts w:hint="eastAsia" w:ascii="宋体" w:hAnsi="宋体" w:cs="宋体"/>
          <w:kern w:val="0"/>
          <w:sz w:val="24"/>
          <w:szCs w:val="24"/>
        </w:rPr>
      </w:pPr>
      <w:r>
        <w:rPr>
          <w:rFonts w:hint="eastAsia" w:ascii="宋体" w:hAnsi="宋体" w:cs="宋体"/>
          <w:kern w:val="0"/>
          <w:sz w:val="24"/>
          <w:szCs w:val="24"/>
        </w:rPr>
        <w:t>4、易燃、易爆材料的施工，应避免敲打、碰撞、摩擦等可能出现火花的操作，配套使用的照明灯、电动机、电气开关应有安全防爆装置。</w:t>
      </w:r>
    </w:p>
    <w:p>
      <w:pPr>
        <w:rPr>
          <w:rFonts w:hint="eastAsia" w:ascii="宋体" w:hAnsi="宋体" w:cs="宋体"/>
          <w:kern w:val="0"/>
          <w:sz w:val="24"/>
          <w:szCs w:val="24"/>
        </w:rPr>
      </w:pPr>
      <w:r>
        <w:rPr>
          <w:rFonts w:hint="eastAsia" w:ascii="宋体" w:hAnsi="宋体" w:cs="宋体"/>
          <w:kern w:val="0"/>
          <w:sz w:val="24"/>
          <w:szCs w:val="24"/>
        </w:rPr>
        <w:t>5、使用油漆、天那水等挥发性材料时，应随时封闭容器；擦拭后的棉纱等物品应集中堆放且远离火源。</w:t>
      </w:r>
    </w:p>
    <w:p>
      <w:pPr>
        <w:rPr>
          <w:rFonts w:hint="eastAsia" w:ascii="宋体" w:hAnsi="宋体" w:cs="宋体"/>
          <w:kern w:val="0"/>
          <w:sz w:val="24"/>
          <w:szCs w:val="24"/>
        </w:rPr>
      </w:pPr>
      <w:r>
        <w:rPr>
          <w:rFonts w:hint="eastAsia" w:ascii="宋体" w:hAnsi="宋体" w:cs="宋体"/>
          <w:kern w:val="0"/>
          <w:sz w:val="24"/>
          <w:szCs w:val="24"/>
        </w:rPr>
        <w:t>6、施工现场动用电气焊等明火时，必须清除周围及焊渣滴落区的可燃物质，并设专人监督。</w:t>
      </w:r>
    </w:p>
    <w:p>
      <w:pPr>
        <w:rPr>
          <w:rFonts w:hint="eastAsia" w:ascii="宋体" w:hAnsi="宋体" w:cs="宋体"/>
          <w:kern w:val="0"/>
          <w:sz w:val="24"/>
          <w:szCs w:val="24"/>
        </w:rPr>
      </w:pPr>
      <w:r>
        <w:rPr>
          <w:rFonts w:hint="eastAsia" w:ascii="宋体" w:hAnsi="宋体" w:cs="宋体"/>
          <w:kern w:val="0"/>
          <w:sz w:val="24"/>
          <w:szCs w:val="24"/>
        </w:rPr>
        <w:t>7、施工现场必须配备灭火器、沙箱或其他灭火工具。</w:t>
      </w:r>
    </w:p>
    <w:p>
      <w:pPr>
        <w:rPr>
          <w:rFonts w:hint="eastAsia" w:ascii="宋体" w:hAnsi="宋体" w:cs="宋体"/>
          <w:kern w:val="0"/>
          <w:sz w:val="24"/>
          <w:szCs w:val="24"/>
        </w:rPr>
      </w:pPr>
      <w:r>
        <w:rPr>
          <w:rFonts w:hint="eastAsia" w:ascii="宋体" w:hAnsi="宋体" w:cs="宋体"/>
          <w:kern w:val="0"/>
          <w:sz w:val="24"/>
          <w:szCs w:val="24"/>
        </w:rPr>
        <w:t>8、严禁在施工现场吸烟。</w:t>
      </w:r>
    </w:p>
    <w:p>
      <w:pPr>
        <w:rPr>
          <w:rFonts w:hint="eastAsia" w:ascii="宋体" w:hAnsi="宋体" w:cs="宋体"/>
          <w:kern w:val="0"/>
          <w:sz w:val="24"/>
          <w:szCs w:val="24"/>
        </w:rPr>
      </w:pPr>
      <w:r>
        <w:rPr>
          <w:rFonts w:hint="eastAsia" w:ascii="宋体" w:hAnsi="宋体" w:cs="宋体"/>
          <w:kern w:val="0"/>
          <w:sz w:val="24"/>
          <w:szCs w:val="24"/>
        </w:rPr>
        <w:t>五）、施工现场用电要求</w:t>
      </w:r>
    </w:p>
    <w:p>
      <w:pPr>
        <w:rPr>
          <w:rFonts w:hint="eastAsia" w:ascii="宋体" w:hAnsi="宋体" w:cs="宋体"/>
          <w:kern w:val="0"/>
          <w:sz w:val="24"/>
          <w:szCs w:val="24"/>
        </w:rPr>
      </w:pPr>
      <w:r>
        <w:rPr>
          <w:rFonts w:hint="eastAsia" w:ascii="宋体" w:hAnsi="宋体" w:cs="宋体"/>
          <w:kern w:val="0"/>
          <w:sz w:val="24"/>
          <w:szCs w:val="24"/>
        </w:rPr>
        <w:t>1、施工现场应设立临时施工用电系统，照明用电与动力用电需分开设置。</w:t>
      </w:r>
    </w:p>
    <w:p>
      <w:pPr>
        <w:rPr>
          <w:rFonts w:hint="eastAsia" w:ascii="宋体" w:hAnsi="宋体" w:cs="宋体"/>
          <w:kern w:val="0"/>
          <w:sz w:val="24"/>
          <w:szCs w:val="24"/>
        </w:rPr>
      </w:pPr>
      <w:r>
        <w:rPr>
          <w:rFonts w:hint="eastAsia" w:ascii="宋体" w:hAnsi="宋体" w:cs="宋体"/>
          <w:kern w:val="0"/>
          <w:sz w:val="24"/>
          <w:szCs w:val="24"/>
        </w:rPr>
        <w:t>2、安装、维修或拆除临时施工用电系统，应有持证电工完成。</w:t>
      </w:r>
    </w:p>
    <w:p>
      <w:pPr>
        <w:rPr>
          <w:rFonts w:hint="eastAsia" w:ascii="宋体" w:hAnsi="宋体" w:cs="宋体"/>
          <w:kern w:val="0"/>
          <w:sz w:val="24"/>
          <w:szCs w:val="24"/>
        </w:rPr>
      </w:pPr>
      <w:r>
        <w:rPr>
          <w:rFonts w:hint="eastAsia" w:ascii="宋体" w:hAnsi="宋体" w:cs="宋体"/>
          <w:kern w:val="0"/>
          <w:sz w:val="24"/>
          <w:szCs w:val="24"/>
        </w:rPr>
        <w:t>3、临时施工供电开关箱应装设漏电保护器，进入开关箱的电源线不得用插销连接；箱体结构、箱内电器设置及使用应符合规范要求；箱体的安装位置、高度及周边通道应符合规范要求。</w:t>
      </w:r>
    </w:p>
    <w:p>
      <w:pPr>
        <w:rPr>
          <w:rFonts w:hint="eastAsia" w:ascii="宋体" w:hAnsi="宋体" w:cs="宋体"/>
          <w:kern w:val="0"/>
          <w:sz w:val="24"/>
          <w:szCs w:val="24"/>
        </w:rPr>
      </w:pPr>
      <w:r>
        <w:rPr>
          <w:rFonts w:hint="eastAsia" w:ascii="宋体" w:hAnsi="宋体" w:cs="宋体"/>
          <w:kern w:val="0"/>
          <w:sz w:val="24"/>
          <w:szCs w:val="24"/>
        </w:rPr>
        <w:t>4、临时用电线路应避开易燃、易爆物品堆放地。</w:t>
      </w:r>
    </w:p>
    <w:p>
      <w:pPr>
        <w:rPr>
          <w:rFonts w:hint="eastAsia" w:ascii="宋体" w:hAnsi="宋体" w:cs="宋体"/>
          <w:kern w:val="0"/>
          <w:sz w:val="24"/>
          <w:szCs w:val="24"/>
        </w:rPr>
      </w:pPr>
      <w:r>
        <w:rPr>
          <w:rFonts w:hint="eastAsia" w:ascii="宋体" w:hAnsi="宋体" w:cs="宋体"/>
          <w:kern w:val="0"/>
          <w:sz w:val="24"/>
          <w:szCs w:val="24"/>
        </w:rPr>
        <w:t>5、灯具金属外壳应接保护零线，灯具与地面、易燃物间的距离应符合规范要求。</w:t>
      </w:r>
    </w:p>
    <w:p>
      <w:pPr>
        <w:rPr>
          <w:rFonts w:hint="eastAsia" w:ascii="宋体" w:hAnsi="宋体" w:cs="宋体"/>
          <w:kern w:val="0"/>
          <w:sz w:val="24"/>
          <w:szCs w:val="24"/>
        </w:rPr>
      </w:pPr>
      <w:r>
        <w:rPr>
          <w:rFonts w:hint="eastAsia" w:ascii="宋体" w:hAnsi="宋体" w:cs="宋体"/>
          <w:kern w:val="0"/>
          <w:sz w:val="24"/>
          <w:szCs w:val="24"/>
        </w:rPr>
        <w:t>6、暂停施工时应切断电源。</w:t>
      </w:r>
    </w:p>
    <w:p>
      <w:pPr>
        <w:rPr>
          <w:rFonts w:ascii="宋体" w:hAnsi="宋体" w:cs="宋体"/>
          <w:kern w:val="0"/>
          <w:sz w:val="24"/>
          <w:szCs w:val="24"/>
        </w:rPr>
      </w:pPr>
    </w:p>
    <w:p>
      <w:pPr>
        <w:rPr>
          <w:rFonts w:hint="eastAsia" w:ascii="宋体" w:hAnsi="宋体" w:cs="宋体"/>
          <w:kern w:val="0"/>
          <w:sz w:val="24"/>
          <w:szCs w:val="24"/>
        </w:rPr>
      </w:pPr>
      <w:r>
        <w:rPr>
          <w:rFonts w:hint="eastAsia" w:ascii="宋体" w:hAnsi="宋体" w:cs="宋体"/>
          <w:kern w:val="0"/>
          <w:sz w:val="24"/>
          <w:szCs w:val="24"/>
        </w:rPr>
        <w:t>六）、施工现场用水要求</w:t>
      </w:r>
    </w:p>
    <w:p>
      <w:pPr>
        <w:rPr>
          <w:rFonts w:hint="eastAsia" w:ascii="宋体" w:hAnsi="宋体" w:cs="宋体"/>
          <w:kern w:val="0"/>
          <w:sz w:val="24"/>
          <w:szCs w:val="24"/>
        </w:rPr>
      </w:pPr>
      <w:r>
        <w:rPr>
          <w:rFonts w:hint="eastAsia" w:ascii="宋体" w:hAnsi="宋体" w:cs="宋体"/>
          <w:kern w:val="0"/>
          <w:sz w:val="24"/>
          <w:szCs w:val="24"/>
        </w:rPr>
        <w:t>1、不得在未作防水的地面蓄水。</w:t>
      </w:r>
    </w:p>
    <w:p>
      <w:pPr>
        <w:rPr>
          <w:rFonts w:hint="eastAsia" w:ascii="宋体" w:hAnsi="宋体" w:cs="宋体"/>
          <w:kern w:val="0"/>
          <w:sz w:val="24"/>
          <w:szCs w:val="24"/>
        </w:rPr>
      </w:pPr>
      <w:r>
        <w:rPr>
          <w:rFonts w:hint="eastAsia" w:ascii="宋体" w:hAnsi="宋体" w:cs="宋体"/>
          <w:kern w:val="0"/>
          <w:sz w:val="24"/>
          <w:szCs w:val="24"/>
        </w:rPr>
        <w:t>2、临时用水管不得有破损、滴漏。</w:t>
      </w:r>
    </w:p>
    <w:p>
      <w:pPr>
        <w:rPr>
          <w:rFonts w:hint="eastAsia" w:ascii="宋体" w:hAnsi="宋体" w:cs="宋体"/>
          <w:kern w:val="0"/>
          <w:sz w:val="24"/>
          <w:szCs w:val="24"/>
        </w:rPr>
      </w:pPr>
      <w:r>
        <w:rPr>
          <w:rFonts w:hint="eastAsia" w:ascii="宋体" w:hAnsi="宋体" w:cs="宋体"/>
          <w:kern w:val="0"/>
          <w:sz w:val="24"/>
          <w:szCs w:val="24"/>
        </w:rPr>
        <w:t>3、暂停施工时应切断水源。</w:t>
      </w:r>
    </w:p>
    <w:p>
      <w:pPr>
        <w:rPr>
          <w:rFonts w:hint="eastAsia" w:ascii="宋体" w:hAnsi="宋体" w:cs="宋体"/>
          <w:kern w:val="0"/>
          <w:sz w:val="24"/>
          <w:szCs w:val="24"/>
        </w:rPr>
      </w:pPr>
      <w:r>
        <w:rPr>
          <w:rFonts w:hint="eastAsia" w:ascii="宋体" w:hAnsi="宋体" w:cs="宋体"/>
          <w:kern w:val="0"/>
          <w:sz w:val="24"/>
          <w:szCs w:val="24"/>
        </w:rPr>
        <w:t>七）、施工机具的安全使用要求</w:t>
      </w:r>
    </w:p>
    <w:p>
      <w:pPr>
        <w:rPr>
          <w:rFonts w:hint="eastAsia" w:ascii="宋体" w:hAnsi="宋体" w:cs="宋体"/>
          <w:kern w:val="0"/>
          <w:sz w:val="24"/>
          <w:szCs w:val="24"/>
        </w:rPr>
      </w:pPr>
      <w:r>
        <w:rPr>
          <w:rFonts w:hint="eastAsia" w:ascii="宋体" w:hAnsi="宋体" w:cs="宋体"/>
          <w:kern w:val="0"/>
          <w:sz w:val="24"/>
          <w:szCs w:val="24"/>
        </w:rPr>
        <w:t>1、平刨应设置护手和保护罩等安全装置；保护零线应单独设置，并安装漏电保护装置；不得使用同台电机驱动多种刃具、钻具的多功能木工机具。</w:t>
      </w:r>
    </w:p>
    <w:p>
      <w:pPr>
        <w:rPr>
          <w:rFonts w:hint="eastAsia" w:ascii="宋体" w:hAnsi="宋体" w:cs="宋体"/>
          <w:kern w:val="0"/>
          <w:sz w:val="24"/>
          <w:szCs w:val="24"/>
        </w:rPr>
      </w:pPr>
      <w:r>
        <w:rPr>
          <w:rFonts w:hint="eastAsia" w:ascii="宋体" w:hAnsi="宋体" w:cs="宋体"/>
          <w:kern w:val="0"/>
          <w:sz w:val="24"/>
          <w:szCs w:val="24"/>
        </w:rPr>
        <w:t>2、圆盘锯应设置防护罩、分料器、防护挡板等安全装置；保护零线应单独设置，并安装漏电保护装置；不得使用同台电机驱动多种刃具、钻具的多功能木工机具。</w:t>
      </w:r>
    </w:p>
    <w:p>
      <w:pPr>
        <w:rPr>
          <w:rFonts w:hint="eastAsia" w:ascii="宋体" w:hAnsi="宋体" w:cs="宋体"/>
          <w:kern w:val="0"/>
          <w:sz w:val="24"/>
          <w:szCs w:val="24"/>
        </w:rPr>
      </w:pPr>
      <w:r>
        <w:rPr>
          <w:rFonts w:hint="eastAsia" w:ascii="宋体" w:hAnsi="宋体" w:cs="宋体"/>
          <w:kern w:val="0"/>
          <w:sz w:val="24"/>
          <w:szCs w:val="24"/>
        </w:rPr>
        <w:t>3、Ⅰ类手持电动工具应单独设置保护零线，并应安装漏电保护装置；使用Ⅰ类手持电动工具应按规定戴绝缘手套、穿绝缘鞋；手持电动工具的电源线应保持出厂时的状态，不得接长使用。</w:t>
      </w:r>
    </w:p>
    <w:p>
      <w:pPr>
        <w:rPr>
          <w:rFonts w:hint="eastAsia" w:ascii="宋体" w:hAnsi="宋体" w:cs="宋体"/>
          <w:kern w:val="0"/>
          <w:sz w:val="24"/>
          <w:szCs w:val="24"/>
        </w:rPr>
      </w:pPr>
      <w:r>
        <w:rPr>
          <w:rFonts w:hint="eastAsia" w:ascii="宋体" w:hAnsi="宋体" w:cs="宋体"/>
          <w:kern w:val="0"/>
          <w:sz w:val="24"/>
          <w:szCs w:val="24"/>
        </w:rPr>
        <w:t>4、电焊机的保护零线应单独设置，并应安装漏电保护装置；应设置二次空载降压保护装置；电焊机一次线长度不得超过5m，并应穿管保护，二次线应采用防水橡皮护套铜芯电缆；接线柱应设置防护罩。</w:t>
      </w:r>
    </w:p>
    <w:p>
      <w:pPr>
        <w:rPr>
          <w:rFonts w:hint="eastAsia" w:ascii="宋体" w:hAnsi="宋体" w:cs="宋体"/>
          <w:kern w:val="0"/>
          <w:sz w:val="24"/>
          <w:szCs w:val="24"/>
        </w:rPr>
      </w:pPr>
      <w:r>
        <w:rPr>
          <w:rFonts w:hint="eastAsia" w:ascii="宋体" w:hAnsi="宋体" w:cs="宋体"/>
          <w:kern w:val="0"/>
          <w:sz w:val="24"/>
          <w:szCs w:val="24"/>
        </w:rPr>
        <w:t>八）、高处作业的安全要求</w:t>
      </w:r>
    </w:p>
    <w:p>
      <w:pPr>
        <w:rPr>
          <w:rFonts w:hint="eastAsia" w:ascii="宋体" w:hAnsi="宋体" w:cs="宋体"/>
          <w:kern w:val="0"/>
          <w:sz w:val="24"/>
          <w:szCs w:val="24"/>
        </w:rPr>
      </w:pPr>
      <w:r>
        <w:rPr>
          <w:rFonts w:hint="eastAsia" w:ascii="宋体" w:hAnsi="宋体" w:cs="宋体"/>
          <w:kern w:val="0"/>
          <w:sz w:val="24"/>
          <w:szCs w:val="24"/>
        </w:rPr>
        <w:t>1、攀登作业的梯脚底部应坚实，不得垫高使用；折梯使用时上部夹角应为35°-45°，并应设有可靠的拉撑装置；梯子的材质和制作质量应符合规范要求。</w:t>
      </w:r>
    </w:p>
    <w:p>
      <w:pPr>
        <w:rPr>
          <w:rFonts w:hint="eastAsia" w:ascii="宋体" w:hAnsi="宋体" w:cs="宋体"/>
          <w:kern w:val="0"/>
          <w:sz w:val="24"/>
          <w:szCs w:val="24"/>
        </w:rPr>
      </w:pPr>
      <w:r>
        <w:rPr>
          <w:rFonts w:hint="eastAsia" w:ascii="宋体" w:hAnsi="宋体" w:cs="宋体"/>
          <w:kern w:val="0"/>
          <w:sz w:val="24"/>
          <w:szCs w:val="24"/>
        </w:rPr>
        <w:t>2、悬空作业人员应系挂安全带、佩戴工具袋，使用的索具、吊具应经验收合格才能使用，同时应采取可靠的安全措施进行防护。</w:t>
      </w:r>
    </w:p>
    <w:p>
      <w:pPr>
        <w:rPr>
          <w:rFonts w:hint="eastAsia" w:ascii="宋体" w:hAnsi="宋体" w:cs="宋体"/>
          <w:kern w:val="0"/>
          <w:sz w:val="24"/>
          <w:szCs w:val="24"/>
        </w:rPr>
      </w:pPr>
      <w:r>
        <w:rPr>
          <w:rFonts w:hint="eastAsia" w:ascii="宋体" w:hAnsi="宋体" w:cs="宋体"/>
          <w:kern w:val="0"/>
          <w:sz w:val="24"/>
          <w:szCs w:val="24"/>
        </w:rPr>
        <w:t>九）、对装饰装修工程施工中相关安全的处罚标准：</w:t>
      </w:r>
    </w:p>
    <w:p>
      <w:pPr>
        <w:widowControl/>
        <w:spacing w:before="100" w:beforeAutospacing="1" w:after="100" w:afterAutospacing="1" w:line="440" w:lineRule="atLeast"/>
        <w:jc w:val="left"/>
        <w:rPr>
          <w:rFonts w:hint="eastAsia" w:ascii="宋体" w:hAnsi="宋体" w:cs="宋体"/>
          <w:kern w:val="0"/>
          <w:sz w:val="24"/>
          <w:szCs w:val="24"/>
        </w:rPr>
      </w:pPr>
    </w:p>
    <w:p>
      <w:pPr>
        <w:widowControl/>
        <w:spacing w:before="100" w:beforeAutospacing="1" w:after="100" w:afterAutospacing="1" w:line="440" w:lineRule="atLeast"/>
        <w:jc w:val="left"/>
        <w:rPr>
          <w:rFonts w:hint="eastAsia" w:ascii="宋体" w:hAnsi="宋体" w:cs="宋体"/>
          <w:kern w:val="0"/>
          <w:sz w:val="24"/>
          <w:szCs w:val="24"/>
        </w:rPr>
      </w:pPr>
    </w:p>
    <w:p>
      <w:pPr>
        <w:widowControl/>
        <w:spacing w:before="100" w:beforeAutospacing="1" w:after="100" w:afterAutospacing="1" w:line="440" w:lineRule="atLeast"/>
        <w:jc w:val="left"/>
        <w:rPr>
          <w:rFonts w:hint="eastAsia" w:ascii="宋体" w:hAnsi="宋体" w:cs="宋体"/>
          <w:kern w:val="0"/>
          <w:sz w:val="24"/>
          <w:szCs w:val="24"/>
        </w:rPr>
      </w:pPr>
    </w:p>
    <w:p>
      <w:pPr>
        <w:widowControl/>
        <w:spacing w:before="100" w:beforeAutospacing="1" w:after="100" w:afterAutospacing="1" w:line="440" w:lineRule="atLeast"/>
        <w:jc w:val="left"/>
        <w:rPr>
          <w:rFonts w:hint="eastAsia" w:ascii="宋体" w:hAnsi="宋体" w:cs="宋体"/>
          <w:kern w:val="0"/>
          <w:sz w:val="24"/>
          <w:szCs w:val="24"/>
        </w:rPr>
      </w:pPr>
    </w:p>
    <w:tbl>
      <w:tblPr>
        <w:tblStyle w:val="14"/>
        <w:tblW w:w="8897"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544"/>
        <w:gridCol w:w="3260"/>
        <w:gridCol w:w="11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1" w:hRule="atLeast"/>
        </w:trPr>
        <w:tc>
          <w:tcPr>
            <w:tcW w:w="959" w:type="dxa"/>
            <w:noWrap w:val="0"/>
            <w:vAlign w:val="center"/>
          </w:tcPr>
          <w:p>
            <w:pPr>
              <w:jc w:val="center"/>
              <w:rPr>
                <w:rFonts w:ascii="宋体" w:hAnsi="宋体"/>
                <w:szCs w:val="21"/>
              </w:rPr>
            </w:pPr>
            <w:r>
              <w:rPr>
                <w:rFonts w:hint="eastAsia" w:ascii="宋体" w:hAnsi="宋体" w:cs="宋体"/>
                <w:kern w:val="0"/>
                <w:sz w:val="24"/>
                <w:szCs w:val="24"/>
              </w:rPr>
              <w:t xml:space="preserve">                               </w:t>
            </w:r>
            <w:r>
              <w:rPr>
                <w:rFonts w:hint="eastAsia" w:ascii="宋体" w:hAnsi="宋体"/>
                <w:szCs w:val="21"/>
              </w:rPr>
              <w:t>序号</w:t>
            </w:r>
          </w:p>
        </w:tc>
        <w:tc>
          <w:tcPr>
            <w:tcW w:w="3544" w:type="dxa"/>
            <w:noWrap w:val="0"/>
            <w:vAlign w:val="center"/>
          </w:tcPr>
          <w:p>
            <w:pPr>
              <w:spacing w:line="360" w:lineRule="auto"/>
              <w:jc w:val="center"/>
              <w:rPr>
                <w:rFonts w:ascii="宋体" w:hAnsi="宋体"/>
                <w:szCs w:val="21"/>
              </w:rPr>
            </w:pPr>
            <w:r>
              <w:rPr>
                <w:rFonts w:hint="eastAsia" w:ascii="宋体" w:hAnsi="宋体"/>
                <w:szCs w:val="21"/>
              </w:rPr>
              <w:t>整改项目内容</w:t>
            </w:r>
          </w:p>
        </w:tc>
        <w:tc>
          <w:tcPr>
            <w:tcW w:w="3260" w:type="dxa"/>
            <w:noWrap w:val="0"/>
            <w:vAlign w:val="center"/>
          </w:tcPr>
          <w:p>
            <w:pPr>
              <w:spacing w:line="360" w:lineRule="auto"/>
              <w:jc w:val="center"/>
              <w:rPr>
                <w:rFonts w:ascii="宋体" w:hAnsi="宋体"/>
                <w:szCs w:val="21"/>
              </w:rPr>
            </w:pPr>
            <w:r>
              <w:rPr>
                <w:rFonts w:hint="eastAsia" w:ascii="宋体" w:hAnsi="宋体"/>
                <w:szCs w:val="21"/>
              </w:rPr>
              <w:t>处罚标准（人民币）</w:t>
            </w:r>
          </w:p>
        </w:tc>
        <w:tc>
          <w:tcPr>
            <w:tcW w:w="1134" w:type="dxa"/>
            <w:noWrap w:val="0"/>
            <w:vAlign w:val="center"/>
          </w:tcPr>
          <w:p>
            <w:pPr>
              <w:spacing w:line="360" w:lineRule="auto"/>
              <w:jc w:val="center"/>
              <w:rPr>
                <w:rFonts w:ascii="宋体" w:hAnsi="宋体"/>
                <w:szCs w:val="21"/>
              </w:rPr>
            </w:pPr>
            <w:r>
              <w:rPr>
                <w:rFonts w:hint="eastAsia" w:ascii="宋体" w:hAnsi="宋体"/>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9" w:type="dxa"/>
            <w:noWrap w:val="0"/>
            <w:vAlign w:val="center"/>
          </w:tcPr>
          <w:p>
            <w:pPr>
              <w:jc w:val="center"/>
              <w:rPr>
                <w:rFonts w:ascii="宋体" w:hAnsi="宋体"/>
                <w:bCs/>
                <w:szCs w:val="21"/>
              </w:rPr>
            </w:pPr>
            <w:r>
              <w:rPr>
                <w:rFonts w:hint="eastAsia" w:ascii="宋体" w:hAnsi="宋体"/>
                <w:bCs/>
                <w:szCs w:val="21"/>
              </w:rPr>
              <w:t>1</w:t>
            </w:r>
          </w:p>
        </w:tc>
        <w:tc>
          <w:tcPr>
            <w:tcW w:w="3544" w:type="dxa"/>
            <w:noWrap w:val="0"/>
            <w:vAlign w:val="center"/>
          </w:tcPr>
          <w:p>
            <w:pPr>
              <w:rPr>
                <w:rFonts w:ascii="宋体" w:hAnsi="宋体"/>
                <w:szCs w:val="21"/>
              </w:rPr>
            </w:pPr>
            <w:r>
              <w:rPr>
                <w:rFonts w:hint="eastAsia" w:ascii="宋体" w:hAnsi="宋体"/>
                <w:szCs w:val="21"/>
              </w:rPr>
              <w:t>未办手续擅自进场施工，除补办手续外还需进行罚款。</w:t>
            </w:r>
          </w:p>
        </w:tc>
        <w:tc>
          <w:tcPr>
            <w:tcW w:w="3260" w:type="dxa"/>
            <w:noWrap w:val="0"/>
            <w:vAlign w:val="center"/>
          </w:tcPr>
          <w:p>
            <w:pPr>
              <w:spacing w:line="360" w:lineRule="auto"/>
              <w:rPr>
                <w:rFonts w:ascii="宋体" w:hAnsi="宋体"/>
                <w:bCs/>
                <w:szCs w:val="21"/>
              </w:rPr>
            </w:pPr>
            <w:r>
              <w:rPr>
                <w:rFonts w:hint="eastAsia" w:ascii="宋体" w:hAnsi="宋体"/>
                <w:bCs/>
                <w:szCs w:val="21"/>
              </w:rPr>
              <w:t>300元/每次</w:t>
            </w:r>
          </w:p>
        </w:tc>
        <w:tc>
          <w:tcPr>
            <w:tcW w:w="1134" w:type="dxa"/>
            <w:noWrap w:val="0"/>
            <w:vAlign w:val="center"/>
          </w:tcPr>
          <w:p>
            <w:pPr>
              <w:spacing w:line="360" w:lineRule="auto"/>
              <w:rPr>
                <w:rFonts w:ascii="宋体" w:hAnsi="宋体"/>
                <w:bCs/>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9" w:type="dxa"/>
            <w:noWrap w:val="0"/>
            <w:vAlign w:val="center"/>
          </w:tcPr>
          <w:p>
            <w:pPr>
              <w:jc w:val="center"/>
              <w:rPr>
                <w:rFonts w:ascii="宋体" w:hAnsi="宋体"/>
                <w:bCs/>
                <w:szCs w:val="21"/>
              </w:rPr>
            </w:pPr>
            <w:r>
              <w:rPr>
                <w:rFonts w:hint="eastAsia" w:ascii="宋体" w:hAnsi="宋体"/>
                <w:bCs/>
                <w:szCs w:val="21"/>
              </w:rPr>
              <w:t>2</w:t>
            </w:r>
          </w:p>
        </w:tc>
        <w:tc>
          <w:tcPr>
            <w:tcW w:w="3544" w:type="dxa"/>
            <w:noWrap w:val="0"/>
            <w:vAlign w:val="center"/>
          </w:tcPr>
          <w:p>
            <w:pPr>
              <w:spacing w:line="360" w:lineRule="auto"/>
              <w:rPr>
                <w:rFonts w:ascii="宋体" w:hAnsi="宋体"/>
                <w:szCs w:val="21"/>
              </w:rPr>
            </w:pPr>
            <w:r>
              <w:rPr>
                <w:rFonts w:hint="eastAsia" w:ascii="宋体" w:hAnsi="宋体"/>
                <w:szCs w:val="21"/>
              </w:rPr>
              <w:t>施工现场未按要求进行围蔽。</w:t>
            </w:r>
          </w:p>
        </w:tc>
        <w:tc>
          <w:tcPr>
            <w:tcW w:w="3260" w:type="dxa"/>
            <w:noWrap w:val="0"/>
            <w:vAlign w:val="center"/>
          </w:tcPr>
          <w:p>
            <w:pPr>
              <w:spacing w:line="360" w:lineRule="auto"/>
              <w:rPr>
                <w:rFonts w:ascii="宋体" w:hAnsi="宋体"/>
                <w:bCs/>
                <w:szCs w:val="21"/>
              </w:rPr>
            </w:pPr>
            <w:r>
              <w:rPr>
                <w:rFonts w:hint="eastAsia" w:ascii="宋体" w:hAnsi="宋体"/>
                <w:bCs/>
                <w:szCs w:val="21"/>
              </w:rPr>
              <w:t>1000元/每处</w:t>
            </w:r>
          </w:p>
        </w:tc>
        <w:tc>
          <w:tcPr>
            <w:tcW w:w="1134" w:type="dxa"/>
            <w:noWrap w:val="0"/>
            <w:vAlign w:val="center"/>
          </w:tcPr>
          <w:p>
            <w:pPr>
              <w:spacing w:line="360" w:lineRule="auto"/>
              <w:rPr>
                <w:rFonts w:ascii="宋体" w:hAnsi="宋体"/>
                <w:bCs/>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9" w:type="dxa"/>
            <w:noWrap w:val="0"/>
            <w:vAlign w:val="center"/>
          </w:tcPr>
          <w:p>
            <w:pPr>
              <w:jc w:val="center"/>
              <w:rPr>
                <w:rFonts w:ascii="宋体" w:hAnsi="宋体"/>
                <w:bCs/>
                <w:szCs w:val="21"/>
              </w:rPr>
            </w:pPr>
            <w:r>
              <w:rPr>
                <w:rFonts w:hint="eastAsia" w:ascii="宋体" w:hAnsi="宋体"/>
                <w:bCs/>
                <w:szCs w:val="21"/>
              </w:rPr>
              <w:t>3</w:t>
            </w:r>
          </w:p>
        </w:tc>
        <w:tc>
          <w:tcPr>
            <w:tcW w:w="3544" w:type="dxa"/>
            <w:noWrap w:val="0"/>
            <w:vAlign w:val="center"/>
          </w:tcPr>
          <w:p>
            <w:pPr>
              <w:spacing w:line="360" w:lineRule="auto"/>
              <w:rPr>
                <w:rFonts w:ascii="宋体" w:hAnsi="宋体"/>
                <w:bCs/>
                <w:szCs w:val="21"/>
              </w:rPr>
            </w:pPr>
            <w:r>
              <w:rPr>
                <w:rFonts w:hint="eastAsia" w:ascii="宋体" w:hAnsi="宋体"/>
                <w:bCs/>
                <w:szCs w:val="21"/>
              </w:rPr>
              <w:t>施工现场人为破坏绿化草地。</w:t>
            </w:r>
          </w:p>
        </w:tc>
        <w:tc>
          <w:tcPr>
            <w:tcW w:w="3260" w:type="dxa"/>
            <w:noWrap w:val="0"/>
            <w:vAlign w:val="center"/>
          </w:tcPr>
          <w:p>
            <w:pPr>
              <w:spacing w:line="360" w:lineRule="auto"/>
              <w:rPr>
                <w:rFonts w:ascii="宋体" w:hAnsi="宋体"/>
                <w:bCs/>
                <w:szCs w:val="21"/>
              </w:rPr>
            </w:pPr>
            <w:r>
              <w:rPr>
                <w:rFonts w:hint="eastAsia" w:ascii="宋体" w:hAnsi="宋体"/>
                <w:bCs/>
                <w:szCs w:val="21"/>
              </w:rPr>
              <w:t>300元/每平米/每处</w:t>
            </w:r>
          </w:p>
        </w:tc>
        <w:tc>
          <w:tcPr>
            <w:tcW w:w="1134" w:type="dxa"/>
            <w:noWrap w:val="0"/>
            <w:vAlign w:val="center"/>
          </w:tcPr>
          <w:p>
            <w:pPr>
              <w:spacing w:line="360" w:lineRule="auto"/>
              <w:rPr>
                <w:rFonts w:ascii="宋体" w:hAnsi="宋体"/>
                <w:bCs/>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9" w:type="dxa"/>
            <w:noWrap w:val="0"/>
            <w:vAlign w:val="center"/>
          </w:tcPr>
          <w:p>
            <w:pPr>
              <w:jc w:val="center"/>
              <w:rPr>
                <w:rFonts w:ascii="宋体" w:hAnsi="宋体"/>
                <w:bCs/>
                <w:szCs w:val="21"/>
              </w:rPr>
            </w:pPr>
            <w:r>
              <w:rPr>
                <w:rFonts w:hint="eastAsia" w:ascii="宋体" w:hAnsi="宋体"/>
                <w:bCs/>
                <w:szCs w:val="21"/>
              </w:rPr>
              <w:t>4</w:t>
            </w:r>
          </w:p>
        </w:tc>
        <w:tc>
          <w:tcPr>
            <w:tcW w:w="3544" w:type="dxa"/>
            <w:noWrap w:val="0"/>
            <w:vAlign w:val="center"/>
          </w:tcPr>
          <w:p>
            <w:pPr>
              <w:rPr>
                <w:rFonts w:ascii="宋体" w:hAnsi="宋体"/>
                <w:bCs/>
                <w:szCs w:val="21"/>
              </w:rPr>
            </w:pPr>
            <w:r>
              <w:rPr>
                <w:rFonts w:hint="eastAsia" w:ascii="宋体" w:hAnsi="宋体"/>
                <w:bCs/>
                <w:szCs w:val="21"/>
              </w:rPr>
              <w:t>刷漆、喷漆作业将漆涂在地面或墙面未及时进行清理。</w:t>
            </w:r>
          </w:p>
        </w:tc>
        <w:tc>
          <w:tcPr>
            <w:tcW w:w="3260" w:type="dxa"/>
            <w:noWrap w:val="0"/>
            <w:vAlign w:val="center"/>
          </w:tcPr>
          <w:p>
            <w:pPr>
              <w:spacing w:line="360" w:lineRule="auto"/>
              <w:rPr>
                <w:rFonts w:ascii="宋体" w:hAnsi="宋体"/>
                <w:bCs/>
                <w:szCs w:val="21"/>
              </w:rPr>
            </w:pPr>
            <w:r>
              <w:rPr>
                <w:rFonts w:hint="eastAsia" w:ascii="宋体" w:hAnsi="宋体"/>
                <w:bCs/>
                <w:szCs w:val="21"/>
              </w:rPr>
              <w:t>300元/每平米/每处</w:t>
            </w:r>
          </w:p>
        </w:tc>
        <w:tc>
          <w:tcPr>
            <w:tcW w:w="1134" w:type="dxa"/>
            <w:noWrap w:val="0"/>
            <w:vAlign w:val="center"/>
          </w:tcPr>
          <w:p>
            <w:pPr>
              <w:spacing w:line="360" w:lineRule="auto"/>
              <w:rPr>
                <w:rFonts w:ascii="宋体" w:hAnsi="宋体"/>
                <w:bCs/>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9" w:type="dxa"/>
            <w:noWrap w:val="0"/>
            <w:vAlign w:val="center"/>
          </w:tcPr>
          <w:p>
            <w:pPr>
              <w:jc w:val="center"/>
              <w:rPr>
                <w:rFonts w:ascii="宋体" w:hAnsi="宋体"/>
                <w:bCs/>
                <w:szCs w:val="21"/>
              </w:rPr>
            </w:pPr>
            <w:r>
              <w:rPr>
                <w:rFonts w:hint="eastAsia" w:ascii="宋体" w:hAnsi="宋体"/>
                <w:bCs/>
                <w:szCs w:val="21"/>
              </w:rPr>
              <w:t>5</w:t>
            </w:r>
          </w:p>
        </w:tc>
        <w:tc>
          <w:tcPr>
            <w:tcW w:w="3544" w:type="dxa"/>
            <w:noWrap w:val="0"/>
            <w:vAlign w:val="center"/>
          </w:tcPr>
          <w:p>
            <w:pPr>
              <w:spacing w:line="360" w:lineRule="auto"/>
              <w:rPr>
                <w:rFonts w:ascii="宋体" w:hAnsi="宋体"/>
                <w:bCs/>
                <w:szCs w:val="21"/>
              </w:rPr>
            </w:pPr>
            <w:r>
              <w:rPr>
                <w:rFonts w:hint="eastAsia" w:ascii="宋体" w:hAnsi="宋体"/>
                <w:bCs/>
                <w:szCs w:val="21"/>
              </w:rPr>
              <w:t>未按要求随意堆放施工材料。</w:t>
            </w:r>
          </w:p>
        </w:tc>
        <w:tc>
          <w:tcPr>
            <w:tcW w:w="3260" w:type="dxa"/>
            <w:noWrap w:val="0"/>
            <w:vAlign w:val="center"/>
          </w:tcPr>
          <w:p>
            <w:pPr>
              <w:spacing w:line="360" w:lineRule="auto"/>
              <w:rPr>
                <w:rFonts w:ascii="宋体" w:hAnsi="宋体"/>
                <w:bCs/>
                <w:szCs w:val="21"/>
              </w:rPr>
            </w:pPr>
            <w:r>
              <w:rPr>
                <w:rFonts w:hint="eastAsia" w:ascii="宋体" w:hAnsi="宋体"/>
                <w:bCs/>
                <w:szCs w:val="21"/>
              </w:rPr>
              <w:t>500元/每次/每处</w:t>
            </w:r>
          </w:p>
        </w:tc>
        <w:tc>
          <w:tcPr>
            <w:tcW w:w="1134" w:type="dxa"/>
            <w:noWrap w:val="0"/>
            <w:vAlign w:val="center"/>
          </w:tcPr>
          <w:p>
            <w:pPr>
              <w:spacing w:line="360" w:lineRule="auto"/>
              <w:rPr>
                <w:rFonts w:ascii="宋体" w:hAnsi="宋体"/>
                <w:bCs/>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9" w:type="dxa"/>
            <w:noWrap w:val="0"/>
            <w:vAlign w:val="center"/>
          </w:tcPr>
          <w:p>
            <w:pPr>
              <w:jc w:val="center"/>
              <w:rPr>
                <w:rFonts w:ascii="宋体" w:hAnsi="宋体"/>
                <w:bCs/>
                <w:szCs w:val="21"/>
              </w:rPr>
            </w:pPr>
            <w:r>
              <w:rPr>
                <w:rFonts w:hint="eastAsia" w:ascii="宋体" w:hAnsi="宋体"/>
                <w:bCs/>
                <w:szCs w:val="21"/>
              </w:rPr>
              <w:t>6</w:t>
            </w:r>
          </w:p>
        </w:tc>
        <w:tc>
          <w:tcPr>
            <w:tcW w:w="3544" w:type="dxa"/>
            <w:noWrap w:val="0"/>
            <w:vAlign w:val="center"/>
          </w:tcPr>
          <w:p>
            <w:pPr>
              <w:rPr>
                <w:rFonts w:ascii="宋体" w:hAnsi="宋体"/>
                <w:bCs/>
                <w:szCs w:val="21"/>
              </w:rPr>
            </w:pPr>
            <w:r>
              <w:rPr>
                <w:rFonts w:hint="eastAsia" w:ascii="宋体" w:hAnsi="宋体"/>
                <w:bCs/>
                <w:szCs w:val="21"/>
              </w:rPr>
              <w:t>未按要求随意堆放施工垃圾，未按要求及时清运施工垃圾。</w:t>
            </w:r>
          </w:p>
        </w:tc>
        <w:tc>
          <w:tcPr>
            <w:tcW w:w="3260" w:type="dxa"/>
            <w:noWrap w:val="0"/>
            <w:vAlign w:val="center"/>
          </w:tcPr>
          <w:p>
            <w:pPr>
              <w:spacing w:line="360" w:lineRule="auto"/>
              <w:rPr>
                <w:rFonts w:ascii="宋体" w:hAnsi="宋体"/>
                <w:bCs/>
                <w:szCs w:val="21"/>
              </w:rPr>
            </w:pPr>
            <w:r>
              <w:rPr>
                <w:rFonts w:hint="eastAsia" w:ascii="宋体" w:hAnsi="宋体"/>
                <w:bCs/>
                <w:szCs w:val="21"/>
              </w:rPr>
              <w:t>500元/每次/每车</w:t>
            </w:r>
          </w:p>
        </w:tc>
        <w:tc>
          <w:tcPr>
            <w:tcW w:w="1134" w:type="dxa"/>
            <w:noWrap w:val="0"/>
            <w:vAlign w:val="center"/>
          </w:tcPr>
          <w:p>
            <w:pPr>
              <w:spacing w:line="360" w:lineRule="auto"/>
              <w:rPr>
                <w:rFonts w:ascii="宋体" w:hAnsi="宋体"/>
                <w:bCs/>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9" w:type="dxa"/>
            <w:noWrap w:val="0"/>
            <w:vAlign w:val="center"/>
          </w:tcPr>
          <w:p>
            <w:pPr>
              <w:jc w:val="center"/>
              <w:rPr>
                <w:rFonts w:ascii="宋体" w:hAnsi="宋体"/>
                <w:bCs/>
                <w:szCs w:val="21"/>
              </w:rPr>
            </w:pPr>
            <w:r>
              <w:rPr>
                <w:rFonts w:hint="eastAsia" w:ascii="宋体" w:hAnsi="宋体"/>
                <w:bCs/>
                <w:szCs w:val="21"/>
              </w:rPr>
              <w:t>7</w:t>
            </w:r>
          </w:p>
        </w:tc>
        <w:tc>
          <w:tcPr>
            <w:tcW w:w="3544" w:type="dxa"/>
            <w:noWrap w:val="0"/>
            <w:vAlign w:val="center"/>
          </w:tcPr>
          <w:p>
            <w:pPr>
              <w:rPr>
                <w:rFonts w:ascii="宋体" w:hAnsi="宋体"/>
                <w:bCs/>
                <w:szCs w:val="21"/>
              </w:rPr>
            </w:pPr>
            <w:r>
              <w:rPr>
                <w:rFonts w:hint="eastAsia" w:ascii="宋体" w:hAnsi="宋体"/>
                <w:bCs/>
                <w:szCs w:val="21"/>
              </w:rPr>
              <w:t>施工人员未佩戴临时施工证进场施工。</w:t>
            </w:r>
          </w:p>
        </w:tc>
        <w:tc>
          <w:tcPr>
            <w:tcW w:w="3260" w:type="dxa"/>
            <w:noWrap w:val="0"/>
            <w:vAlign w:val="center"/>
          </w:tcPr>
          <w:p>
            <w:pPr>
              <w:spacing w:line="360" w:lineRule="auto"/>
              <w:rPr>
                <w:rFonts w:ascii="宋体" w:hAnsi="宋体"/>
                <w:bCs/>
                <w:szCs w:val="21"/>
              </w:rPr>
            </w:pPr>
            <w:r>
              <w:rPr>
                <w:rFonts w:hint="eastAsia" w:ascii="宋体" w:hAnsi="宋体"/>
                <w:bCs/>
                <w:szCs w:val="21"/>
              </w:rPr>
              <w:t>100元/每人</w:t>
            </w:r>
          </w:p>
        </w:tc>
        <w:tc>
          <w:tcPr>
            <w:tcW w:w="1134" w:type="dxa"/>
            <w:noWrap w:val="0"/>
            <w:vAlign w:val="center"/>
          </w:tcPr>
          <w:p>
            <w:pPr>
              <w:spacing w:line="360" w:lineRule="auto"/>
              <w:rPr>
                <w:rFonts w:ascii="宋体" w:hAnsi="宋体"/>
                <w:bCs/>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9" w:type="dxa"/>
            <w:noWrap w:val="0"/>
            <w:vAlign w:val="center"/>
          </w:tcPr>
          <w:p>
            <w:pPr>
              <w:jc w:val="center"/>
              <w:rPr>
                <w:rFonts w:ascii="宋体" w:hAnsi="宋体"/>
                <w:bCs/>
                <w:szCs w:val="21"/>
              </w:rPr>
            </w:pPr>
            <w:r>
              <w:rPr>
                <w:rFonts w:hint="eastAsia" w:ascii="宋体" w:hAnsi="宋体"/>
                <w:bCs/>
                <w:szCs w:val="21"/>
              </w:rPr>
              <w:t>8</w:t>
            </w:r>
          </w:p>
        </w:tc>
        <w:tc>
          <w:tcPr>
            <w:tcW w:w="3544" w:type="dxa"/>
            <w:noWrap w:val="0"/>
            <w:vAlign w:val="center"/>
          </w:tcPr>
          <w:p>
            <w:pPr>
              <w:rPr>
                <w:rFonts w:ascii="宋体" w:hAnsi="宋体"/>
                <w:bCs/>
                <w:szCs w:val="21"/>
              </w:rPr>
            </w:pPr>
            <w:r>
              <w:rPr>
                <w:rFonts w:hint="eastAsia" w:ascii="宋体" w:hAnsi="宋体"/>
                <w:bCs/>
                <w:szCs w:val="21"/>
              </w:rPr>
              <w:t>超时施工或未在规定时间内施工并发出噪音，整改直至责令停工</w:t>
            </w:r>
          </w:p>
        </w:tc>
        <w:tc>
          <w:tcPr>
            <w:tcW w:w="3260" w:type="dxa"/>
            <w:noWrap w:val="0"/>
            <w:vAlign w:val="center"/>
          </w:tcPr>
          <w:p>
            <w:pPr>
              <w:spacing w:line="360" w:lineRule="auto"/>
              <w:rPr>
                <w:rFonts w:ascii="宋体" w:hAnsi="宋体"/>
                <w:bCs/>
                <w:szCs w:val="21"/>
              </w:rPr>
            </w:pPr>
            <w:r>
              <w:rPr>
                <w:rFonts w:hint="eastAsia" w:ascii="宋体" w:hAnsi="宋体"/>
                <w:bCs/>
                <w:szCs w:val="21"/>
              </w:rPr>
              <w:t>300元/每人/每次</w:t>
            </w:r>
          </w:p>
        </w:tc>
        <w:tc>
          <w:tcPr>
            <w:tcW w:w="1134" w:type="dxa"/>
            <w:noWrap w:val="0"/>
            <w:vAlign w:val="center"/>
          </w:tcPr>
          <w:p>
            <w:pPr>
              <w:spacing w:line="360" w:lineRule="auto"/>
              <w:rPr>
                <w:rFonts w:ascii="宋体" w:hAnsi="宋体"/>
                <w:bCs/>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9" w:type="dxa"/>
            <w:noWrap w:val="0"/>
            <w:vAlign w:val="center"/>
          </w:tcPr>
          <w:p>
            <w:pPr>
              <w:jc w:val="center"/>
              <w:rPr>
                <w:rFonts w:ascii="宋体" w:hAnsi="宋体"/>
                <w:bCs/>
                <w:szCs w:val="21"/>
              </w:rPr>
            </w:pPr>
            <w:r>
              <w:rPr>
                <w:rFonts w:hint="eastAsia" w:ascii="宋体" w:hAnsi="宋体"/>
                <w:bCs/>
                <w:szCs w:val="21"/>
              </w:rPr>
              <w:t>9</w:t>
            </w:r>
          </w:p>
        </w:tc>
        <w:tc>
          <w:tcPr>
            <w:tcW w:w="3544" w:type="dxa"/>
            <w:noWrap w:val="0"/>
            <w:vAlign w:val="center"/>
          </w:tcPr>
          <w:p>
            <w:pPr>
              <w:rPr>
                <w:rFonts w:ascii="宋体" w:hAnsi="宋体"/>
                <w:bCs/>
                <w:szCs w:val="21"/>
              </w:rPr>
            </w:pPr>
            <w:r>
              <w:rPr>
                <w:rFonts w:hint="eastAsia" w:ascii="宋体" w:hAnsi="宋体"/>
                <w:bCs/>
                <w:szCs w:val="21"/>
              </w:rPr>
              <w:t>施工人员违规使用水、电</w:t>
            </w:r>
          </w:p>
        </w:tc>
        <w:tc>
          <w:tcPr>
            <w:tcW w:w="3260" w:type="dxa"/>
            <w:noWrap w:val="0"/>
            <w:vAlign w:val="center"/>
          </w:tcPr>
          <w:p>
            <w:pPr>
              <w:spacing w:line="360" w:lineRule="auto"/>
              <w:rPr>
                <w:rFonts w:ascii="宋体" w:hAnsi="宋体"/>
                <w:bCs/>
                <w:szCs w:val="21"/>
              </w:rPr>
            </w:pPr>
            <w:r>
              <w:rPr>
                <w:rFonts w:hint="eastAsia" w:ascii="宋体" w:hAnsi="宋体"/>
                <w:bCs/>
                <w:szCs w:val="21"/>
              </w:rPr>
              <w:t>300元/每人/每次</w:t>
            </w:r>
          </w:p>
        </w:tc>
        <w:tc>
          <w:tcPr>
            <w:tcW w:w="1134" w:type="dxa"/>
            <w:noWrap w:val="0"/>
            <w:vAlign w:val="center"/>
          </w:tcPr>
          <w:p>
            <w:pPr>
              <w:spacing w:line="360" w:lineRule="auto"/>
              <w:rPr>
                <w:rFonts w:ascii="宋体" w:hAnsi="宋体"/>
                <w:bCs/>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9" w:type="dxa"/>
            <w:noWrap w:val="0"/>
            <w:vAlign w:val="center"/>
          </w:tcPr>
          <w:p>
            <w:pPr>
              <w:jc w:val="center"/>
              <w:rPr>
                <w:rFonts w:ascii="宋体" w:hAnsi="宋体"/>
                <w:bCs/>
                <w:szCs w:val="21"/>
              </w:rPr>
            </w:pPr>
            <w:r>
              <w:rPr>
                <w:rFonts w:hint="eastAsia" w:ascii="宋体" w:hAnsi="宋体"/>
                <w:bCs/>
                <w:szCs w:val="21"/>
              </w:rPr>
              <w:t>10</w:t>
            </w:r>
          </w:p>
        </w:tc>
        <w:tc>
          <w:tcPr>
            <w:tcW w:w="3544" w:type="dxa"/>
            <w:noWrap w:val="0"/>
            <w:vAlign w:val="center"/>
          </w:tcPr>
          <w:p>
            <w:pPr>
              <w:rPr>
                <w:rFonts w:ascii="宋体" w:hAnsi="宋体"/>
                <w:bCs/>
                <w:szCs w:val="21"/>
              </w:rPr>
            </w:pPr>
            <w:r>
              <w:rPr>
                <w:rFonts w:hint="eastAsia" w:ascii="宋体" w:hAnsi="宋体"/>
                <w:bCs/>
                <w:szCs w:val="21"/>
              </w:rPr>
              <w:t>施工单位按面积配备2—4个灭火器</w:t>
            </w:r>
          </w:p>
        </w:tc>
        <w:tc>
          <w:tcPr>
            <w:tcW w:w="3260" w:type="dxa"/>
            <w:noWrap w:val="0"/>
            <w:vAlign w:val="center"/>
          </w:tcPr>
          <w:p>
            <w:pPr>
              <w:spacing w:line="360" w:lineRule="auto"/>
              <w:rPr>
                <w:rFonts w:ascii="宋体" w:hAnsi="宋体"/>
                <w:bCs/>
                <w:szCs w:val="21"/>
              </w:rPr>
            </w:pPr>
            <w:r>
              <w:rPr>
                <w:rFonts w:hint="eastAsia" w:ascii="宋体" w:hAnsi="宋体"/>
                <w:bCs/>
                <w:szCs w:val="21"/>
              </w:rPr>
              <w:t>200元/每处</w:t>
            </w:r>
          </w:p>
        </w:tc>
        <w:tc>
          <w:tcPr>
            <w:tcW w:w="1134" w:type="dxa"/>
            <w:noWrap w:val="0"/>
            <w:vAlign w:val="center"/>
          </w:tcPr>
          <w:p>
            <w:pPr>
              <w:spacing w:line="360" w:lineRule="auto"/>
              <w:rPr>
                <w:rFonts w:ascii="宋体" w:hAnsi="宋体"/>
                <w:bCs/>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9" w:type="dxa"/>
            <w:noWrap w:val="0"/>
            <w:vAlign w:val="center"/>
          </w:tcPr>
          <w:p>
            <w:pPr>
              <w:jc w:val="center"/>
              <w:rPr>
                <w:rFonts w:ascii="宋体" w:hAnsi="宋体"/>
                <w:bCs/>
                <w:szCs w:val="21"/>
              </w:rPr>
            </w:pPr>
            <w:r>
              <w:rPr>
                <w:rFonts w:hint="eastAsia" w:ascii="宋体" w:hAnsi="宋体"/>
                <w:bCs/>
                <w:szCs w:val="21"/>
              </w:rPr>
              <w:t>11</w:t>
            </w:r>
          </w:p>
        </w:tc>
        <w:tc>
          <w:tcPr>
            <w:tcW w:w="3544" w:type="dxa"/>
            <w:noWrap w:val="0"/>
            <w:vAlign w:val="center"/>
          </w:tcPr>
          <w:p>
            <w:pPr>
              <w:rPr>
                <w:rFonts w:ascii="宋体" w:hAnsi="宋体"/>
                <w:bCs/>
                <w:szCs w:val="21"/>
              </w:rPr>
            </w:pPr>
            <w:r>
              <w:rPr>
                <w:rFonts w:hint="eastAsia" w:ascii="宋体" w:hAnsi="宋体"/>
                <w:bCs/>
                <w:szCs w:val="21"/>
              </w:rPr>
              <w:t>施工人员在非吸烟区吸烟</w:t>
            </w:r>
          </w:p>
        </w:tc>
        <w:tc>
          <w:tcPr>
            <w:tcW w:w="3260" w:type="dxa"/>
            <w:noWrap w:val="0"/>
            <w:vAlign w:val="center"/>
          </w:tcPr>
          <w:p>
            <w:pPr>
              <w:spacing w:line="360" w:lineRule="auto"/>
              <w:rPr>
                <w:rFonts w:ascii="宋体" w:hAnsi="宋体"/>
                <w:bCs/>
                <w:szCs w:val="21"/>
              </w:rPr>
            </w:pPr>
            <w:r>
              <w:rPr>
                <w:rFonts w:hint="eastAsia" w:ascii="宋体" w:hAnsi="宋体"/>
                <w:bCs/>
                <w:szCs w:val="21"/>
              </w:rPr>
              <w:t>200元/每人</w:t>
            </w:r>
          </w:p>
        </w:tc>
        <w:tc>
          <w:tcPr>
            <w:tcW w:w="1134" w:type="dxa"/>
            <w:noWrap w:val="0"/>
            <w:vAlign w:val="center"/>
          </w:tcPr>
          <w:p>
            <w:pPr>
              <w:spacing w:line="360" w:lineRule="auto"/>
              <w:rPr>
                <w:rFonts w:ascii="宋体" w:hAnsi="宋体"/>
                <w:bCs/>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9" w:type="dxa"/>
            <w:noWrap w:val="0"/>
            <w:vAlign w:val="center"/>
          </w:tcPr>
          <w:p>
            <w:pPr>
              <w:jc w:val="center"/>
              <w:rPr>
                <w:rFonts w:ascii="宋体" w:hAnsi="宋体"/>
                <w:bCs/>
                <w:szCs w:val="21"/>
              </w:rPr>
            </w:pPr>
            <w:r>
              <w:rPr>
                <w:rFonts w:hint="eastAsia" w:ascii="宋体" w:hAnsi="宋体"/>
                <w:bCs/>
                <w:szCs w:val="21"/>
              </w:rPr>
              <w:t>12</w:t>
            </w:r>
          </w:p>
        </w:tc>
        <w:tc>
          <w:tcPr>
            <w:tcW w:w="3544" w:type="dxa"/>
            <w:noWrap w:val="0"/>
            <w:vAlign w:val="center"/>
          </w:tcPr>
          <w:p>
            <w:pPr>
              <w:rPr>
                <w:rFonts w:ascii="宋体" w:hAnsi="宋体"/>
                <w:bCs/>
                <w:szCs w:val="21"/>
              </w:rPr>
            </w:pPr>
            <w:r>
              <w:rPr>
                <w:rFonts w:hint="eastAsia" w:ascii="宋体" w:hAnsi="宋体"/>
                <w:bCs/>
                <w:szCs w:val="21"/>
              </w:rPr>
              <w:t>动火作业但未办理动火许可证</w:t>
            </w:r>
          </w:p>
        </w:tc>
        <w:tc>
          <w:tcPr>
            <w:tcW w:w="3260" w:type="dxa"/>
            <w:noWrap w:val="0"/>
            <w:vAlign w:val="center"/>
          </w:tcPr>
          <w:p>
            <w:pPr>
              <w:spacing w:line="360" w:lineRule="auto"/>
              <w:rPr>
                <w:rFonts w:ascii="宋体" w:hAnsi="宋体"/>
                <w:bCs/>
                <w:szCs w:val="21"/>
              </w:rPr>
            </w:pPr>
            <w:r>
              <w:rPr>
                <w:rFonts w:hint="eastAsia" w:ascii="宋体" w:hAnsi="宋体"/>
                <w:bCs/>
                <w:szCs w:val="21"/>
              </w:rPr>
              <w:t>200元/每次</w:t>
            </w:r>
          </w:p>
        </w:tc>
        <w:tc>
          <w:tcPr>
            <w:tcW w:w="1134" w:type="dxa"/>
            <w:noWrap w:val="0"/>
            <w:vAlign w:val="center"/>
          </w:tcPr>
          <w:p>
            <w:pPr>
              <w:spacing w:line="360" w:lineRule="auto"/>
              <w:rPr>
                <w:rFonts w:ascii="宋体" w:hAnsi="宋体"/>
                <w:bCs/>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9" w:type="dxa"/>
            <w:noWrap w:val="0"/>
            <w:vAlign w:val="center"/>
          </w:tcPr>
          <w:p>
            <w:pPr>
              <w:jc w:val="center"/>
              <w:rPr>
                <w:rFonts w:ascii="宋体" w:hAnsi="宋体"/>
                <w:bCs/>
                <w:szCs w:val="21"/>
              </w:rPr>
            </w:pPr>
            <w:r>
              <w:rPr>
                <w:rFonts w:hint="eastAsia" w:ascii="宋体" w:hAnsi="宋体"/>
                <w:bCs/>
                <w:szCs w:val="21"/>
              </w:rPr>
              <w:t>13</w:t>
            </w:r>
          </w:p>
        </w:tc>
        <w:tc>
          <w:tcPr>
            <w:tcW w:w="3544" w:type="dxa"/>
            <w:noWrap w:val="0"/>
            <w:vAlign w:val="center"/>
          </w:tcPr>
          <w:p>
            <w:pPr>
              <w:rPr>
                <w:rFonts w:ascii="宋体" w:hAnsi="宋体"/>
                <w:bCs/>
                <w:szCs w:val="21"/>
              </w:rPr>
            </w:pPr>
            <w:r>
              <w:rPr>
                <w:rFonts w:hint="eastAsia" w:ascii="宋体" w:hAnsi="宋体"/>
                <w:bCs/>
                <w:szCs w:val="21"/>
              </w:rPr>
              <w:t>在规定时间外进行施工作业</w:t>
            </w:r>
          </w:p>
        </w:tc>
        <w:tc>
          <w:tcPr>
            <w:tcW w:w="3260" w:type="dxa"/>
            <w:noWrap w:val="0"/>
            <w:vAlign w:val="center"/>
          </w:tcPr>
          <w:p>
            <w:pPr>
              <w:spacing w:line="360" w:lineRule="auto"/>
              <w:rPr>
                <w:rFonts w:ascii="宋体" w:hAnsi="宋体"/>
                <w:bCs/>
                <w:szCs w:val="21"/>
              </w:rPr>
            </w:pPr>
            <w:r>
              <w:rPr>
                <w:rFonts w:hint="eastAsia" w:ascii="宋体" w:hAnsi="宋体"/>
                <w:bCs/>
                <w:szCs w:val="21"/>
              </w:rPr>
              <w:t>300元/每次</w:t>
            </w:r>
          </w:p>
        </w:tc>
        <w:tc>
          <w:tcPr>
            <w:tcW w:w="1134" w:type="dxa"/>
            <w:noWrap w:val="0"/>
            <w:vAlign w:val="center"/>
          </w:tcPr>
          <w:p>
            <w:pPr>
              <w:spacing w:line="360" w:lineRule="auto"/>
              <w:rPr>
                <w:rFonts w:ascii="宋体" w:hAnsi="宋体"/>
                <w:bCs/>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9" w:type="dxa"/>
            <w:noWrap w:val="0"/>
            <w:vAlign w:val="center"/>
          </w:tcPr>
          <w:p>
            <w:pPr>
              <w:jc w:val="center"/>
              <w:rPr>
                <w:rFonts w:ascii="宋体" w:hAnsi="宋体"/>
                <w:bCs/>
                <w:szCs w:val="21"/>
              </w:rPr>
            </w:pPr>
            <w:r>
              <w:rPr>
                <w:rFonts w:hint="eastAsia" w:ascii="宋体" w:hAnsi="宋体"/>
                <w:bCs/>
                <w:szCs w:val="21"/>
              </w:rPr>
              <w:t>14</w:t>
            </w:r>
          </w:p>
        </w:tc>
        <w:tc>
          <w:tcPr>
            <w:tcW w:w="3544" w:type="dxa"/>
            <w:noWrap w:val="0"/>
            <w:vAlign w:val="center"/>
          </w:tcPr>
          <w:p>
            <w:pPr>
              <w:rPr>
                <w:rFonts w:ascii="宋体" w:hAnsi="宋体"/>
                <w:bCs/>
                <w:szCs w:val="21"/>
              </w:rPr>
            </w:pPr>
            <w:r>
              <w:rPr>
                <w:rFonts w:hint="eastAsia" w:ascii="宋体" w:hAnsi="宋体"/>
                <w:bCs/>
                <w:szCs w:val="21"/>
              </w:rPr>
              <w:t>施工人员不服从管理且态度恶劣者</w:t>
            </w:r>
          </w:p>
        </w:tc>
        <w:tc>
          <w:tcPr>
            <w:tcW w:w="3260" w:type="dxa"/>
            <w:noWrap w:val="0"/>
            <w:vAlign w:val="center"/>
          </w:tcPr>
          <w:p>
            <w:pPr>
              <w:spacing w:line="360" w:lineRule="auto"/>
              <w:rPr>
                <w:rFonts w:ascii="宋体" w:hAnsi="宋体"/>
                <w:bCs/>
                <w:szCs w:val="21"/>
              </w:rPr>
            </w:pPr>
            <w:r>
              <w:rPr>
                <w:rFonts w:hint="eastAsia" w:ascii="宋体" w:hAnsi="宋体"/>
                <w:bCs/>
                <w:szCs w:val="21"/>
              </w:rPr>
              <w:t>500.00元/每次/每人</w:t>
            </w:r>
          </w:p>
        </w:tc>
        <w:tc>
          <w:tcPr>
            <w:tcW w:w="1134" w:type="dxa"/>
            <w:noWrap w:val="0"/>
            <w:vAlign w:val="center"/>
          </w:tcPr>
          <w:p>
            <w:pPr>
              <w:spacing w:line="360" w:lineRule="auto"/>
              <w:rPr>
                <w:rFonts w:ascii="宋体" w:hAnsi="宋体"/>
                <w:bCs/>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9" w:type="dxa"/>
            <w:noWrap w:val="0"/>
            <w:vAlign w:val="center"/>
          </w:tcPr>
          <w:p>
            <w:pPr>
              <w:jc w:val="center"/>
              <w:rPr>
                <w:rFonts w:ascii="宋体" w:hAnsi="宋体"/>
                <w:bCs/>
                <w:szCs w:val="21"/>
              </w:rPr>
            </w:pPr>
            <w:r>
              <w:rPr>
                <w:rFonts w:hint="eastAsia" w:ascii="宋体" w:hAnsi="宋体"/>
                <w:bCs/>
                <w:szCs w:val="21"/>
              </w:rPr>
              <w:t>15</w:t>
            </w:r>
          </w:p>
        </w:tc>
        <w:tc>
          <w:tcPr>
            <w:tcW w:w="3544" w:type="dxa"/>
            <w:noWrap w:val="0"/>
            <w:vAlign w:val="center"/>
          </w:tcPr>
          <w:p>
            <w:pPr>
              <w:rPr>
                <w:rFonts w:ascii="宋体" w:hAnsi="宋体"/>
                <w:bCs/>
                <w:szCs w:val="21"/>
              </w:rPr>
            </w:pPr>
            <w:r>
              <w:rPr>
                <w:rFonts w:hint="eastAsia" w:ascii="宋体" w:hAnsi="宋体"/>
                <w:bCs/>
                <w:szCs w:val="21"/>
              </w:rPr>
              <w:t>施工人员人为损坏物品</w:t>
            </w:r>
          </w:p>
        </w:tc>
        <w:tc>
          <w:tcPr>
            <w:tcW w:w="3260" w:type="dxa"/>
            <w:noWrap w:val="0"/>
            <w:vAlign w:val="center"/>
          </w:tcPr>
          <w:p>
            <w:pPr>
              <w:rPr>
                <w:rFonts w:ascii="宋体" w:hAnsi="宋体"/>
                <w:bCs/>
                <w:szCs w:val="21"/>
              </w:rPr>
            </w:pPr>
            <w:r>
              <w:rPr>
                <w:rFonts w:hint="eastAsia" w:ascii="宋体" w:hAnsi="宋体"/>
                <w:bCs/>
                <w:szCs w:val="21"/>
              </w:rPr>
              <w:t>按物品价值双倍赔偿</w:t>
            </w:r>
          </w:p>
        </w:tc>
        <w:tc>
          <w:tcPr>
            <w:tcW w:w="1134" w:type="dxa"/>
            <w:noWrap w:val="0"/>
            <w:vAlign w:val="center"/>
          </w:tcPr>
          <w:p>
            <w:pPr>
              <w:spacing w:line="360" w:lineRule="auto"/>
              <w:rPr>
                <w:rFonts w:ascii="宋体" w:hAnsi="宋体"/>
                <w:bCs/>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59" w:type="dxa"/>
            <w:noWrap w:val="0"/>
            <w:vAlign w:val="top"/>
          </w:tcPr>
          <w:p>
            <w:pPr>
              <w:spacing w:line="360" w:lineRule="auto"/>
              <w:rPr>
                <w:rFonts w:ascii="宋体" w:hAnsi="宋体"/>
                <w:bCs/>
                <w:szCs w:val="21"/>
              </w:rPr>
            </w:pPr>
            <w:r>
              <w:rPr>
                <w:rFonts w:hint="eastAsia" w:ascii="宋体" w:hAnsi="宋体"/>
                <w:bCs/>
                <w:szCs w:val="21"/>
              </w:rPr>
              <w:t>备注：</w:t>
            </w:r>
          </w:p>
        </w:tc>
        <w:tc>
          <w:tcPr>
            <w:tcW w:w="7938" w:type="dxa"/>
            <w:gridSpan w:val="3"/>
            <w:noWrap w:val="0"/>
            <w:vAlign w:val="top"/>
          </w:tcPr>
          <w:p>
            <w:pPr>
              <w:spacing w:line="360" w:lineRule="auto"/>
              <w:rPr>
                <w:rFonts w:ascii="宋体" w:hAnsi="宋体"/>
                <w:bCs/>
                <w:szCs w:val="21"/>
              </w:rPr>
            </w:pPr>
            <w:r>
              <w:rPr>
                <w:rFonts w:hint="eastAsia" w:ascii="宋体" w:hAnsi="宋体"/>
                <w:bCs/>
                <w:szCs w:val="21"/>
              </w:rPr>
              <w:t>如有补充，将另行通知。</w:t>
            </w:r>
          </w:p>
        </w:tc>
      </w:tr>
    </w:tbl>
    <w:p>
      <w:pPr>
        <w:widowControl/>
        <w:spacing w:before="100" w:beforeAutospacing="1" w:after="100" w:afterAutospacing="1" w:line="440" w:lineRule="atLeast"/>
        <w:jc w:val="left"/>
        <w:rPr>
          <w:rFonts w:hint="eastAsia" w:ascii="宋体" w:hAnsi="宋体" w:cs="宋体"/>
          <w:kern w:val="0"/>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1" w:usb1="080E0000" w:usb2="00000010" w:usb3="00000000" w:csb0="00040000" w:csb1="00000000"/>
  </w:font>
  <w:font w:name="仿宋_GB2312">
    <w:altName w:val="仿宋"/>
    <w:panose1 w:val="02010609030101010101"/>
    <w:charset w:val="86"/>
    <w:family w:val="modern"/>
    <w:pitch w:val="default"/>
    <w:sig w:usb0="00000000" w:usb1="080E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ind w:left="420" w:hanging="420"/>
      </w:pPr>
      <w:rPr>
        <w:rFonts w:hint="default" w:ascii="Times New Roman" w:hAnsi="Times New Roman" w:cs="Times New Roman"/>
        <w:u w:val="none" w:color="000000"/>
      </w:rPr>
    </w:lvl>
    <w:lvl w:ilvl="1" w:tentative="0">
      <w:start w:val="1"/>
      <w:numFmt w:val="lowerLetter"/>
      <w:lvlText w:val="%2)"/>
      <w:lvlJc w:val="left"/>
      <w:pPr>
        <w:ind w:left="840" w:hanging="420"/>
      </w:pPr>
      <w:rPr>
        <w:rFonts w:hint="default" w:ascii="Times New Roman" w:hAnsi="Times New Roman" w:cs="Times New Roman"/>
        <w:u w:val="none" w:color="000000"/>
      </w:rPr>
    </w:lvl>
    <w:lvl w:ilvl="2" w:tentative="0">
      <w:start w:val="1"/>
      <w:numFmt w:val="lowerRoman"/>
      <w:lvlText w:val="%3."/>
      <w:lvlJc w:val="right"/>
      <w:pPr>
        <w:ind w:left="1260" w:hanging="420"/>
      </w:pPr>
      <w:rPr>
        <w:rFonts w:hint="default" w:ascii="Times New Roman" w:hAnsi="Times New Roman" w:cs="Times New Roman"/>
        <w:u w:val="none" w:color="000000"/>
      </w:rPr>
    </w:lvl>
    <w:lvl w:ilvl="3" w:tentative="0">
      <w:start w:val="1"/>
      <w:numFmt w:val="decimal"/>
      <w:lvlText w:val="%4."/>
      <w:lvlJc w:val="left"/>
      <w:pPr>
        <w:ind w:left="1680" w:hanging="420"/>
      </w:pPr>
      <w:rPr>
        <w:rFonts w:hint="default" w:ascii="Times New Roman" w:hAnsi="Times New Roman" w:cs="Times New Roman"/>
        <w:u w:val="none" w:color="000000"/>
      </w:rPr>
    </w:lvl>
    <w:lvl w:ilvl="4" w:tentative="0">
      <w:start w:val="1"/>
      <w:numFmt w:val="lowerLetter"/>
      <w:lvlText w:val="%5)"/>
      <w:lvlJc w:val="left"/>
      <w:pPr>
        <w:ind w:left="2100" w:hanging="420"/>
      </w:pPr>
      <w:rPr>
        <w:rFonts w:hint="default" w:ascii="Times New Roman" w:hAnsi="Times New Roman" w:cs="Times New Roman"/>
        <w:u w:val="none" w:color="000000"/>
      </w:rPr>
    </w:lvl>
    <w:lvl w:ilvl="5" w:tentative="0">
      <w:start w:val="1"/>
      <w:numFmt w:val="lowerRoman"/>
      <w:lvlText w:val="%6."/>
      <w:lvlJc w:val="right"/>
      <w:pPr>
        <w:ind w:left="2520" w:hanging="420"/>
      </w:pPr>
      <w:rPr>
        <w:rFonts w:hint="default" w:ascii="Times New Roman" w:hAnsi="Times New Roman" w:cs="Times New Roman"/>
        <w:u w:val="none" w:color="000000"/>
      </w:rPr>
    </w:lvl>
    <w:lvl w:ilvl="6" w:tentative="0">
      <w:start w:val="1"/>
      <w:numFmt w:val="decimal"/>
      <w:lvlText w:val="%7."/>
      <w:lvlJc w:val="left"/>
      <w:pPr>
        <w:ind w:left="2940" w:hanging="420"/>
      </w:pPr>
      <w:rPr>
        <w:rFonts w:hint="default" w:ascii="Times New Roman" w:hAnsi="Times New Roman" w:cs="Times New Roman"/>
        <w:u w:val="none" w:color="000000"/>
      </w:rPr>
    </w:lvl>
    <w:lvl w:ilvl="7" w:tentative="0">
      <w:start w:val="1"/>
      <w:numFmt w:val="lowerLetter"/>
      <w:lvlText w:val="%8)"/>
      <w:lvlJc w:val="left"/>
      <w:pPr>
        <w:ind w:left="3360" w:hanging="420"/>
      </w:pPr>
      <w:rPr>
        <w:rFonts w:hint="default" w:ascii="Times New Roman" w:hAnsi="Times New Roman" w:cs="Times New Roman"/>
        <w:u w:val="none" w:color="000000"/>
      </w:rPr>
    </w:lvl>
    <w:lvl w:ilvl="8" w:tentative="0">
      <w:start w:val="1"/>
      <w:numFmt w:val="lowerRoman"/>
      <w:lvlText w:val="%9."/>
      <w:lvlJc w:val="right"/>
      <w:pPr>
        <w:ind w:left="3780" w:hanging="420"/>
      </w:pPr>
      <w:rPr>
        <w:rFonts w:hint="default" w:ascii="Times New Roman" w:hAnsi="Times New Roman" w:cs="Times New Roman"/>
        <w:u w:val="none" w:color="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yMGIwMjdlMjEwZjEyYWNjMDJmNmNjMjRhZGQzZWMifQ=="/>
  </w:docVars>
  <w:rsids>
    <w:rsidRoot w:val="00172A27"/>
    <w:rsid w:val="00001673"/>
    <w:rsid w:val="0000326E"/>
    <w:rsid w:val="00003804"/>
    <w:rsid w:val="00010D8B"/>
    <w:rsid w:val="000142FB"/>
    <w:rsid w:val="00030C6A"/>
    <w:rsid w:val="00031DE8"/>
    <w:rsid w:val="00036014"/>
    <w:rsid w:val="0003684A"/>
    <w:rsid w:val="0003709C"/>
    <w:rsid w:val="000429F1"/>
    <w:rsid w:val="000451F0"/>
    <w:rsid w:val="00055D57"/>
    <w:rsid w:val="00062681"/>
    <w:rsid w:val="00063604"/>
    <w:rsid w:val="00064313"/>
    <w:rsid w:val="000646B5"/>
    <w:rsid w:val="00064A4E"/>
    <w:rsid w:val="000664A5"/>
    <w:rsid w:val="000701E6"/>
    <w:rsid w:val="00071301"/>
    <w:rsid w:val="0007237C"/>
    <w:rsid w:val="00075EA3"/>
    <w:rsid w:val="00076977"/>
    <w:rsid w:val="000816F0"/>
    <w:rsid w:val="000955E2"/>
    <w:rsid w:val="00097E6A"/>
    <w:rsid w:val="000A0946"/>
    <w:rsid w:val="000A3A09"/>
    <w:rsid w:val="000A4811"/>
    <w:rsid w:val="000A5036"/>
    <w:rsid w:val="000A5D93"/>
    <w:rsid w:val="000A7464"/>
    <w:rsid w:val="000B1508"/>
    <w:rsid w:val="000B1C64"/>
    <w:rsid w:val="000B344A"/>
    <w:rsid w:val="000B48A6"/>
    <w:rsid w:val="000B7295"/>
    <w:rsid w:val="000C083E"/>
    <w:rsid w:val="000C1371"/>
    <w:rsid w:val="000C3DD7"/>
    <w:rsid w:val="000C685E"/>
    <w:rsid w:val="000C6962"/>
    <w:rsid w:val="000C770F"/>
    <w:rsid w:val="000D7B3D"/>
    <w:rsid w:val="000E0E2C"/>
    <w:rsid w:val="000E3935"/>
    <w:rsid w:val="000E6A1E"/>
    <w:rsid w:val="000F6802"/>
    <w:rsid w:val="000F739C"/>
    <w:rsid w:val="00101C7A"/>
    <w:rsid w:val="0010698A"/>
    <w:rsid w:val="001133E1"/>
    <w:rsid w:val="00115CB7"/>
    <w:rsid w:val="00125247"/>
    <w:rsid w:val="00130382"/>
    <w:rsid w:val="00132F81"/>
    <w:rsid w:val="00137665"/>
    <w:rsid w:val="00145B76"/>
    <w:rsid w:val="00155C97"/>
    <w:rsid w:val="00156CD4"/>
    <w:rsid w:val="0016315D"/>
    <w:rsid w:val="0016427B"/>
    <w:rsid w:val="00164C48"/>
    <w:rsid w:val="001671F4"/>
    <w:rsid w:val="00175F41"/>
    <w:rsid w:val="001815FA"/>
    <w:rsid w:val="00181F5F"/>
    <w:rsid w:val="00184E8A"/>
    <w:rsid w:val="0018579C"/>
    <w:rsid w:val="00192813"/>
    <w:rsid w:val="001A1DE7"/>
    <w:rsid w:val="001A234F"/>
    <w:rsid w:val="001A23B1"/>
    <w:rsid w:val="001B0F6F"/>
    <w:rsid w:val="001B1B6B"/>
    <w:rsid w:val="001B5CD8"/>
    <w:rsid w:val="001C1B87"/>
    <w:rsid w:val="001C3EEF"/>
    <w:rsid w:val="001C4EB9"/>
    <w:rsid w:val="001C79A7"/>
    <w:rsid w:val="001D0C33"/>
    <w:rsid w:val="001D2D87"/>
    <w:rsid w:val="001D3159"/>
    <w:rsid w:val="001D40DA"/>
    <w:rsid w:val="001D6458"/>
    <w:rsid w:val="001D7097"/>
    <w:rsid w:val="001D7B54"/>
    <w:rsid w:val="001E41C7"/>
    <w:rsid w:val="001E5A84"/>
    <w:rsid w:val="001E630E"/>
    <w:rsid w:val="001E6C66"/>
    <w:rsid w:val="001F0CA6"/>
    <w:rsid w:val="001F288C"/>
    <w:rsid w:val="001F3C1A"/>
    <w:rsid w:val="001F43D6"/>
    <w:rsid w:val="001F6AC2"/>
    <w:rsid w:val="00202E8D"/>
    <w:rsid w:val="002056A9"/>
    <w:rsid w:val="002074BA"/>
    <w:rsid w:val="00217E6C"/>
    <w:rsid w:val="0022487D"/>
    <w:rsid w:val="0023176C"/>
    <w:rsid w:val="00235A6C"/>
    <w:rsid w:val="002377F1"/>
    <w:rsid w:val="00237859"/>
    <w:rsid w:val="002422E6"/>
    <w:rsid w:val="0025280B"/>
    <w:rsid w:val="00252EBA"/>
    <w:rsid w:val="0025388A"/>
    <w:rsid w:val="00260103"/>
    <w:rsid w:val="00261F96"/>
    <w:rsid w:val="00262CC2"/>
    <w:rsid w:val="00267696"/>
    <w:rsid w:val="00270902"/>
    <w:rsid w:val="00271626"/>
    <w:rsid w:val="002757FB"/>
    <w:rsid w:val="0027631E"/>
    <w:rsid w:val="00277798"/>
    <w:rsid w:val="00281CAA"/>
    <w:rsid w:val="002844BD"/>
    <w:rsid w:val="00287E63"/>
    <w:rsid w:val="0029018B"/>
    <w:rsid w:val="002945AD"/>
    <w:rsid w:val="00294EF7"/>
    <w:rsid w:val="002957A3"/>
    <w:rsid w:val="00295D2A"/>
    <w:rsid w:val="002A0034"/>
    <w:rsid w:val="002A0A6A"/>
    <w:rsid w:val="002A108D"/>
    <w:rsid w:val="002A6CDD"/>
    <w:rsid w:val="002B10F0"/>
    <w:rsid w:val="002B3B6E"/>
    <w:rsid w:val="002B4F71"/>
    <w:rsid w:val="002B7F0C"/>
    <w:rsid w:val="002C0607"/>
    <w:rsid w:val="002C1984"/>
    <w:rsid w:val="002C1A51"/>
    <w:rsid w:val="002D300B"/>
    <w:rsid w:val="002E06ED"/>
    <w:rsid w:val="002E166F"/>
    <w:rsid w:val="002E2185"/>
    <w:rsid w:val="002F110A"/>
    <w:rsid w:val="002F3AA5"/>
    <w:rsid w:val="002F499D"/>
    <w:rsid w:val="00303697"/>
    <w:rsid w:val="003079FA"/>
    <w:rsid w:val="003114C6"/>
    <w:rsid w:val="00321328"/>
    <w:rsid w:val="003225F5"/>
    <w:rsid w:val="0032363F"/>
    <w:rsid w:val="00325E4F"/>
    <w:rsid w:val="00332267"/>
    <w:rsid w:val="00332C4D"/>
    <w:rsid w:val="0033559F"/>
    <w:rsid w:val="0033563B"/>
    <w:rsid w:val="0034147E"/>
    <w:rsid w:val="00341C39"/>
    <w:rsid w:val="00344797"/>
    <w:rsid w:val="00345ADB"/>
    <w:rsid w:val="00346692"/>
    <w:rsid w:val="0035020C"/>
    <w:rsid w:val="003535FD"/>
    <w:rsid w:val="00354973"/>
    <w:rsid w:val="00357D32"/>
    <w:rsid w:val="00364E0D"/>
    <w:rsid w:val="00366C81"/>
    <w:rsid w:val="00370B2E"/>
    <w:rsid w:val="0037286A"/>
    <w:rsid w:val="0037614C"/>
    <w:rsid w:val="0037685D"/>
    <w:rsid w:val="0038168C"/>
    <w:rsid w:val="003821A8"/>
    <w:rsid w:val="00390C6E"/>
    <w:rsid w:val="00396613"/>
    <w:rsid w:val="003968E8"/>
    <w:rsid w:val="00396D7C"/>
    <w:rsid w:val="003A1684"/>
    <w:rsid w:val="003A2E27"/>
    <w:rsid w:val="003B03CE"/>
    <w:rsid w:val="003B4F00"/>
    <w:rsid w:val="003B7DA1"/>
    <w:rsid w:val="003C1944"/>
    <w:rsid w:val="003C5CB4"/>
    <w:rsid w:val="003D0851"/>
    <w:rsid w:val="003D6392"/>
    <w:rsid w:val="003D7AAE"/>
    <w:rsid w:val="003E1E6D"/>
    <w:rsid w:val="003E2CF3"/>
    <w:rsid w:val="003E2D3A"/>
    <w:rsid w:val="003E51E5"/>
    <w:rsid w:val="003E5E28"/>
    <w:rsid w:val="003E630C"/>
    <w:rsid w:val="003F1411"/>
    <w:rsid w:val="003F431B"/>
    <w:rsid w:val="00400B2C"/>
    <w:rsid w:val="00403B04"/>
    <w:rsid w:val="00414268"/>
    <w:rsid w:val="004158B1"/>
    <w:rsid w:val="00417D8D"/>
    <w:rsid w:val="0042256D"/>
    <w:rsid w:val="004330D5"/>
    <w:rsid w:val="00435611"/>
    <w:rsid w:val="00437C61"/>
    <w:rsid w:val="0044025B"/>
    <w:rsid w:val="00442A95"/>
    <w:rsid w:val="00442B2D"/>
    <w:rsid w:val="00444123"/>
    <w:rsid w:val="0044421F"/>
    <w:rsid w:val="00445AC6"/>
    <w:rsid w:val="004647C3"/>
    <w:rsid w:val="004658BC"/>
    <w:rsid w:val="00467688"/>
    <w:rsid w:val="004B06A1"/>
    <w:rsid w:val="004B18D1"/>
    <w:rsid w:val="004B2EDC"/>
    <w:rsid w:val="004C1EDC"/>
    <w:rsid w:val="004C42E3"/>
    <w:rsid w:val="004C5BF2"/>
    <w:rsid w:val="004C67EE"/>
    <w:rsid w:val="004C6E08"/>
    <w:rsid w:val="004D59D8"/>
    <w:rsid w:val="004D6BFD"/>
    <w:rsid w:val="004E2815"/>
    <w:rsid w:val="004F138A"/>
    <w:rsid w:val="004F2117"/>
    <w:rsid w:val="004F5DFC"/>
    <w:rsid w:val="004F6A90"/>
    <w:rsid w:val="0050082B"/>
    <w:rsid w:val="00502EF2"/>
    <w:rsid w:val="00503103"/>
    <w:rsid w:val="0050650C"/>
    <w:rsid w:val="00506914"/>
    <w:rsid w:val="00514527"/>
    <w:rsid w:val="0051649F"/>
    <w:rsid w:val="00520A1B"/>
    <w:rsid w:val="00520A58"/>
    <w:rsid w:val="00520AA2"/>
    <w:rsid w:val="005232CC"/>
    <w:rsid w:val="00531A5A"/>
    <w:rsid w:val="00536C5A"/>
    <w:rsid w:val="005412BD"/>
    <w:rsid w:val="005429E5"/>
    <w:rsid w:val="00543478"/>
    <w:rsid w:val="0054398C"/>
    <w:rsid w:val="00543BF5"/>
    <w:rsid w:val="005445D6"/>
    <w:rsid w:val="00545445"/>
    <w:rsid w:val="0054576B"/>
    <w:rsid w:val="005464AE"/>
    <w:rsid w:val="00546FCA"/>
    <w:rsid w:val="00555FCC"/>
    <w:rsid w:val="00556EEA"/>
    <w:rsid w:val="00560CB5"/>
    <w:rsid w:val="00562868"/>
    <w:rsid w:val="00565912"/>
    <w:rsid w:val="00572102"/>
    <w:rsid w:val="00573C17"/>
    <w:rsid w:val="00574ABF"/>
    <w:rsid w:val="00575178"/>
    <w:rsid w:val="00577BC3"/>
    <w:rsid w:val="00585B60"/>
    <w:rsid w:val="00591C75"/>
    <w:rsid w:val="00591D58"/>
    <w:rsid w:val="00592D89"/>
    <w:rsid w:val="00594272"/>
    <w:rsid w:val="00595015"/>
    <w:rsid w:val="005B51DB"/>
    <w:rsid w:val="005B6EE8"/>
    <w:rsid w:val="005C15CA"/>
    <w:rsid w:val="005C1E40"/>
    <w:rsid w:val="005C3D7E"/>
    <w:rsid w:val="005C5443"/>
    <w:rsid w:val="005C7F1D"/>
    <w:rsid w:val="005D2325"/>
    <w:rsid w:val="005D52B3"/>
    <w:rsid w:val="005D670A"/>
    <w:rsid w:val="005D6B9C"/>
    <w:rsid w:val="005D7DFF"/>
    <w:rsid w:val="005E0C2F"/>
    <w:rsid w:val="005E1FB6"/>
    <w:rsid w:val="005E3585"/>
    <w:rsid w:val="005E3F86"/>
    <w:rsid w:val="005F08CE"/>
    <w:rsid w:val="005F0A1D"/>
    <w:rsid w:val="005F2D0B"/>
    <w:rsid w:val="005F47C2"/>
    <w:rsid w:val="005F72B2"/>
    <w:rsid w:val="00605F66"/>
    <w:rsid w:val="00606290"/>
    <w:rsid w:val="00610C37"/>
    <w:rsid w:val="006130A8"/>
    <w:rsid w:val="006137B8"/>
    <w:rsid w:val="00620220"/>
    <w:rsid w:val="00620941"/>
    <w:rsid w:val="00622C17"/>
    <w:rsid w:val="00624C3F"/>
    <w:rsid w:val="00627071"/>
    <w:rsid w:val="0062733D"/>
    <w:rsid w:val="006300C5"/>
    <w:rsid w:val="00630384"/>
    <w:rsid w:val="00630C49"/>
    <w:rsid w:val="00633DCF"/>
    <w:rsid w:val="0063558B"/>
    <w:rsid w:val="0064276B"/>
    <w:rsid w:val="00642C58"/>
    <w:rsid w:val="00654EDC"/>
    <w:rsid w:val="00662D41"/>
    <w:rsid w:val="006637B6"/>
    <w:rsid w:val="00663E2D"/>
    <w:rsid w:val="006658DD"/>
    <w:rsid w:val="00667E26"/>
    <w:rsid w:val="00667E34"/>
    <w:rsid w:val="00670C6C"/>
    <w:rsid w:val="00670DA4"/>
    <w:rsid w:val="00672793"/>
    <w:rsid w:val="00672FFB"/>
    <w:rsid w:val="00674AB7"/>
    <w:rsid w:val="0067714D"/>
    <w:rsid w:val="00684368"/>
    <w:rsid w:val="006868E4"/>
    <w:rsid w:val="00687136"/>
    <w:rsid w:val="00694EF5"/>
    <w:rsid w:val="006A1ABF"/>
    <w:rsid w:val="006A3AD2"/>
    <w:rsid w:val="006A6640"/>
    <w:rsid w:val="006B5FEA"/>
    <w:rsid w:val="006B65F8"/>
    <w:rsid w:val="006C5099"/>
    <w:rsid w:val="006C64F5"/>
    <w:rsid w:val="006C72E9"/>
    <w:rsid w:val="006E0141"/>
    <w:rsid w:val="006E579F"/>
    <w:rsid w:val="006E654D"/>
    <w:rsid w:val="006F13E9"/>
    <w:rsid w:val="006F2BA5"/>
    <w:rsid w:val="006F2E39"/>
    <w:rsid w:val="0070329D"/>
    <w:rsid w:val="007033AB"/>
    <w:rsid w:val="00704521"/>
    <w:rsid w:val="00704EB4"/>
    <w:rsid w:val="0070687D"/>
    <w:rsid w:val="00711A27"/>
    <w:rsid w:val="007152ED"/>
    <w:rsid w:val="00726245"/>
    <w:rsid w:val="00727DAA"/>
    <w:rsid w:val="0073077A"/>
    <w:rsid w:val="00731C0F"/>
    <w:rsid w:val="0073281F"/>
    <w:rsid w:val="00733296"/>
    <w:rsid w:val="00733833"/>
    <w:rsid w:val="00740115"/>
    <w:rsid w:val="00745BE4"/>
    <w:rsid w:val="00745CCD"/>
    <w:rsid w:val="00750463"/>
    <w:rsid w:val="00755173"/>
    <w:rsid w:val="00756F6A"/>
    <w:rsid w:val="0076175A"/>
    <w:rsid w:val="007617AB"/>
    <w:rsid w:val="0076218B"/>
    <w:rsid w:val="0077290E"/>
    <w:rsid w:val="00772F55"/>
    <w:rsid w:val="00773310"/>
    <w:rsid w:val="00774F76"/>
    <w:rsid w:val="00780BF3"/>
    <w:rsid w:val="0078467B"/>
    <w:rsid w:val="00785E58"/>
    <w:rsid w:val="0078724C"/>
    <w:rsid w:val="00793ECD"/>
    <w:rsid w:val="00797924"/>
    <w:rsid w:val="007979A8"/>
    <w:rsid w:val="007A00E3"/>
    <w:rsid w:val="007A0179"/>
    <w:rsid w:val="007A1D7D"/>
    <w:rsid w:val="007A52EA"/>
    <w:rsid w:val="007B358C"/>
    <w:rsid w:val="007B7DE1"/>
    <w:rsid w:val="007C3B34"/>
    <w:rsid w:val="007C5F2A"/>
    <w:rsid w:val="007D3355"/>
    <w:rsid w:val="007D5549"/>
    <w:rsid w:val="007E06E3"/>
    <w:rsid w:val="007E0D7F"/>
    <w:rsid w:val="007E3B42"/>
    <w:rsid w:val="007E4608"/>
    <w:rsid w:val="007E4BE1"/>
    <w:rsid w:val="007F3E0B"/>
    <w:rsid w:val="00802A6A"/>
    <w:rsid w:val="00806201"/>
    <w:rsid w:val="0081425E"/>
    <w:rsid w:val="0081519B"/>
    <w:rsid w:val="00824FA9"/>
    <w:rsid w:val="0082659E"/>
    <w:rsid w:val="00826F4B"/>
    <w:rsid w:val="00830597"/>
    <w:rsid w:val="00831CA6"/>
    <w:rsid w:val="008333ED"/>
    <w:rsid w:val="00833EB0"/>
    <w:rsid w:val="00833F75"/>
    <w:rsid w:val="008344AE"/>
    <w:rsid w:val="008358FF"/>
    <w:rsid w:val="00836F4D"/>
    <w:rsid w:val="00840B6C"/>
    <w:rsid w:val="00841F93"/>
    <w:rsid w:val="008438C7"/>
    <w:rsid w:val="00850E37"/>
    <w:rsid w:val="008549FA"/>
    <w:rsid w:val="00855274"/>
    <w:rsid w:val="008619A3"/>
    <w:rsid w:val="00862E05"/>
    <w:rsid w:val="0086633A"/>
    <w:rsid w:val="00866C79"/>
    <w:rsid w:val="00870FD5"/>
    <w:rsid w:val="008817F4"/>
    <w:rsid w:val="00885FF7"/>
    <w:rsid w:val="00893C96"/>
    <w:rsid w:val="008969CE"/>
    <w:rsid w:val="0089748E"/>
    <w:rsid w:val="008A0565"/>
    <w:rsid w:val="008A08C9"/>
    <w:rsid w:val="008A3237"/>
    <w:rsid w:val="008B0BF5"/>
    <w:rsid w:val="008B52DC"/>
    <w:rsid w:val="008B6810"/>
    <w:rsid w:val="008C261E"/>
    <w:rsid w:val="008D1DD7"/>
    <w:rsid w:val="008D6A94"/>
    <w:rsid w:val="008E5134"/>
    <w:rsid w:val="008E524B"/>
    <w:rsid w:val="008E7A63"/>
    <w:rsid w:val="008E7DF5"/>
    <w:rsid w:val="008E7E40"/>
    <w:rsid w:val="008F1FCD"/>
    <w:rsid w:val="008F334C"/>
    <w:rsid w:val="008F36A5"/>
    <w:rsid w:val="008F76A9"/>
    <w:rsid w:val="00900B1E"/>
    <w:rsid w:val="00906EB5"/>
    <w:rsid w:val="009074FA"/>
    <w:rsid w:val="00910517"/>
    <w:rsid w:val="00910E9B"/>
    <w:rsid w:val="00923419"/>
    <w:rsid w:val="009301F3"/>
    <w:rsid w:val="00930D8C"/>
    <w:rsid w:val="00935638"/>
    <w:rsid w:val="00937B33"/>
    <w:rsid w:val="00944FD9"/>
    <w:rsid w:val="00946386"/>
    <w:rsid w:val="0094773E"/>
    <w:rsid w:val="00952388"/>
    <w:rsid w:val="009533B7"/>
    <w:rsid w:val="00954EE2"/>
    <w:rsid w:val="009600C3"/>
    <w:rsid w:val="009604BE"/>
    <w:rsid w:val="00972981"/>
    <w:rsid w:val="00987693"/>
    <w:rsid w:val="0099045F"/>
    <w:rsid w:val="009A15D5"/>
    <w:rsid w:val="009A4BA5"/>
    <w:rsid w:val="009A5434"/>
    <w:rsid w:val="009A6DD3"/>
    <w:rsid w:val="009A761C"/>
    <w:rsid w:val="009B1EB5"/>
    <w:rsid w:val="009B64FE"/>
    <w:rsid w:val="009B679D"/>
    <w:rsid w:val="009C180D"/>
    <w:rsid w:val="009C373E"/>
    <w:rsid w:val="009C38AB"/>
    <w:rsid w:val="009C4C2A"/>
    <w:rsid w:val="009D1F50"/>
    <w:rsid w:val="009D231F"/>
    <w:rsid w:val="009D3DE9"/>
    <w:rsid w:val="009E0630"/>
    <w:rsid w:val="009E18C8"/>
    <w:rsid w:val="009E435A"/>
    <w:rsid w:val="009E4BBE"/>
    <w:rsid w:val="009F05CF"/>
    <w:rsid w:val="009F10E1"/>
    <w:rsid w:val="009F253F"/>
    <w:rsid w:val="009F2A72"/>
    <w:rsid w:val="009F3971"/>
    <w:rsid w:val="009F4EEF"/>
    <w:rsid w:val="009F5391"/>
    <w:rsid w:val="009F5C3A"/>
    <w:rsid w:val="009F5F02"/>
    <w:rsid w:val="009F6245"/>
    <w:rsid w:val="009F799B"/>
    <w:rsid w:val="00A0258E"/>
    <w:rsid w:val="00A03DD3"/>
    <w:rsid w:val="00A04DF4"/>
    <w:rsid w:val="00A10F62"/>
    <w:rsid w:val="00A12508"/>
    <w:rsid w:val="00A133DF"/>
    <w:rsid w:val="00A1403F"/>
    <w:rsid w:val="00A15961"/>
    <w:rsid w:val="00A20629"/>
    <w:rsid w:val="00A21F0E"/>
    <w:rsid w:val="00A22AFB"/>
    <w:rsid w:val="00A247D9"/>
    <w:rsid w:val="00A31EC0"/>
    <w:rsid w:val="00A33858"/>
    <w:rsid w:val="00A359B0"/>
    <w:rsid w:val="00A36ED3"/>
    <w:rsid w:val="00A40D24"/>
    <w:rsid w:val="00A431BA"/>
    <w:rsid w:val="00A44BB8"/>
    <w:rsid w:val="00A4612A"/>
    <w:rsid w:val="00A47FB6"/>
    <w:rsid w:val="00A5639D"/>
    <w:rsid w:val="00A62953"/>
    <w:rsid w:val="00A648AB"/>
    <w:rsid w:val="00A658FF"/>
    <w:rsid w:val="00A66997"/>
    <w:rsid w:val="00A71187"/>
    <w:rsid w:val="00A72CD3"/>
    <w:rsid w:val="00A730F5"/>
    <w:rsid w:val="00A77CB6"/>
    <w:rsid w:val="00A80E81"/>
    <w:rsid w:val="00A8285E"/>
    <w:rsid w:val="00A857ED"/>
    <w:rsid w:val="00A862BE"/>
    <w:rsid w:val="00A86A85"/>
    <w:rsid w:val="00A87E6C"/>
    <w:rsid w:val="00A97712"/>
    <w:rsid w:val="00AA2B8E"/>
    <w:rsid w:val="00AA5F8D"/>
    <w:rsid w:val="00AA65F3"/>
    <w:rsid w:val="00AB2D47"/>
    <w:rsid w:val="00AB67AA"/>
    <w:rsid w:val="00AC1D78"/>
    <w:rsid w:val="00AC2741"/>
    <w:rsid w:val="00AC36B4"/>
    <w:rsid w:val="00AD4FB9"/>
    <w:rsid w:val="00AD5595"/>
    <w:rsid w:val="00AD79FC"/>
    <w:rsid w:val="00AE0B0A"/>
    <w:rsid w:val="00AE161F"/>
    <w:rsid w:val="00AE723B"/>
    <w:rsid w:val="00AF2911"/>
    <w:rsid w:val="00AF40CB"/>
    <w:rsid w:val="00AF4AC3"/>
    <w:rsid w:val="00B00FDB"/>
    <w:rsid w:val="00B01F3A"/>
    <w:rsid w:val="00B03984"/>
    <w:rsid w:val="00B05B4A"/>
    <w:rsid w:val="00B103FE"/>
    <w:rsid w:val="00B17596"/>
    <w:rsid w:val="00B22AE6"/>
    <w:rsid w:val="00B261AC"/>
    <w:rsid w:val="00B34849"/>
    <w:rsid w:val="00B412DF"/>
    <w:rsid w:val="00B41696"/>
    <w:rsid w:val="00B461C9"/>
    <w:rsid w:val="00B4695C"/>
    <w:rsid w:val="00B536F6"/>
    <w:rsid w:val="00B53F10"/>
    <w:rsid w:val="00B56F9B"/>
    <w:rsid w:val="00B65BB0"/>
    <w:rsid w:val="00B72A24"/>
    <w:rsid w:val="00B73F64"/>
    <w:rsid w:val="00B76DAD"/>
    <w:rsid w:val="00B80463"/>
    <w:rsid w:val="00B83938"/>
    <w:rsid w:val="00BB1597"/>
    <w:rsid w:val="00BB2B99"/>
    <w:rsid w:val="00BC0EEE"/>
    <w:rsid w:val="00BC16AE"/>
    <w:rsid w:val="00BC16D4"/>
    <w:rsid w:val="00BC2485"/>
    <w:rsid w:val="00BC253F"/>
    <w:rsid w:val="00BC4338"/>
    <w:rsid w:val="00BC74B7"/>
    <w:rsid w:val="00BD1C61"/>
    <w:rsid w:val="00BD62B8"/>
    <w:rsid w:val="00BE0B12"/>
    <w:rsid w:val="00BE2447"/>
    <w:rsid w:val="00BE365F"/>
    <w:rsid w:val="00C07952"/>
    <w:rsid w:val="00C240A7"/>
    <w:rsid w:val="00C2417F"/>
    <w:rsid w:val="00C27D31"/>
    <w:rsid w:val="00C30086"/>
    <w:rsid w:val="00C34972"/>
    <w:rsid w:val="00C35999"/>
    <w:rsid w:val="00C373EC"/>
    <w:rsid w:val="00C40FCD"/>
    <w:rsid w:val="00C51371"/>
    <w:rsid w:val="00C516E0"/>
    <w:rsid w:val="00C51AEB"/>
    <w:rsid w:val="00C6200F"/>
    <w:rsid w:val="00C7348B"/>
    <w:rsid w:val="00C73ED1"/>
    <w:rsid w:val="00C748F5"/>
    <w:rsid w:val="00C800B7"/>
    <w:rsid w:val="00C85DE6"/>
    <w:rsid w:val="00C97936"/>
    <w:rsid w:val="00CA2AF4"/>
    <w:rsid w:val="00CA579A"/>
    <w:rsid w:val="00CA5F55"/>
    <w:rsid w:val="00CA643A"/>
    <w:rsid w:val="00CA6AB6"/>
    <w:rsid w:val="00CA6BB2"/>
    <w:rsid w:val="00CA6DA7"/>
    <w:rsid w:val="00CA7AC0"/>
    <w:rsid w:val="00CB1484"/>
    <w:rsid w:val="00CB215E"/>
    <w:rsid w:val="00CB24C6"/>
    <w:rsid w:val="00CB39C2"/>
    <w:rsid w:val="00CB49C6"/>
    <w:rsid w:val="00CB5141"/>
    <w:rsid w:val="00CC2544"/>
    <w:rsid w:val="00CC5BD5"/>
    <w:rsid w:val="00CC7E4E"/>
    <w:rsid w:val="00CD573C"/>
    <w:rsid w:val="00CD6546"/>
    <w:rsid w:val="00CD6D62"/>
    <w:rsid w:val="00CE1129"/>
    <w:rsid w:val="00CE4E7B"/>
    <w:rsid w:val="00CE503C"/>
    <w:rsid w:val="00CE7A8B"/>
    <w:rsid w:val="00CF12D4"/>
    <w:rsid w:val="00CF36E3"/>
    <w:rsid w:val="00CF48F5"/>
    <w:rsid w:val="00D01A5F"/>
    <w:rsid w:val="00D0368E"/>
    <w:rsid w:val="00D13505"/>
    <w:rsid w:val="00D14BB5"/>
    <w:rsid w:val="00D250FD"/>
    <w:rsid w:val="00D37E67"/>
    <w:rsid w:val="00D41CC0"/>
    <w:rsid w:val="00D43B77"/>
    <w:rsid w:val="00D522C5"/>
    <w:rsid w:val="00D535F0"/>
    <w:rsid w:val="00D547E2"/>
    <w:rsid w:val="00D6037A"/>
    <w:rsid w:val="00D6667D"/>
    <w:rsid w:val="00D66A16"/>
    <w:rsid w:val="00D71B0B"/>
    <w:rsid w:val="00D74842"/>
    <w:rsid w:val="00D76833"/>
    <w:rsid w:val="00D77006"/>
    <w:rsid w:val="00D80888"/>
    <w:rsid w:val="00D8181B"/>
    <w:rsid w:val="00D8282E"/>
    <w:rsid w:val="00D83B70"/>
    <w:rsid w:val="00D8631B"/>
    <w:rsid w:val="00D86792"/>
    <w:rsid w:val="00D93C64"/>
    <w:rsid w:val="00DA33A1"/>
    <w:rsid w:val="00DA52B9"/>
    <w:rsid w:val="00DA5364"/>
    <w:rsid w:val="00DB1662"/>
    <w:rsid w:val="00DB798F"/>
    <w:rsid w:val="00DB7ACC"/>
    <w:rsid w:val="00DC01D8"/>
    <w:rsid w:val="00DC25DD"/>
    <w:rsid w:val="00DC3016"/>
    <w:rsid w:val="00DD3ED4"/>
    <w:rsid w:val="00DD6334"/>
    <w:rsid w:val="00DD66FF"/>
    <w:rsid w:val="00DE11EE"/>
    <w:rsid w:val="00DE4869"/>
    <w:rsid w:val="00DE67C3"/>
    <w:rsid w:val="00DF1136"/>
    <w:rsid w:val="00DF14D8"/>
    <w:rsid w:val="00DF7713"/>
    <w:rsid w:val="00E00780"/>
    <w:rsid w:val="00E019AC"/>
    <w:rsid w:val="00E02002"/>
    <w:rsid w:val="00E03D56"/>
    <w:rsid w:val="00E03EE0"/>
    <w:rsid w:val="00E04719"/>
    <w:rsid w:val="00E07C1B"/>
    <w:rsid w:val="00E125F1"/>
    <w:rsid w:val="00E13148"/>
    <w:rsid w:val="00E15396"/>
    <w:rsid w:val="00E15B78"/>
    <w:rsid w:val="00E16594"/>
    <w:rsid w:val="00E175CF"/>
    <w:rsid w:val="00E17CA1"/>
    <w:rsid w:val="00E24786"/>
    <w:rsid w:val="00E306B8"/>
    <w:rsid w:val="00E3189E"/>
    <w:rsid w:val="00E31CFF"/>
    <w:rsid w:val="00E32B5B"/>
    <w:rsid w:val="00E46DBD"/>
    <w:rsid w:val="00E505E7"/>
    <w:rsid w:val="00E5243E"/>
    <w:rsid w:val="00E569E6"/>
    <w:rsid w:val="00E606DE"/>
    <w:rsid w:val="00E60C14"/>
    <w:rsid w:val="00E619A6"/>
    <w:rsid w:val="00E63AAA"/>
    <w:rsid w:val="00E64C02"/>
    <w:rsid w:val="00E67340"/>
    <w:rsid w:val="00E70D9E"/>
    <w:rsid w:val="00E7144E"/>
    <w:rsid w:val="00E75CDC"/>
    <w:rsid w:val="00E87879"/>
    <w:rsid w:val="00E905CD"/>
    <w:rsid w:val="00E913A5"/>
    <w:rsid w:val="00E9486D"/>
    <w:rsid w:val="00E97132"/>
    <w:rsid w:val="00EA1184"/>
    <w:rsid w:val="00EA1B83"/>
    <w:rsid w:val="00EA44D1"/>
    <w:rsid w:val="00EA7CC8"/>
    <w:rsid w:val="00EB0C83"/>
    <w:rsid w:val="00EB17B7"/>
    <w:rsid w:val="00EB2932"/>
    <w:rsid w:val="00EC04ED"/>
    <w:rsid w:val="00EC28EA"/>
    <w:rsid w:val="00EC2BDE"/>
    <w:rsid w:val="00EC2CF4"/>
    <w:rsid w:val="00ED1C8E"/>
    <w:rsid w:val="00ED71C7"/>
    <w:rsid w:val="00EF5C81"/>
    <w:rsid w:val="00F00150"/>
    <w:rsid w:val="00F00AE7"/>
    <w:rsid w:val="00F0608F"/>
    <w:rsid w:val="00F06894"/>
    <w:rsid w:val="00F11E24"/>
    <w:rsid w:val="00F1252C"/>
    <w:rsid w:val="00F13522"/>
    <w:rsid w:val="00F218E7"/>
    <w:rsid w:val="00F2209B"/>
    <w:rsid w:val="00F24E6F"/>
    <w:rsid w:val="00F375C1"/>
    <w:rsid w:val="00F425D0"/>
    <w:rsid w:val="00F46693"/>
    <w:rsid w:val="00F57A51"/>
    <w:rsid w:val="00F57F1C"/>
    <w:rsid w:val="00F62381"/>
    <w:rsid w:val="00F644E6"/>
    <w:rsid w:val="00F649C0"/>
    <w:rsid w:val="00F66BAE"/>
    <w:rsid w:val="00F67698"/>
    <w:rsid w:val="00F80774"/>
    <w:rsid w:val="00F8129D"/>
    <w:rsid w:val="00F849CE"/>
    <w:rsid w:val="00F87D96"/>
    <w:rsid w:val="00F9623A"/>
    <w:rsid w:val="00F96E20"/>
    <w:rsid w:val="00F97FE1"/>
    <w:rsid w:val="00FA7340"/>
    <w:rsid w:val="00FB057E"/>
    <w:rsid w:val="00FB63A8"/>
    <w:rsid w:val="00FB7A15"/>
    <w:rsid w:val="00FC0C82"/>
    <w:rsid w:val="00FC148B"/>
    <w:rsid w:val="00FC4A55"/>
    <w:rsid w:val="00FC587D"/>
    <w:rsid w:val="00FD09F4"/>
    <w:rsid w:val="00FD5937"/>
    <w:rsid w:val="00FD6AEF"/>
    <w:rsid w:val="00FD6EA7"/>
    <w:rsid w:val="00FE0003"/>
    <w:rsid w:val="00FE1EBE"/>
    <w:rsid w:val="00FE3BB9"/>
    <w:rsid w:val="00FE418A"/>
    <w:rsid w:val="00FE64E5"/>
    <w:rsid w:val="00FE6F0C"/>
    <w:rsid w:val="024C23EC"/>
    <w:rsid w:val="05035BC7"/>
    <w:rsid w:val="05DB5F9B"/>
    <w:rsid w:val="07440A11"/>
    <w:rsid w:val="080171BE"/>
    <w:rsid w:val="09D32F2C"/>
    <w:rsid w:val="0A234BF3"/>
    <w:rsid w:val="0BB57529"/>
    <w:rsid w:val="0CA76DCE"/>
    <w:rsid w:val="0CB023E0"/>
    <w:rsid w:val="0DA9038E"/>
    <w:rsid w:val="0DD44416"/>
    <w:rsid w:val="0E6B5000"/>
    <w:rsid w:val="114607F2"/>
    <w:rsid w:val="124D6D53"/>
    <w:rsid w:val="137208A4"/>
    <w:rsid w:val="147D2C96"/>
    <w:rsid w:val="15406F9B"/>
    <w:rsid w:val="16633849"/>
    <w:rsid w:val="177C4303"/>
    <w:rsid w:val="19104CDD"/>
    <w:rsid w:val="19D54FFE"/>
    <w:rsid w:val="1A4127A1"/>
    <w:rsid w:val="1AF74669"/>
    <w:rsid w:val="1B731AB0"/>
    <w:rsid w:val="1BCF6A88"/>
    <w:rsid w:val="1DB70E1B"/>
    <w:rsid w:val="1F916BEB"/>
    <w:rsid w:val="21664758"/>
    <w:rsid w:val="22A63A15"/>
    <w:rsid w:val="23B81D36"/>
    <w:rsid w:val="25702AA1"/>
    <w:rsid w:val="27CA34B9"/>
    <w:rsid w:val="28E84B66"/>
    <w:rsid w:val="2AB770A3"/>
    <w:rsid w:val="2C0F64E6"/>
    <w:rsid w:val="2C107AF6"/>
    <w:rsid w:val="2C4B74B9"/>
    <w:rsid w:val="2D237039"/>
    <w:rsid w:val="2E6676FD"/>
    <w:rsid w:val="307577CA"/>
    <w:rsid w:val="30E07EBD"/>
    <w:rsid w:val="30FF31C6"/>
    <w:rsid w:val="32DD3E90"/>
    <w:rsid w:val="33100189"/>
    <w:rsid w:val="337C4137"/>
    <w:rsid w:val="34662520"/>
    <w:rsid w:val="34C02C59"/>
    <w:rsid w:val="373527AA"/>
    <w:rsid w:val="378279B2"/>
    <w:rsid w:val="378E47B3"/>
    <w:rsid w:val="37D559F4"/>
    <w:rsid w:val="38B924DE"/>
    <w:rsid w:val="38E760D5"/>
    <w:rsid w:val="390022BB"/>
    <w:rsid w:val="3ABA6F61"/>
    <w:rsid w:val="3B3A4F7E"/>
    <w:rsid w:val="3CEE4445"/>
    <w:rsid w:val="3DAE7D65"/>
    <w:rsid w:val="3E5B6132"/>
    <w:rsid w:val="3EED0ECD"/>
    <w:rsid w:val="3F584EFF"/>
    <w:rsid w:val="3FA768F2"/>
    <w:rsid w:val="3FEA296E"/>
    <w:rsid w:val="40A30EA9"/>
    <w:rsid w:val="410E7449"/>
    <w:rsid w:val="438D7C61"/>
    <w:rsid w:val="466D7A42"/>
    <w:rsid w:val="470C2ECA"/>
    <w:rsid w:val="4A104D7C"/>
    <w:rsid w:val="4A5C3ACE"/>
    <w:rsid w:val="4AEC0E99"/>
    <w:rsid w:val="4B653DA1"/>
    <w:rsid w:val="4EA00E67"/>
    <w:rsid w:val="4EC92939"/>
    <w:rsid w:val="4F150D16"/>
    <w:rsid w:val="4F190BD2"/>
    <w:rsid w:val="50571D3F"/>
    <w:rsid w:val="52A51838"/>
    <w:rsid w:val="536B5A43"/>
    <w:rsid w:val="541A39A2"/>
    <w:rsid w:val="5463036C"/>
    <w:rsid w:val="54966F57"/>
    <w:rsid w:val="56193C4E"/>
    <w:rsid w:val="59434402"/>
    <w:rsid w:val="5A436627"/>
    <w:rsid w:val="5A9B3DAC"/>
    <w:rsid w:val="5AC36B75"/>
    <w:rsid w:val="5BDA038B"/>
    <w:rsid w:val="5C063D09"/>
    <w:rsid w:val="5C921F73"/>
    <w:rsid w:val="5D0F7AD7"/>
    <w:rsid w:val="5F93425B"/>
    <w:rsid w:val="602C639B"/>
    <w:rsid w:val="606345B3"/>
    <w:rsid w:val="60AA1BDD"/>
    <w:rsid w:val="62483D5B"/>
    <w:rsid w:val="631E4E2D"/>
    <w:rsid w:val="650025F6"/>
    <w:rsid w:val="651846F6"/>
    <w:rsid w:val="658B78BE"/>
    <w:rsid w:val="663B7635"/>
    <w:rsid w:val="67FE7F38"/>
    <w:rsid w:val="693B3CD7"/>
    <w:rsid w:val="69F374E6"/>
    <w:rsid w:val="6A936782"/>
    <w:rsid w:val="6BDA49E1"/>
    <w:rsid w:val="6BEA7587"/>
    <w:rsid w:val="6BF75553"/>
    <w:rsid w:val="6C34734D"/>
    <w:rsid w:val="6E0708CD"/>
    <w:rsid w:val="6E81358D"/>
    <w:rsid w:val="6E867547"/>
    <w:rsid w:val="6FAB1375"/>
    <w:rsid w:val="70EE07B0"/>
    <w:rsid w:val="71222CBF"/>
    <w:rsid w:val="72B95228"/>
    <w:rsid w:val="72BA14E4"/>
    <w:rsid w:val="74964153"/>
    <w:rsid w:val="74FF3719"/>
    <w:rsid w:val="754F05E0"/>
    <w:rsid w:val="772B760F"/>
    <w:rsid w:val="77AF0B80"/>
    <w:rsid w:val="7970564B"/>
    <w:rsid w:val="7A085BF4"/>
    <w:rsid w:val="7AC57910"/>
    <w:rsid w:val="7BDC1EC1"/>
    <w:rsid w:val="7C2A7B8E"/>
    <w:rsid w:val="7C57508E"/>
    <w:rsid w:val="7CEC3112"/>
    <w:rsid w:val="7E034D49"/>
    <w:rsid w:val="7E0C1B46"/>
    <w:rsid w:val="7E923F63"/>
    <w:rsid w:val="7EF014CF"/>
    <w:rsid w:val="7F716AB2"/>
    <w:rsid w:val="7F720D1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2">
    <w:name w:val="heading 1"/>
    <w:basedOn w:val="1"/>
    <w:next w:val="1"/>
    <w:link w:val="69"/>
    <w:qFormat/>
    <w:uiPriority w:val="0"/>
    <w:pPr>
      <w:keepNext/>
      <w:keepLines/>
      <w:spacing w:before="340" w:beforeLines="0" w:after="330" w:afterLines="0" w:line="576" w:lineRule="auto"/>
      <w:outlineLvl w:val="0"/>
    </w:pPr>
    <w:rPr>
      <w:b/>
      <w:kern w:val="44"/>
      <w:sz w:val="44"/>
    </w:rPr>
  </w:style>
  <w:style w:type="paragraph" w:styleId="3">
    <w:name w:val="heading 2"/>
    <w:basedOn w:val="1"/>
    <w:next w:val="1"/>
    <w:link w:val="70"/>
    <w:qFormat/>
    <w:uiPriority w:val="0"/>
    <w:pPr>
      <w:keepNext/>
      <w:keepLines/>
      <w:spacing w:before="260" w:beforeLines="0" w:after="260" w:afterLines="0" w:line="416" w:lineRule="auto"/>
      <w:outlineLvl w:val="1"/>
    </w:pPr>
    <w:rPr>
      <w:rFonts w:ascii="Cambria" w:hAnsi="Cambria"/>
      <w:b/>
      <w:bCs/>
      <w:kern w:val="0"/>
      <w:sz w:val="32"/>
      <w:szCs w:val="32"/>
    </w:rPr>
  </w:style>
  <w:style w:type="paragraph" w:styleId="4">
    <w:name w:val="heading 4"/>
    <w:basedOn w:val="1"/>
    <w:next w:val="1"/>
    <w:link w:val="71"/>
    <w:qFormat/>
    <w:uiPriority w:val="0"/>
    <w:pPr>
      <w:keepNext/>
      <w:keepLines/>
      <w:spacing w:before="280" w:beforeLines="0" w:after="290" w:afterLines="0" w:line="372" w:lineRule="auto"/>
      <w:outlineLvl w:val="3"/>
    </w:pPr>
    <w:rPr>
      <w:rFonts w:ascii="Cambria"/>
      <w:b/>
      <w:kern w:val="0"/>
      <w:sz w:val="28"/>
    </w:rPr>
  </w:style>
  <w:style w:type="paragraph" w:styleId="5">
    <w:name w:val="heading 5"/>
    <w:basedOn w:val="1"/>
    <w:next w:val="1"/>
    <w:link w:val="72"/>
    <w:qFormat/>
    <w:uiPriority w:val="0"/>
    <w:pPr>
      <w:keepNext/>
      <w:keepLines/>
      <w:spacing w:before="280" w:beforeLines="0" w:after="290" w:afterLines="0" w:line="372" w:lineRule="auto"/>
      <w:outlineLvl w:val="4"/>
    </w:pPr>
    <w:rPr>
      <w:b/>
      <w:kern w:val="0"/>
      <w:sz w:val="28"/>
    </w:rPr>
  </w:style>
  <w:style w:type="paragraph" w:styleId="6">
    <w:name w:val="heading 6"/>
    <w:basedOn w:val="1"/>
    <w:next w:val="1"/>
    <w:link w:val="73"/>
    <w:qFormat/>
    <w:uiPriority w:val="0"/>
    <w:pPr>
      <w:keepNext/>
      <w:keepLines/>
      <w:spacing w:before="240" w:beforeLines="0" w:after="64" w:afterLines="0" w:line="316" w:lineRule="auto"/>
      <w:outlineLvl w:val="5"/>
    </w:pPr>
    <w:rPr>
      <w:rFonts w:ascii="Cambria"/>
      <w:b/>
      <w:kern w:val="0"/>
      <w:sz w:val="24"/>
    </w:rPr>
  </w:style>
  <w:style w:type="paragraph" w:styleId="7">
    <w:name w:val="heading 7"/>
    <w:basedOn w:val="1"/>
    <w:next w:val="1"/>
    <w:link w:val="74"/>
    <w:qFormat/>
    <w:uiPriority w:val="0"/>
    <w:pPr>
      <w:keepNext/>
      <w:keepLines/>
      <w:spacing w:before="240" w:beforeLines="0" w:after="64" w:afterLines="0" w:line="316" w:lineRule="auto"/>
      <w:outlineLvl w:val="6"/>
    </w:pPr>
    <w:rPr>
      <w:b/>
      <w:kern w:val="0"/>
      <w:sz w:val="24"/>
    </w:rPr>
  </w:style>
  <w:style w:type="character" w:default="1" w:styleId="16">
    <w:name w:val="Default Paragraph Font"/>
    <w:uiPriority w:val="0"/>
  </w:style>
  <w:style w:type="table" w:default="1" w:styleId="14">
    <w:name w:val="Normal Table"/>
    <w:unhideWhenUsed/>
    <w:uiPriority w:val="99"/>
    <w:tblPr>
      <w:tblStyle w:val="14"/>
      <w:tblLayout w:type="fixed"/>
      <w:tblCellMar>
        <w:top w:w="0" w:type="dxa"/>
        <w:left w:w="108" w:type="dxa"/>
        <w:bottom w:w="0" w:type="dxa"/>
        <w:right w:w="108" w:type="dxa"/>
      </w:tblCellMar>
    </w:tblPr>
  </w:style>
  <w:style w:type="paragraph" w:styleId="8">
    <w:name w:val="annotation text"/>
    <w:basedOn w:val="1"/>
    <w:link w:val="75"/>
    <w:unhideWhenUsed/>
    <w:uiPriority w:val="99"/>
    <w:pPr>
      <w:jc w:val="left"/>
    </w:pPr>
  </w:style>
  <w:style w:type="paragraph" w:styleId="9">
    <w:name w:val="Plain Text"/>
    <w:basedOn w:val="1"/>
    <w:uiPriority w:val="0"/>
    <w:pPr>
      <w:spacing w:after="120" w:line="0" w:lineRule="atLeast"/>
    </w:pPr>
    <w:rPr>
      <w:rFonts w:ascii="宋体" w:hAnsi="Courier New"/>
      <w:sz w:val="28"/>
      <w:szCs w:val="24"/>
    </w:rPr>
  </w:style>
  <w:style w:type="paragraph" w:styleId="10">
    <w:name w:val="Balloon Text"/>
    <w:basedOn w:val="1"/>
    <w:link w:val="76"/>
    <w:uiPriority w:val="0"/>
    <w:rPr>
      <w:kern w:val="0"/>
      <w:sz w:val="18"/>
      <w:szCs w:val="18"/>
    </w:rPr>
  </w:style>
  <w:style w:type="paragraph" w:styleId="11">
    <w:name w:val="footer"/>
    <w:basedOn w:val="1"/>
    <w:link w:val="77"/>
    <w:uiPriority w:val="0"/>
    <w:pPr>
      <w:tabs>
        <w:tab w:val="center" w:pos="4153"/>
        <w:tab w:val="right" w:pos="8306"/>
      </w:tabs>
      <w:snapToGrid w:val="0"/>
      <w:jc w:val="left"/>
    </w:pPr>
    <w:rPr>
      <w:kern w:val="0"/>
      <w:sz w:val="18"/>
      <w:szCs w:val="18"/>
    </w:rPr>
  </w:style>
  <w:style w:type="paragraph" w:styleId="12">
    <w:name w:val="header"/>
    <w:basedOn w:val="1"/>
    <w:link w:val="78"/>
    <w:uiPriority w:val="0"/>
    <w:pPr>
      <w:pBdr>
        <w:bottom w:val="single" w:color="auto" w:sz="6" w:space="1"/>
      </w:pBdr>
      <w:tabs>
        <w:tab w:val="center" w:pos="4153"/>
        <w:tab w:val="right" w:pos="8306"/>
      </w:tabs>
      <w:snapToGrid w:val="0"/>
      <w:jc w:val="center"/>
    </w:pPr>
    <w:rPr>
      <w:kern w:val="0"/>
      <w:sz w:val="18"/>
      <w:szCs w:val="18"/>
    </w:rPr>
  </w:style>
  <w:style w:type="paragraph" w:styleId="13">
    <w:name w:val="annotation subject"/>
    <w:basedOn w:val="8"/>
    <w:next w:val="8"/>
    <w:link w:val="79"/>
    <w:unhideWhenUsed/>
    <w:uiPriority w:val="99"/>
    <w:rPr>
      <w:b/>
      <w:bCs/>
    </w:rPr>
  </w:style>
  <w:style w:type="table" w:styleId="15">
    <w:name w:val="Table Grid"/>
    <w:basedOn w:val="14"/>
    <w:uiPriority w:val="0"/>
    <w:pPr>
      <w:widowControl w:val="0"/>
      <w:jc w:val="both"/>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FollowedHyperlink"/>
    <w:basedOn w:val="16"/>
    <w:uiPriority w:val="99"/>
    <w:rPr>
      <w:rFonts w:hint="eastAsia" w:ascii="微软雅黑" w:hAnsi="微软雅黑" w:eastAsia="微软雅黑" w:cs="微软雅黑"/>
      <w:color w:val="2777A7"/>
      <w:sz w:val="21"/>
      <w:szCs w:val="21"/>
      <w:u w:val="none"/>
    </w:rPr>
  </w:style>
  <w:style w:type="character" w:styleId="18">
    <w:name w:val="Emphasis"/>
    <w:basedOn w:val="16"/>
    <w:qFormat/>
    <w:uiPriority w:val="20"/>
  </w:style>
  <w:style w:type="character" w:styleId="19">
    <w:name w:val="Hyperlink"/>
    <w:basedOn w:val="16"/>
    <w:uiPriority w:val="99"/>
    <w:rPr>
      <w:rFonts w:ascii="微软雅黑" w:hAnsi="微软雅黑" w:eastAsia="微软雅黑" w:cs="微软雅黑"/>
      <w:color w:val="2777A7"/>
      <w:sz w:val="21"/>
      <w:szCs w:val="21"/>
      <w:u w:val="none"/>
    </w:rPr>
  </w:style>
  <w:style w:type="character" w:styleId="20">
    <w:name w:val="annotation reference"/>
    <w:unhideWhenUsed/>
    <w:uiPriority w:val="99"/>
    <w:rPr>
      <w:sz w:val="21"/>
      <w:szCs w:val="21"/>
    </w:rPr>
  </w:style>
  <w:style w:type="paragraph" w:customStyle="1" w:styleId="21">
    <w:name w:val="Body Text Indent 2"/>
    <w:basedOn w:val="1"/>
    <w:link w:val="81"/>
    <w:uiPriority w:val="0"/>
    <w:pPr>
      <w:spacing w:line="700" w:lineRule="exact"/>
      <w:ind w:firstLine="771" w:firstLineChars="257"/>
    </w:pPr>
    <w:rPr>
      <w:rFonts w:ascii="楷体_GB2312" w:hAnsi="宋体" w:eastAsia="楷体_GB2312"/>
      <w:kern w:val="0"/>
      <w:sz w:val="30"/>
    </w:rPr>
  </w:style>
  <w:style w:type="paragraph" w:customStyle="1" w:styleId="22">
    <w:name w:val="Document Map"/>
    <w:basedOn w:val="1"/>
    <w:link w:val="83"/>
    <w:uiPriority w:val="0"/>
    <w:pPr>
      <w:shd w:val="clear" w:color="auto" w:fill="000080"/>
    </w:pPr>
    <w:rPr>
      <w:kern w:val="0"/>
      <w:sz w:val="20"/>
      <w:shd w:val="clear" w:color="auto" w:fill="000080"/>
    </w:rPr>
  </w:style>
  <w:style w:type="paragraph" w:customStyle="1" w:styleId="23">
    <w:name w:val="Plain Text"/>
    <w:basedOn w:val="1"/>
    <w:link w:val="88"/>
    <w:uiPriority w:val="0"/>
    <w:rPr>
      <w:rFonts w:ascii="宋体" w:hAnsi="Courier New"/>
      <w:kern w:val="0"/>
      <w:sz w:val="20"/>
    </w:rPr>
  </w:style>
  <w:style w:type="paragraph" w:customStyle="1" w:styleId="24">
    <w:name w:val="Date"/>
    <w:basedOn w:val="1"/>
    <w:next w:val="1"/>
    <w:link w:val="101"/>
    <w:uiPriority w:val="0"/>
    <w:pPr>
      <w:ind w:left="100" w:leftChars="2500"/>
    </w:pPr>
    <w:rPr>
      <w:kern w:val="0"/>
      <w:sz w:val="20"/>
    </w:rPr>
  </w:style>
  <w:style w:type="paragraph" w:customStyle="1" w:styleId="25">
    <w:name w:val="样式 段前: 0.5 行 行距: 固定值 23 磅"/>
    <w:basedOn w:val="1"/>
    <w:link w:val="108"/>
    <w:uiPriority w:val="0"/>
    <w:pPr>
      <w:spacing w:beforeLines="50"/>
    </w:pPr>
    <w:rPr>
      <w:kern w:val="0"/>
      <w:sz w:val="24"/>
    </w:rPr>
  </w:style>
  <w:style w:type="paragraph" w:customStyle="1" w:styleId="26">
    <w:name w:val="标题 21"/>
    <w:basedOn w:val="1"/>
    <w:next w:val="1"/>
    <w:link w:val="113"/>
    <w:uiPriority w:val="0"/>
    <w:pPr>
      <w:keepNext/>
      <w:keepLines/>
      <w:spacing w:before="260" w:beforeLines="0" w:after="260" w:afterLines="0" w:line="412" w:lineRule="auto"/>
      <w:outlineLvl w:val="1"/>
    </w:pPr>
    <w:rPr>
      <w:rFonts w:ascii="Cambria" w:hAnsi="Cambria"/>
      <w:b/>
      <w:kern w:val="0"/>
      <w:sz w:val="32"/>
    </w:rPr>
  </w:style>
  <w:style w:type="paragraph" w:customStyle="1" w:styleId="27">
    <w:name w:val="无间隔1"/>
    <w:link w:val="126"/>
    <w:uiPriority w:val="0"/>
    <w:rPr>
      <w:rFonts w:ascii="Calibri" w:hAnsi="Calibri" w:cs="Calibri"/>
      <w:sz w:val="22"/>
      <w:lang w:val="en-US" w:eastAsia="zh-CN" w:bidi="ar-SA"/>
    </w:rPr>
  </w:style>
  <w:style w:type="paragraph" w:customStyle="1" w:styleId="28">
    <w:name w:val="标题 31"/>
    <w:basedOn w:val="1"/>
    <w:next w:val="1"/>
    <w:link w:val="127"/>
    <w:uiPriority w:val="0"/>
    <w:pPr>
      <w:keepNext/>
      <w:keepLines/>
      <w:spacing w:before="260" w:beforeLines="0" w:after="260" w:afterLines="0" w:line="412" w:lineRule="auto"/>
      <w:outlineLvl w:val="2"/>
    </w:pPr>
    <w:rPr>
      <w:b/>
      <w:kern w:val="0"/>
      <w:sz w:val="32"/>
    </w:rPr>
  </w:style>
  <w:style w:type="paragraph" w:customStyle="1" w:styleId="29">
    <w:name w:val="文本"/>
    <w:basedOn w:val="11"/>
    <w:next w:val="11"/>
    <w:uiPriority w:val="0"/>
    <w:pPr>
      <w:tabs>
        <w:tab w:val="right" w:pos="4153"/>
        <w:tab w:val="clear" w:pos="8306"/>
      </w:tabs>
    </w:pPr>
    <w:rPr>
      <w:szCs w:val="20"/>
    </w:rPr>
  </w:style>
  <w:style w:type="paragraph" w:customStyle="1" w:styleId="30">
    <w:name w:val="xl63"/>
    <w:basedOn w:val="1"/>
    <w:uiPriority w:val="0"/>
    <w:pPr>
      <w:widowControl/>
      <w:spacing w:before="100" w:beforeLines="0" w:beforeAutospacing="1" w:after="100" w:afterLines="0" w:afterAutospacing="1"/>
      <w:jc w:val="left"/>
    </w:pPr>
    <w:rPr>
      <w:rFonts w:ascii="Calibri" w:hAnsi="Calibri"/>
      <w:sz w:val="24"/>
    </w:rPr>
  </w:style>
  <w:style w:type="paragraph" w:customStyle="1" w:styleId="31">
    <w:name w:val="font8"/>
    <w:basedOn w:val="1"/>
    <w:uiPriority w:val="0"/>
    <w:pPr>
      <w:widowControl/>
      <w:spacing w:before="100" w:beforeLines="0" w:beforeAutospacing="1" w:after="100" w:afterLines="0" w:afterAutospacing="1"/>
      <w:jc w:val="left"/>
    </w:pPr>
    <w:rPr>
      <w:rFonts w:ascii="Calibri" w:hAnsi="Calibri"/>
      <w:sz w:val="22"/>
    </w:rPr>
  </w:style>
  <w:style w:type="paragraph" w:customStyle="1" w:styleId="32">
    <w:name w:val="xl82"/>
    <w:basedOn w:val="1"/>
    <w:uiPriority w:val="0"/>
    <w:pPr>
      <w:widowControl/>
      <w:pBdr>
        <w:left w:val="single" w:color="000000" w:sz="4" w:space="0"/>
        <w:bottom w:val="single" w:color="000000" w:sz="4" w:space="0"/>
      </w:pBdr>
      <w:shd w:val="clear" w:color="000000" w:fill="FFFFFF"/>
      <w:spacing w:before="100" w:beforeAutospacing="1" w:after="100" w:afterAutospacing="1"/>
      <w:jc w:val="right"/>
    </w:pPr>
    <w:rPr>
      <w:rFonts w:ascii="宋体" w:hAnsi="宋体" w:cs="宋体"/>
      <w:color w:val="000000"/>
      <w:kern w:val="0"/>
      <w:sz w:val="18"/>
      <w:szCs w:val="18"/>
    </w:rPr>
  </w:style>
  <w:style w:type="paragraph" w:customStyle="1" w:styleId="33">
    <w:name w:val="font6"/>
    <w:basedOn w:val="1"/>
    <w:uiPriority w:val="0"/>
    <w:pPr>
      <w:widowControl/>
      <w:spacing w:before="100" w:beforeLines="0" w:beforeAutospacing="1" w:after="100" w:afterLines="0" w:afterAutospacing="1"/>
      <w:jc w:val="left"/>
    </w:pPr>
    <w:rPr>
      <w:rFonts w:ascii="Calibri" w:hAnsi="Calibri"/>
      <w:sz w:val="22"/>
    </w:rPr>
  </w:style>
  <w:style w:type="paragraph" w:customStyle="1" w:styleId="34">
    <w:name w:val="xl72"/>
    <w:basedOn w:val="1"/>
    <w:uiPriority w:val="0"/>
    <w:pPr>
      <w:widowControl/>
      <w:pBdr>
        <w:top w:val="single" w:color="000000" w:sz="4" w:space="0"/>
        <w:left w:val="single" w:color="000000" w:sz="4" w:space="0"/>
      </w:pBdr>
      <w:shd w:val="clear" w:color="auto" w:fill="FFFFFF"/>
      <w:spacing w:before="100" w:beforeLines="0" w:beforeAutospacing="1" w:after="100" w:afterLines="0" w:afterAutospacing="1"/>
      <w:jc w:val="center"/>
    </w:pPr>
    <w:rPr>
      <w:rFonts w:ascii="Calibri" w:hAnsi="Calibri"/>
      <w:sz w:val="24"/>
    </w:rPr>
  </w:style>
  <w:style w:type="paragraph" w:customStyle="1" w:styleId="35">
    <w:name w:val="表头"/>
    <w:basedOn w:val="1"/>
    <w:uiPriority w:val="0"/>
    <w:pPr>
      <w:tabs>
        <w:tab w:val="left" w:pos="851"/>
      </w:tabs>
      <w:spacing w:after="120" w:afterLines="0" w:line="360" w:lineRule="auto"/>
      <w:ind w:firstLine="480"/>
    </w:pPr>
    <w:rPr>
      <w:rFonts w:ascii="黑体" w:eastAsia="黑体"/>
      <w:sz w:val="24"/>
    </w:rPr>
  </w:style>
  <w:style w:type="paragraph" w:customStyle="1" w:styleId="36">
    <w:name w:val="Normal Indent"/>
    <w:basedOn w:val="1"/>
    <w:uiPriority w:val="0"/>
    <w:pPr>
      <w:ind w:firstLine="420" w:firstLineChars="200"/>
    </w:pPr>
    <w:rPr>
      <w:sz w:val="28"/>
    </w:rPr>
  </w:style>
  <w:style w:type="paragraph" w:customStyle="1" w:styleId="37">
    <w:name w:val="font0"/>
    <w:basedOn w:val="1"/>
    <w:uiPriority w:val="0"/>
    <w:pPr>
      <w:widowControl/>
      <w:spacing w:before="100" w:beforeLines="0" w:beforeAutospacing="1" w:after="100" w:afterLines="0" w:afterAutospacing="1"/>
      <w:jc w:val="left"/>
    </w:pPr>
    <w:rPr>
      <w:rFonts w:ascii="宋体" w:hAnsi="宋体"/>
      <w:color w:val="000000"/>
      <w:sz w:val="22"/>
    </w:rPr>
  </w:style>
  <w:style w:type="paragraph" w:customStyle="1" w:styleId="38">
    <w:name w:val="xl66"/>
    <w:basedOn w:val="1"/>
    <w:uiPriority w:val="0"/>
    <w:pPr>
      <w:widowControl/>
      <w:pBdr>
        <w:top w:val="single" w:color="000000" w:sz="4" w:space="0"/>
        <w:bottom w:val="single" w:color="000000" w:sz="4" w:space="0"/>
        <w:right w:val="single" w:color="000000" w:sz="4" w:space="0"/>
      </w:pBdr>
      <w:shd w:val="clear" w:color="auto" w:fill="FFFFFF"/>
      <w:spacing w:before="100" w:beforeLines="0" w:beforeAutospacing="1" w:after="100" w:afterLines="0" w:afterAutospacing="1"/>
      <w:jc w:val="center"/>
    </w:pPr>
    <w:rPr>
      <w:rFonts w:ascii="Calibri" w:hAnsi="Calibri"/>
      <w:b/>
      <w:sz w:val="24"/>
    </w:rPr>
  </w:style>
  <w:style w:type="paragraph" w:customStyle="1" w:styleId="39">
    <w:name w:val="xl42"/>
    <w:basedOn w:val="1"/>
    <w:uiPriority w:val="0"/>
    <w:pPr>
      <w:widowControl/>
      <w:spacing w:before="100" w:beforeLines="0" w:beforeAutospacing="1" w:after="100" w:afterLines="0" w:afterAutospacing="1"/>
      <w:jc w:val="right"/>
    </w:pPr>
    <w:rPr>
      <w:rFonts w:ascii="宋体" w:hAnsi="宋体"/>
      <w:sz w:val="18"/>
    </w:rPr>
  </w:style>
  <w:style w:type="paragraph" w:customStyle="1" w:styleId="40">
    <w:name w:val="xl79"/>
    <w:basedOn w:val="1"/>
    <w:uiPriority w:val="0"/>
    <w:pPr>
      <w:widowControl/>
      <w:pBdr>
        <w:left w:val="single" w:color="000000" w:sz="4" w:space="0"/>
        <w:right w:val="single" w:color="000000" w:sz="4" w:space="0"/>
      </w:pBdr>
      <w:shd w:val="clear" w:color="auto" w:fill="FFFFFF"/>
      <w:spacing w:before="100" w:beforeLines="0" w:beforeAutospacing="1" w:after="100" w:afterLines="0" w:afterAutospacing="1"/>
      <w:jc w:val="center"/>
    </w:pPr>
    <w:rPr>
      <w:rFonts w:ascii="Calibri" w:hAnsi="Calibri"/>
      <w:sz w:val="24"/>
    </w:rPr>
  </w:style>
  <w:style w:type="paragraph" w:customStyle="1" w:styleId="41">
    <w:name w:val="xl76"/>
    <w:basedOn w:val="1"/>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Lines="0" w:beforeAutospacing="1" w:after="100" w:afterLines="0" w:afterAutospacing="1"/>
      <w:jc w:val="center"/>
    </w:pPr>
    <w:rPr>
      <w:rFonts w:ascii="宋体" w:hAnsi="宋体"/>
      <w:sz w:val="24"/>
    </w:rPr>
  </w:style>
  <w:style w:type="paragraph" w:customStyle="1" w:styleId="42">
    <w:name w:val="图表"/>
    <w:basedOn w:val="1"/>
    <w:uiPriority w:val="0"/>
    <w:pPr>
      <w:jc w:val="center"/>
    </w:pPr>
    <w:rPr>
      <w:rFonts w:ascii="宋体"/>
      <w:sz w:val="24"/>
    </w:rPr>
  </w:style>
  <w:style w:type="paragraph" w:customStyle="1" w:styleId="43">
    <w:name w:val="xl74"/>
    <w:basedOn w:val="1"/>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Lines="0" w:beforeAutospacing="1" w:after="100" w:afterLines="0" w:afterAutospacing="1"/>
      <w:jc w:val="left"/>
    </w:pPr>
    <w:rPr>
      <w:rFonts w:ascii="Calibri" w:hAnsi="Calibri"/>
      <w:sz w:val="24"/>
    </w:rPr>
  </w:style>
  <w:style w:type="paragraph" w:customStyle="1" w:styleId="44">
    <w:name w:val="xl80"/>
    <w:basedOn w:val="1"/>
    <w:uiPriority w:val="0"/>
    <w:pPr>
      <w:widowControl/>
      <w:pBdr>
        <w:left w:val="single" w:color="000000" w:sz="4" w:space="0"/>
        <w:bottom w:val="single" w:color="000000" w:sz="4" w:space="0"/>
        <w:right w:val="single" w:color="000000" w:sz="4" w:space="0"/>
      </w:pBdr>
      <w:shd w:val="clear" w:color="auto" w:fill="FFFFFF"/>
      <w:spacing w:before="100" w:beforeLines="0" w:beforeAutospacing="1" w:after="100" w:afterLines="0" w:afterAutospacing="1"/>
      <w:jc w:val="center"/>
    </w:pPr>
    <w:rPr>
      <w:rFonts w:ascii="Calibri" w:hAnsi="Calibri"/>
      <w:sz w:val="24"/>
    </w:rPr>
  </w:style>
  <w:style w:type="paragraph" w:styleId="45">
    <w:name w:val=""/>
    <w:unhideWhenUsed/>
    <w:uiPriority w:val="99"/>
    <w:rPr>
      <w:kern w:val="2"/>
      <w:sz w:val="21"/>
      <w:lang w:val="en-US" w:eastAsia="zh-CN" w:bidi="ar-SA"/>
    </w:rPr>
  </w:style>
  <w:style w:type="paragraph" w:customStyle="1" w:styleId="46">
    <w:name w:val="正文2"/>
    <w:basedOn w:val="1"/>
    <w:next w:val="1"/>
    <w:uiPriority w:val="0"/>
    <w:pPr>
      <w:tabs>
        <w:tab w:val="left" w:pos="1276"/>
      </w:tabs>
      <w:spacing w:line="360" w:lineRule="auto"/>
      <w:ind w:left="1276" w:hanging="425"/>
    </w:pPr>
    <w:rPr>
      <w:sz w:val="24"/>
    </w:rPr>
  </w:style>
  <w:style w:type="paragraph" w:customStyle="1" w:styleId="47">
    <w:name w:val="xl70"/>
    <w:basedOn w:val="1"/>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Lines="0" w:beforeAutospacing="1" w:after="100" w:afterLines="0" w:afterAutospacing="1"/>
      <w:jc w:val="left"/>
    </w:pPr>
    <w:rPr>
      <w:rFonts w:ascii="宋体" w:hAnsi="宋体"/>
      <w:sz w:val="24"/>
    </w:rPr>
  </w:style>
  <w:style w:type="paragraph" w:customStyle="1" w:styleId="48">
    <w:name w:val="xl73"/>
    <w:basedOn w:val="1"/>
    <w:uiPriority w:val="0"/>
    <w:pPr>
      <w:widowControl/>
      <w:pBdr>
        <w:top w:val="single" w:color="000000" w:sz="4" w:space="0"/>
        <w:left w:val="single" w:color="000000" w:sz="4" w:space="0"/>
        <w:bottom w:val="single" w:color="000000" w:sz="4" w:space="0"/>
      </w:pBdr>
      <w:shd w:val="clear" w:color="auto" w:fill="FFFFFF"/>
      <w:spacing w:before="100" w:beforeLines="0" w:beforeAutospacing="1" w:after="100" w:afterLines="0" w:afterAutospacing="1"/>
      <w:jc w:val="center"/>
    </w:pPr>
    <w:rPr>
      <w:rFonts w:ascii="Calibri" w:hAnsi="Calibri"/>
      <w:sz w:val="24"/>
    </w:rPr>
  </w:style>
  <w:style w:type="paragraph" w:customStyle="1" w:styleId="49">
    <w:name w:val="表格1"/>
    <w:basedOn w:val="1"/>
    <w:uiPriority w:val="0"/>
    <w:pPr>
      <w:spacing w:before="40" w:beforeLines="0" w:after="40" w:afterLines="0"/>
    </w:pPr>
    <w:rPr>
      <w:kern w:val="24"/>
    </w:rPr>
  </w:style>
  <w:style w:type="paragraph" w:customStyle="1" w:styleId="50">
    <w:name w:val="xl65"/>
    <w:basedOn w:val="1"/>
    <w:uiPriority w:val="0"/>
    <w:pPr>
      <w:widowControl/>
      <w:pBdr>
        <w:top w:val="single" w:color="000000" w:sz="4" w:space="0"/>
        <w:left w:val="single" w:color="000000" w:sz="4" w:space="0"/>
        <w:right w:val="single" w:color="000000" w:sz="4" w:space="0"/>
      </w:pBdr>
      <w:shd w:val="clear" w:color="auto" w:fill="FFFFFF"/>
      <w:spacing w:before="100" w:beforeLines="0" w:beforeAutospacing="1" w:after="100" w:afterLines="0" w:afterAutospacing="1"/>
      <w:jc w:val="center"/>
    </w:pPr>
    <w:rPr>
      <w:rFonts w:ascii="Calibri" w:hAnsi="Calibri"/>
      <w:b/>
      <w:sz w:val="24"/>
    </w:rPr>
  </w:style>
  <w:style w:type="paragraph" w:customStyle="1" w:styleId="51">
    <w:name w:val="xl69"/>
    <w:basedOn w:val="1"/>
    <w:uiPriority w:val="0"/>
    <w:pPr>
      <w:widowControl/>
      <w:pBdr>
        <w:top w:val="single" w:color="000000" w:sz="4" w:space="0"/>
        <w:left w:val="single" w:color="000000" w:sz="4" w:space="0"/>
        <w:bottom w:val="single" w:color="000000" w:sz="4" w:space="0"/>
      </w:pBdr>
      <w:shd w:val="clear" w:color="auto" w:fill="FFFFFF"/>
      <w:spacing w:before="100" w:beforeLines="0" w:beforeAutospacing="1" w:after="100" w:afterLines="0" w:afterAutospacing="1"/>
      <w:jc w:val="center"/>
    </w:pPr>
    <w:rPr>
      <w:rFonts w:ascii="Calibri" w:hAnsi="Calibri"/>
      <w:sz w:val="24"/>
    </w:rPr>
  </w:style>
  <w:style w:type="paragraph" w:customStyle="1" w:styleId="52">
    <w:name w:val="xl81"/>
    <w:basedOn w:val="1"/>
    <w:uiPriority w:val="0"/>
    <w:pPr>
      <w:widowControl/>
      <w:pBdr>
        <w:top w:val="single" w:color="000000" w:sz="4" w:space="0"/>
        <w:left w:val="single" w:color="000000" w:sz="4" w:space="0"/>
        <w:right w:val="single" w:color="000000" w:sz="4" w:space="0"/>
      </w:pBdr>
      <w:shd w:val="clear" w:color="auto" w:fill="FFFFFF"/>
      <w:spacing w:before="100" w:beforeLines="0" w:beforeAutospacing="1" w:after="100" w:afterLines="0" w:afterAutospacing="1"/>
      <w:jc w:val="center"/>
    </w:pPr>
    <w:rPr>
      <w:rFonts w:ascii="宋体" w:hAnsi="宋体"/>
      <w:sz w:val="24"/>
    </w:rPr>
  </w:style>
  <w:style w:type="paragraph" w:customStyle="1" w:styleId="53">
    <w:name w:val="font5"/>
    <w:basedOn w:val="1"/>
    <w:uiPriority w:val="0"/>
    <w:pPr>
      <w:widowControl/>
      <w:spacing w:before="100" w:beforeLines="0" w:beforeAutospacing="1" w:after="100" w:afterLines="0" w:afterAutospacing="1"/>
      <w:jc w:val="left"/>
    </w:pPr>
    <w:rPr>
      <w:rFonts w:ascii="宋体" w:hAnsi="宋体"/>
      <w:b/>
      <w:sz w:val="22"/>
    </w:rPr>
  </w:style>
  <w:style w:type="paragraph" w:customStyle="1" w:styleId="54">
    <w:name w:val="Char Char Char Char Char Char Char"/>
    <w:basedOn w:val="1"/>
    <w:uiPriority w:val="0"/>
  </w:style>
  <w:style w:type="paragraph" w:customStyle="1" w:styleId="55">
    <w:name w:val="样式6 正文"/>
    <w:uiPriority w:val="0"/>
    <w:pPr>
      <w:spacing w:line="360" w:lineRule="auto"/>
      <w:ind w:firstLine="510"/>
    </w:pPr>
    <w:rPr>
      <w:sz w:val="24"/>
      <w:lang w:val="en-US" w:eastAsia="zh-CN" w:bidi="ar-SA"/>
    </w:rPr>
  </w:style>
  <w:style w:type="paragraph" w:customStyle="1" w:styleId="56">
    <w:name w:val="节"/>
    <w:basedOn w:val="1"/>
    <w:next w:val="36"/>
    <w:uiPriority w:val="0"/>
    <w:pPr>
      <w:tabs>
        <w:tab w:val="left" w:pos="1140"/>
      </w:tabs>
      <w:ind w:left="1140" w:hanging="720"/>
    </w:pPr>
    <w:rPr>
      <w:rFonts w:eastAsia="黑体"/>
      <w:sz w:val="28"/>
    </w:rPr>
  </w:style>
  <w:style w:type="paragraph" w:customStyle="1" w:styleId="57">
    <w:name w:val="xl68"/>
    <w:basedOn w:val="1"/>
    <w:uiPriority w:val="0"/>
    <w:pPr>
      <w:widowControl/>
      <w:pBdr>
        <w:top w:val="single" w:color="000000" w:sz="4" w:space="0"/>
        <w:left w:val="single" w:color="000000" w:sz="4" w:space="0"/>
        <w:right w:val="single" w:color="000000" w:sz="4" w:space="0"/>
      </w:pBdr>
      <w:shd w:val="clear" w:color="auto" w:fill="FFFFFF"/>
      <w:spacing w:before="100" w:beforeLines="0" w:beforeAutospacing="1" w:after="100" w:afterLines="0" w:afterAutospacing="1"/>
      <w:jc w:val="center"/>
    </w:pPr>
    <w:rPr>
      <w:rFonts w:ascii="Calibri" w:hAnsi="Calibri"/>
      <w:sz w:val="24"/>
    </w:rPr>
  </w:style>
  <w:style w:type="paragraph" w:customStyle="1" w:styleId="58">
    <w:name w:val="xl78"/>
    <w:basedOn w:val="1"/>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Lines="0" w:beforeAutospacing="1" w:after="100" w:afterLines="0" w:afterAutospacing="1"/>
      <w:jc w:val="right"/>
    </w:pPr>
    <w:rPr>
      <w:rFonts w:ascii="Calibri" w:hAnsi="Calibri"/>
      <w:sz w:val="24"/>
    </w:rPr>
  </w:style>
  <w:style w:type="paragraph" w:customStyle="1" w:styleId="59">
    <w:name w:val="_Style 44"/>
    <w:basedOn w:val="1"/>
    <w:uiPriority w:val="0"/>
    <w:pPr>
      <w:topLinePunct/>
    </w:pPr>
  </w:style>
  <w:style w:type="paragraph" w:customStyle="1" w:styleId="60">
    <w:name w:val="xl77"/>
    <w:basedOn w:val="1"/>
    <w:uiPriority w:val="0"/>
    <w:pPr>
      <w:widowControl/>
      <w:pBdr>
        <w:left w:val="single" w:color="000000" w:sz="4" w:space="0"/>
        <w:right w:val="single" w:color="000000" w:sz="4" w:space="0"/>
      </w:pBdr>
      <w:shd w:val="clear" w:color="auto" w:fill="FFFFFF"/>
      <w:spacing w:before="100" w:beforeLines="0" w:beforeAutospacing="1" w:after="100" w:afterLines="0" w:afterAutospacing="1"/>
      <w:jc w:val="center"/>
    </w:pPr>
    <w:rPr>
      <w:rFonts w:ascii="Calibri" w:hAnsi="Calibri"/>
      <w:b/>
      <w:sz w:val="24"/>
    </w:rPr>
  </w:style>
  <w:style w:type="paragraph" w:customStyle="1" w:styleId="61">
    <w:name w:val="xl64"/>
    <w:basedOn w:val="1"/>
    <w:uiPriority w:val="0"/>
    <w:pPr>
      <w:widowControl/>
      <w:spacing w:before="100" w:beforeLines="0" w:beforeAutospacing="1" w:after="100" w:afterLines="0" w:afterAutospacing="1"/>
      <w:jc w:val="center"/>
    </w:pPr>
    <w:rPr>
      <w:rFonts w:ascii="Calibri" w:hAnsi="Calibri"/>
      <w:sz w:val="24"/>
    </w:rPr>
  </w:style>
  <w:style w:type="paragraph" w:customStyle="1" w:styleId="62">
    <w:name w:val="xl75"/>
    <w:basedOn w:val="1"/>
    <w:uiPriority w:val="0"/>
    <w:pPr>
      <w:widowControl/>
      <w:pBdr>
        <w:top w:val="single" w:color="000000" w:sz="4" w:space="0"/>
        <w:left w:val="single" w:color="000000" w:sz="4" w:space="0"/>
        <w:bottom w:val="single" w:color="000000" w:sz="4" w:space="0"/>
      </w:pBdr>
      <w:shd w:val="clear" w:color="auto" w:fill="FFFFFF"/>
      <w:spacing w:before="100" w:beforeLines="0" w:beforeAutospacing="1" w:after="100" w:afterLines="0" w:afterAutospacing="1"/>
      <w:jc w:val="center"/>
    </w:pPr>
    <w:rPr>
      <w:rFonts w:ascii="宋体" w:hAnsi="宋体"/>
      <w:sz w:val="24"/>
    </w:rPr>
  </w:style>
  <w:style w:type="paragraph" w:customStyle="1" w:styleId="63">
    <w:name w:val="xl71"/>
    <w:basedOn w:val="1"/>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Lines="0" w:beforeAutospacing="1" w:after="100" w:afterLines="0" w:afterAutospacing="1"/>
      <w:jc w:val="center"/>
    </w:pPr>
    <w:rPr>
      <w:rFonts w:ascii="Calibri" w:hAnsi="Calibri"/>
      <w:sz w:val="24"/>
    </w:rPr>
  </w:style>
  <w:style w:type="paragraph" w:customStyle="1" w:styleId="64">
    <w:name w:val="font7"/>
    <w:basedOn w:val="1"/>
    <w:uiPriority w:val="0"/>
    <w:pPr>
      <w:widowControl/>
      <w:spacing w:before="100" w:beforeLines="0" w:beforeAutospacing="1" w:after="100" w:afterLines="0" w:afterAutospacing="1"/>
      <w:jc w:val="left"/>
    </w:pPr>
    <w:rPr>
      <w:rFonts w:ascii="宋体" w:hAnsi="宋体"/>
      <w:sz w:val="22"/>
    </w:rPr>
  </w:style>
  <w:style w:type="paragraph" w:customStyle="1" w:styleId="65">
    <w:name w:val="xl67"/>
    <w:basedOn w:val="1"/>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Lines="0" w:beforeAutospacing="1" w:after="100" w:afterLines="0" w:afterAutospacing="1"/>
      <w:jc w:val="center"/>
    </w:pPr>
    <w:rPr>
      <w:rFonts w:ascii="Calibri" w:hAnsi="Calibri"/>
      <w:b/>
      <w:sz w:val="24"/>
    </w:rPr>
  </w:style>
  <w:style w:type="paragraph" w:customStyle="1" w:styleId="66">
    <w:name w:val="默认段落字体 Para Char Char Char Char"/>
    <w:basedOn w:val="1"/>
    <w:uiPriority w:val="0"/>
  </w:style>
  <w:style w:type="paragraph" w:customStyle="1" w:styleId="67">
    <w:name w:val="xl83"/>
    <w:basedOn w:val="1"/>
    <w:uiPriority w:val="0"/>
    <w:pPr>
      <w:widowControl/>
      <w:pBdr>
        <w:bottom w:val="single" w:color="000000" w:sz="4" w:space="0"/>
        <w:right w:val="single" w:color="000000" w:sz="4" w:space="0"/>
      </w:pBdr>
      <w:shd w:val="clear" w:color="000000" w:fill="FFFFFF"/>
      <w:spacing w:before="100" w:beforeAutospacing="1" w:after="100" w:afterAutospacing="1"/>
      <w:jc w:val="right"/>
    </w:pPr>
    <w:rPr>
      <w:rFonts w:ascii="宋体" w:hAnsi="宋体" w:cs="宋体"/>
      <w:color w:val="000000"/>
      <w:kern w:val="0"/>
      <w:sz w:val="18"/>
      <w:szCs w:val="18"/>
    </w:rPr>
  </w:style>
  <w:style w:type="paragraph" w:customStyle="1" w:styleId="68">
    <w:name w:val="Char"/>
    <w:basedOn w:val="1"/>
    <w:uiPriority w:val="0"/>
    <w:rPr>
      <w:rFonts w:ascii="仿宋_GB2312" w:eastAsia="仿宋_GB2312"/>
      <w:b/>
      <w:sz w:val="32"/>
    </w:rPr>
  </w:style>
  <w:style w:type="character" w:customStyle="1" w:styleId="69">
    <w:name w:val="标题 1 Char"/>
    <w:link w:val="2"/>
    <w:uiPriority w:val="0"/>
    <w:rPr>
      <w:rFonts w:ascii="Times New Roman" w:hAnsi="Times New Roman" w:eastAsia="宋体" w:cs="Times New Roman"/>
      <w:b/>
      <w:kern w:val="44"/>
      <w:sz w:val="44"/>
      <w:szCs w:val="20"/>
    </w:rPr>
  </w:style>
  <w:style w:type="character" w:customStyle="1" w:styleId="70">
    <w:name w:val="标题 2 Char"/>
    <w:link w:val="3"/>
    <w:uiPriority w:val="0"/>
    <w:rPr>
      <w:rFonts w:ascii="Cambria" w:hAnsi="Cambria" w:eastAsia="宋体" w:cs="黑体"/>
      <w:b/>
      <w:bCs/>
      <w:sz w:val="32"/>
      <w:szCs w:val="32"/>
    </w:rPr>
  </w:style>
  <w:style w:type="character" w:customStyle="1" w:styleId="71">
    <w:name w:val="标题 4 Char"/>
    <w:link w:val="4"/>
    <w:uiPriority w:val="0"/>
    <w:rPr>
      <w:rFonts w:ascii="Cambria" w:hAnsi="Times New Roman" w:eastAsia="宋体" w:cs="宋体"/>
      <w:b/>
      <w:sz w:val="28"/>
      <w:szCs w:val="20"/>
    </w:rPr>
  </w:style>
  <w:style w:type="character" w:customStyle="1" w:styleId="72">
    <w:name w:val="标题 5 Char"/>
    <w:link w:val="5"/>
    <w:uiPriority w:val="0"/>
    <w:rPr>
      <w:rFonts w:ascii="Times New Roman" w:hAnsi="Times New Roman" w:eastAsia="宋体" w:cs="Times New Roman"/>
      <w:b/>
      <w:sz w:val="28"/>
      <w:szCs w:val="20"/>
    </w:rPr>
  </w:style>
  <w:style w:type="character" w:customStyle="1" w:styleId="73">
    <w:name w:val="标题 6 Char"/>
    <w:link w:val="6"/>
    <w:uiPriority w:val="0"/>
    <w:rPr>
      <w:rFonts w:ascii="Cambria" w:hAnsi="Times New Roman" w:eastAsia="宋体" w:cs="宋体"/>
      <w:b/>
      <w:sz w:val="24"/>
      <w:szCs w:val="20"/>
    </w:rPr>
  </w:style>
  <w:style w:type="character" w:customStyle="1" w:styleId="74">
    <w:name w:val="标题 7 Char"/>
    <w:link w:val="7"/>
    <w:uiPriority w:val="0"/>
    <w:rPr>
      <w:rFonts w:ascii="Times New Roman" w:hAnsi="Times New Roman" w:eastAsia="宋体" w:cs="Times New Roman"/>
      <w:b/>
      <w:sz w:val="24"/>
      <w:szCs w:val="20"/>
    </w:rPr>
  </w:style>
  <w:style w:type="character" w:customStyle="1" w:styleId="75">
    <w:name w:val="批注文字 Char"/>
    <w:link w:val="8"/>
    <w:semiHidden/>
    <w:uiPriority w:val="99"/>
    <w:rPr>
      <w:kern w:val="2"/>
      <w:sz w:val="21"/>
    </w:rPr>
  </w:style>
  <w:style w:type="character" w:customStyle="1" w:styleId="76">
    <w:name w:val="批注框文本 Char"/>
    <w:link w:val="10"/>
    <w:uiPriority w:val="0"/>
    <w:rPr>
      <w:rFonts w:ascii="Times New Roman" w:hAnsi="Times New Roman" w:eastAsia="宋体" w:cs="Times New Roman"/>
      <w:sz w:val="18"/>
      <w:szCs w:val="18"/>
    </w:rPr>
  </w:style>
  <w:style w:type="character" w:customStyle="1" w:styleId="77">
    <w:name w:val="页脚 Char"/>
    <w:link w:val="11"/>
    <w:uiPriority w:val="0"/>
    <w:rPr>
      <w:sz w:val="18"/>
      <w:szCs w:val="18"/>
    </w:rPr>
  </w:style>
  <w:style w:type="character" w:customStyle="1" w:styleId="78">
    <w:name w:val="页眉 Char"/>
    <w:link w:val="12"/>
    <w:uiPriority w:val="0"/>
    <w:rPr>
      <w:sz w:val="18"/>
      <w:szCs w:val="18"/>
    </w:rPr>
  </w:style>
  <w:style w:type="character" w:customStyle="1" w:styleId="79">
    <w:name w:val="批注主题 Char"/>
    <w:link w:val="13"/>
    <w:semiHidden/>
    <w:uiPriority w:val="99"/>
    <w:rPr>
      <w:b/>
      <w:bCs/>
      <w:kern w:val="2"/>
      <w:sz w:val="21"/>
    </w:rPr>
  </w:style>
  <w:style w:type="character" w:customStyle="1" w:styleId="80">
    <w:name w:val="font111"/>
    <w:uiPriority w:val="0"/>
    <w:rPr>
      <w:rFonts w:hint="eastAsia" w:ascii="宋体" w:hAnsi="宋体" w:eastAsia="宋体" w:cs="宋体"/>
      <w:color w:val="000000"/>
      <w:sz w:val="18"/>
      <w:szCs w:val="18"/>
      <w:u w:val="none"/>
    </w:rPr>
  </w:style>
  <w:style w:type="character" w:customStyle="1" w:styleId="81">
    <w:name w:val="正文文本缩进 2 Char"/>
    <w:link w:val="21"/>
    <w:uiPriority w:val="0"/>
    <w:rPr>
      <w:rFonts w:ascii="楷体_GB2312" w:hAnsi="宋体" w:eastAsia="楷体_GB2312" w:cs="Times New Roman"/>
      <w:sz w:val="30"/>
      <w:szCs w:val="20"/>
    </w:rPr>
  </w:style>
  <w:style w:type="character" w:customStyle="1" w:styleId="82">
    <w:name w:val="正文文本缩进 2 Char1"/>
    <w:uiPriority w:val="0"/>
    <w:rPr>
      <w:rFonts w:hint="default" w:ascii="Times New Roman" w:hAnsi="Times New Roman" w:cs="Times New Roman"/>
      <w:kern w:val="2"/>
      <w:sz w:val="21"/>
    </w:rPr>
  </w:style>
  <w:style w:type="character" w:customStyle="1" w:styleId="83">
    <w:name w:val="文档结构图 Char"/>
    <w:link w:val="22"/>
    <w:uiPriority w:val="0"/>
    <w:rPr>
      <w:rFonts w:ascii="Times New Roman" w:hAnsi="Times New Roman" w:eastAsia="宋体" w:cs="Times New Roman"/>
      <w:szCs w:val="20"/>
      <w:shd w:val="clear" w:color="auto" w:fill="000080"/>
    </w:rPr>
  </w:style>
  <w:style w:type="character" w:customStyle="1" w:styleId="84">
    <w:name w:val="lemmatitleh1"/>
    <w:basedOn w:val="16"/>
    <w:uiPriority w:val="0"/>
  </w:style>
  <w:style w:type="character" w:customStyle="1" w:styleId="85">
    <w:name w:val="fl"/>
    <w:basedOn w:val="16"/>
    <w:uiPriority w:val="0"/>
    <w:rPr>
      <w:color w:val="999999"/>
    </w:rPr>
  </w:style>
  <w:style w:type="character" w:customStyle="1" w:styleId="86">
    <w:name w:val="fe-font3"/>
    <w:basedOn w:val="16"/>
    <w:uiPriority w:val="0"/>
    <w:rPr>
      <w:color w:val="00B4FF"/>
      <w:sz w:val="27"/>
      <w:szCs w:val="27"/>
    </w:rPr>
  </w:style>
  <w:style w:type="character" w:customStyle="1" w:styleId="87">
    <w:name w:val="font141"/>
    <w:uiPriority w:val="0"/>
    <w:rPr>
      <w:rFonts w:hint="default" w:ascii="Arial" w:hAnsi="Arial" w:cs="Arial"/>
      <w:b/>
      <w:color w:val="000000"/>
      <w:sz w:val="22"/>
      <w:szCs w:val="22"/>
      <w:u w:val="single"/>
    </w:rPr>
  </w:style>
  <w:style w:type="character" w:customStyle="1" w:styleId="88">
    <w:name w:val="纯文本 Char"/>
    <w:link w:val="23"/>
    <w:uiPriority w:val="0"/>
    <w:rPr>
      <w:rFonts w:ascii="宋体" w:hAnsi="Courier New" w:eastAsia="宋体" w:cs="Times New Roman"/>
      <w:szCs w:val="20"/>
    </w:rPr>
  </w:style>
  <w:style w:type="character" w:customStyle="1" w:styleId="89">
    <w:name w:val="cdropright"/>
    <w:basedOn w:val="16"/>
    <w:uiPriority w:val="0"/>
  </w:style>
  <w:style w:type="character" w:customStyle="1" w:styleId="90">
    <w:name w:val="media_progress_done"/>
    <w:basedOn w:val="16"/>
    <w:uiPriority w:val="0"/>
    <w:rPr>
      <w:shd w:val="clear" w:color="auto" w:fill="009900"/>
    </w:rPr>
  </w:style>
  <w:style w:type="character" w:customStyle="1" w:styleId="91">
    <w:name w:val="fe-font2"/>
    <w:basedOn w:val="16"/>
    <w:uiPriority w:val="0"/>
    <w:rPr>
      <w:sz w:val="39"/>
      <w:szCs w:val="39"/>
    </w:rPr>
  </w:style>
  <w:style w:type="character" w:customStyle="1" w:styleId="92">
    <w:name w:val="icon_search"/>
    <w:basedOn w:val="16"/>
    <w:uiPriority w:val="0"/>
  </w:style>
  <w:style w:type="character" w:customStyle="1" w:styleId="93">
    <w:name w:val="font71"/>
    <w:uiPriority w:val="0"/>
    <w:rPr>
      <w:rFonts w:hint="default" w:ascii="Arial" w:hAnsi="Arial" w:cs="Arial"/>
      <w:b/>
      <w:color w:val="000000"/>
      <w:sz w:val="18"/>
      <w:szCs w:val="18"/>
      <w:u w:val="none"/>
    </w:rPr>
  </w:style>
  <w:style w:type="character" w:customStyle="1" w:styleId="94">
    <w:name w:val="media_progress_loading"/>
    <w:basedOn w:val="16"/>
    <w:uiPriority w:val="0"/>
    <w:rPr>
      <w:shd w:val="clear" w:color="auto" w:fill="5089C0"/>
    </w:rPr>
  </w:style>
  <w:style w:type="character" w:customStyle="1" w:styleId="95">
    <w:name w:val="delete_con"/>
    <w:basedOn w:val="16"/>
    <w:uiPriority w:val="0"/>
  </w:style>
  <w:style w:type="character" w:customStyle="1" w:styleId="96">
    <w:name w:val="font51"/>
    <w:uiPriority w:val="0"/>
    <w:rPr>
      <w:rFonts w:hint="eastAsia" w:ascii="宋体" w:hAnsi="宋体" w:eastAsia="宋体" w:cs="宋体"/>
      <w:b/>
      <w:color w:val="000000"/>
      <w:sz w:val="22"/>
      <w:szCs w:val="22"/>
      <w:u w:val="single"/>
    </w:rPr>
  </w:style>
  <w:style w:type="character" w:customStyle="1" w:styleId="97">
    <w:name w:val="font61"/>
    <w:uiPriority w:val="0"/>
    <w:rPr>
      <w:rFonts w:hint="eastAsia" w:ascii="宋体" w:hAnsi="宋体" w:eastAsia="宋体" w:cs="宋体"/>
      <w:color w:val="000000"/>
      <w:sz w:val="18"/>
      <w:szCs w:val="18"/>
      <w:u w:val="none"/>
      <w:vertAlign w:val="superscript"/>
    </w:rPr>
  </w:style>
  <w:style w:type="character" w:customStyle="1" w:styleId="98">
    <w:name w:val="font31"/>
    <w:uiPriority w:val="0"/>
    <w:rPr>
      <w:rFonts w:hint="eastAsia" w:ascii="宋体" w:hAnsi="宋体" w:eastAsia="宋体" w:cs="宋体"/>
      <w:color w:val="000000"/>
      <w:sz w:val="20"/>
      <w:szCs w:val="20"/>
      <w:u w:val="none"/>
    </w:rPr>
  </w:style>
  <w:style w:type="character" w:customStyle="1" w:styleId="99">
    <w:name w:val="font91"/>
    <w:uiPriority w:val="0"/>
    <w:rPr>
      <w:rFonts w:hint="eastAsia" w:ascii="宋体" w:hAnsi="宋体" w:eastAsia="宋体" w:cs="宋体"/>
      <w:b/>
      <w:color w:val="000000"/>
      <w:sz w:val="22"/>
      <w:szCs w:val="22"/>
      <w:u w:val="none"/>
    </w:rPr>
  </w:style>
  <w:style w:type="character" w:customStyle="1" w:styleId="100">
    <w:name w:val="delete_con1"/>
    <w:basedOn w:val="16"/>
    <w:uiPriority w:val="0"/>
  </w:style>
  <w:style w:type="character" w:customStyle="1" w:styleId="101">
    <w:name w:val="日期 Char"/>
    <w:link w:val="24"/>
    <w:uiPriority w:val="0"/>
    <w:rPr>
      <w:rFonts w:ascii="Times New Roman" w:hAnsi="Times New Roman" w:eastAsia="宋体" w:cs="Times New Roman"/>
      <w:szCs w:val="20"/>
    </w:rPr>
  </w:style>
  <w:style w:type="character" w:customStyle="1" w:styleId="102">
    <w:name w:val="font171"/>
    <w:uiPriority w:val="0"/>
    <w:rPr>
      <w:rFonts w:hint="eastAsia" w:ascii="宋体" w:hAnsi="宋体" w:eastAsia="宋体" w:cs="宋体"/>
      <w:color w:val="000000"/>
      <w:sz w:val="18"/>
      <w:szCs w:val="18"/>
      <w:u w:val="none"/>
    </w:rPr>
  </w:style>
  <w:style w:type="character" w:customStyle="1" w:styleId="103">
    <w:name w:val="font151"/>
    <w:uiPriority w:val="0"/>
    <w:rPr>
      <w:rFonts w:hint="default" w:ascii="Arial" w:hAnsi="Arial" w:cs="Arial"/>
      <w:b/>
      <w:color w:val="000000"/>
      <w:sz w:val="22"/>
      <w:szCs w:val="22"/>
      <w:u w:val="single"/>
    </w:rPr>
  </w:style>
  <w:style w:type="character" w:customStyle="1" w:styleId="104">
    <w:name w:val="look_show_list"/>
    <w:basedOn w:val="16"/>
    <w:uiPriority w:val="0"/>
  </w:style>
  <w:style w:type="character" w:customStyle="1" w:styleId="105">
    <w:name w:val="font41"/>
    <w:uiPriority w:val="0"/>
    <w:rPr>
      <w:rFonts w:hint="eastAsia" w:ascii="宋体" w:hAnsi="宋体" w:eastAsia="宋体" w:cs="宋体"/>
      <w:color w:val="000000"/>
      <w:sz w:val="18"/>
      <w:szCs w:val="18"/>
      <w:u w:val="none"/>
      <w:vertAlign w:val="superscript"/>
    </w:rPr>
  </w:style>
  <w:style w:type="character" w:customStyle="1" w:styleId="106">
    <w:name w:val="font11"/>
    <w:uiPriority w:val="0"/>
    <w:rPr>
      <w:rFonts w:hint="eastAsia" w:ascii="宋体" w:hAnsi="宋体" w:eastAsia="宋体" w:cs="宋体"/>
      <w:color w:val="000000"/>
      <w:sz w:val="24"/>
      <w:szCs w:val="24"/>
      <w:u w:val="none"/>
      <w:vertAlign w:val="superscript"/>
    </w:rPr>
  </w:style>
  <w:style w:type="character" w:customStyle="1" w:styleId="107">
    <w:name w:val="media_progress_done1"/>
    <w:basedOn w:val="16"/>
    <w:uiPriority w:val="0"/>
    <w:rPr>
      <w:shd w:val="clear" w:color="auto" w:fill="009900"/>
    </w:rPr>
  </w:style>
  <w:style w:type="character" w:customStyle="1" w:styleId="108">
    <w:name w:val="样式 段前: 0.5 行 行距: 固定值 23 磅 Char"/>
    <w:link w:val="25"/>
    <w:uiPriority w:val="0"/>
    <w:rPr>
      <w:rFonts w:cs="宋体"/>
      <w:sz w:val="24"/>
      <w:szCs w:val="20"/>
    </w:rPr>
  </w:style>
  <w:style w:type="character" w:customStyle="1" w:styleId="109">
    <w:name w:val="icon_search1"/>
    <w:basedOn w:val="16"/>
    <w:uiPriority w:val="0"/>
  </w:style>
  <w:style w:type="character" w:customStyle="1" w:styleId="110">
    <w:name w:val="fl1"/>
    <w:basedOn w:val="16"/>
    <w:uiPriority w:val="0"/>
  </w:style>
  <w:style w:type="character" w:customStyle="1" w:styleId="111">
    <w:name w:val="space"/>
    <w:basedOn w:val="16"/>
    <w:uiPriority w:val="0"/>
  </w:style>
  <w:style w:type="character" w:customStyle="1" w:styleId="112">
    <w:name w:val="fl3"/>
    <w:basedOn w:val="16"/>
    <w:uiPriority w:val="0"/>
    <w:rPr>
      <w:color w:val="999999"/>
    </w:rPr>
  </w:style>
  <w:style w:type="character" w:customStyle="1" w:styleId="113">
    <w:name w:val="标题 2 Char Char"/>
    <w:link w:val="26"/>
    <w:uiPriority w:val="0"/>
    <w:rPr>
      <w:rFonts w:ascii="Cambria" w:hAnsi="Cambria"/>
      <w:b/>
      <w:sz w:val="32"/>
    </w:rPr>
  </w:style>
  <w:style w:type="character" w:customStyle="1" w:styleId="114">
    <w:name w:val="progress_done"/>
    <w:basedOn w:val="16"/>
    <w:uiPriority w:val="0"/>
    <w:rPr>
      <w:shd w:val="clear" w:color="auto" w:fill="009900"/>
    </w:rPr>
  </w:style>
  <w:style w:type="character" w:customStyle="1" w:styleId="115">
    <w:name w:val="font161"/>
    <w:uiPriority w:val="0"/>
    <w:rPr>
      <w:rFonts w:hint="default" w:ascii="Arial" w:hAnsi="Arial" w:cs="Arial"/>
      <w:color w:val="000000"/>
      <w:sz w:val="18"/>
      <w:szCs w:val="18"/>
      <w:u w:val="none"/>
    </w:rPr>
  </w:style>
  <w:style w:type="character" w:customStyle="1" w:styleId="116">
    <w:name w:val="font81"/>
    <w:uiPriority w:val="0"/>
    <w:rPr>
      <w:rFonts w:hint="eastAsia" w:ascii="宋体" w:hAnsi="宋体" w:eastAsia="宋体" w:cs="宋体"/>
      <w:color w:val="000000"/>
      <w:sz w:val="18"/>
      <w:szCs w:val="18"/>
      <w:u w:val="none"/>
    </w:rPr>
  </w:style>
  <w:style w:type="character" w:customStyle="1" w:styleId="117">
    <w:name w:val="font131"/>
    <w:uiPriority w:val="0"/>
    <w:rPr>
      <w:rFonts w:hint="default" w:ascii="Arial" w:hAnsi="Arial" w:cs="Arial"/>
      <w:color w:val="000000"/>
      <w:sz w:val="18"/>
      <w:szCs w:val="18"/>
      <w:u w:val="none"/>
    </w:rPr>
  </w:style>
  <w:style w:type="character" w:customStyle="1" w:styleId="118">
    <w:name w:val="font21"/>
    <w:uiPriority w:val="0"/>
    <w:rPr>
      <w:rFonts w:hint="default" w:ascii="Arial" w:hAnsi="Arial" w:cs="Arial"/>
      <w:color w:val="000000"/>
      <w:sz w:val="18"/>
      <w:szCs w:val="18"/>
      <w:u w:val="none"/>
    </w:rPr>
  </w:style>
  <w:style w:type="character" w:customStyle="1" w:styleId="119">
    <w:name w:val="media_progress_loading1"/>
    <w:basedOn w:val="16"/>
    <w:uiPriority w:val="0"/>
    <w:rPr>
      <w:shd w:val="clear" w:color="auto" w:fill="5089C0"/>
    </w:rPr>
  </w:style>
  <w:style w:type="character" w:customStyle="1" w:styleId="120">
    <w:name w:val="纯文本 Char2"/>
    <w:semiHidden/>
    <w:uiPriority w:val="99"/>
    <w:rPr>
      <w:rFonts w:ascii="宋体" w:hAnsi="Courier New" w:cs="Courier New"/>
      <w:kern w:val="2"/>
      <w:sz w:val="21"/>
      <w:szCs w:val="21"/>
    </w:rPr>
  </w:style>
  <w:style w:type="character" w:customStyle="1" w:styleId="121">
    <w:name w:val="progress_done6"/>
    <w:basedOn w:val="16"/>
    <w:uiPriority w:val="0"/>
    <w:rPr>
      <w:shd w:val="clear" w:color="auto" w:fill="009900"/>
    </w:rPr>
  </w:style>
  <w:style w:type="character" w:customStyle="1" w:styleId="122">
    <w:name w:val="访问过的超链接1"/>
    <w:uiPriority w:val="0"/>
    <w:rPr>
      <w:color w:val="800080"/>
      <w:u w:val="single"/>
    </w:rPr>
  </w:style>
  <w:style w:type="character" w:customStyle="1" w:styleId="123">
    <w:name w:val="font01"/>
    <w:uiPriority w:val="0"/>
    <w:rPr>
      <w:rFonts w:ascii="Arial" w:hAnsi="Arial" w:cs="Arial"/>
      <w:color w:val="000000"/>
      <w:sz w:val="20"/>
      <w:szCs w:val="20"/>
      <w:u w:val="none"/>
    </w:rPr>
  </w:style>
  <w:style w:type="character" w:customStyle="1" w:styleId="124">
    <w:name w:val="fl4"/>
    <w:basedOn w:val="16"/>
    <w:uiPriority w:val="0"/>
  </w:style>
  <w:style w:type="character" w:customStyle="1" w:styleId="125">
    <w:name w:val="纯文本 Char1"/>
    <w:uiPriority w:val="0"/>
    <w:rPr>
      <w:rFonts w:hint="eastAsia" w:ascii="宋体" w:hAnsi="Courier New" w:eastAsia="宋体"/>
      <w:kern w:val="2"/>
      <w:sz w:val="21"/>
    </w:rPr>
  </w:style>
  <w:style w:type="character" w:customStyle="1" w:styleId="126">
    <w:name w:val="无间隔 Char"/>
    <w:link w:val="27"/>
    <w:uiPriority w:val="0"/>
    <w:rPr>
      <w:rFonts w:ascii="Calibri" w:hAnsi="Calibri" w:cs="Calibri"/>
      <w:sz w:val="22"/>
      <w:lang w:val="en-US" w:eastAsia="zh-CN" w:bidi="ar-SA"/>
    </w:rPr>
  </w:style>
  <w:style w:type="character" w:customStyle="1" w:styleId="127">
    <w:name w:val="标题 3 Char"/>
    <w:link w:val="28"/>
    <w:uiPriority w:val="0"/>
    <w:rPr>
      <w:b/>
      <w:sz w:val="32"/>
    </w:rPr>
  </w:style>
  <w:style w:type="character" w:customStyle="1" w:styleId="128">
    <w:name w:val="progress_loading6"/>
    <w:basedOn w:val="16"/>
    <w:uiPriority w:val="0"/>
    <w:rPr>
      <w:shd w:val="clear" w:color="auto" w:fill="5089C0"/>
    </w:rPr>
  </w:style>
  <w:style w:type="character" w:customStyle="1" w:styleId="129">
    <w:name w:val="cdropleft"/>
    <w:basedOn w:val="16"/>
    <w:uiPriority w:val="0"/>
  </w:style>
  <w:style w:type="character" w:customStyle="1" w:styleId="130">
    <w:name w:val="fl2"/>
    <w:basedOn w:val="16"/>
    <w:uiPriority w:val="0"/>
  </w:style>
  <w:style w:type="character" w:customStyle="1" w:styleId="131">
    <w:name w:val="font101"/>
    <w:uiPriority w:val="0"/>
    <w:rPr>
      <w:rFonts w:hint="eastAsia" w:ascii="宋体" w:hAnsi="宋体" w:eastAsia="宋体" w:cs="宋体"/>
      <w:color w:val="000000"/>
      <w:sz w:val="20"/>
      <w:szCs w:val="20"/>
      <w:u w:val="none"/>
    </w:rPr>
  </w:style>
  <w:style w:type="character" w:customStyle="1" w:styleId="132">
    <w:name w:val="progress_loading"/>
    <w:basedOn w:val="16"/>
    <w:uiPriority w:val="0"/>
    <w:rPr>
      <w:shd w:val="clear" w:color="auto" w:fill="5089C0"/>
    </w:rPr>
  </w:style>
  <w:style w:type="character" w:customStyle="1" w:styleId="133">
    <w:name w:val="progress_done4"/>
    <w:basedOn w:val="16"/>
    <w:uiPriority w:val="0"/>
    <w:rPr>
      <w:shd w:val="clear" w:color="auto" w:fill="0099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12</Pages>
  <Words>6991</Words>
  <Characters>7233</Characters>
  <Lines>52</Lines>
  <Paragraphs>14</Paragraphs>
  <TotalTime>4</TotalTime>
  <ScaleCrop>false</ScaleCrop>
  <LinksUpToDate>false</LinksUpToDate>
  <CharactersWithSpaces>7375</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2018-12-14T08:23:00Z</dcterms:created>
  <dc:creator>李娜</dc:creator>
  <cp:lastModifiedBy>许丹绮</cp:lastModifiedBy>
  <cp:lastPrinted>2019-01-18T09:21:00Z</cp:lastPrinted>
  <dcterms:modified xsi:type="dcterms:W3CDTF">2026-04-21T11:09:47Z</dcterms:modified>
  <dc:title>田巍巍</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71F709F1B5484E868E34DD67C9693419</vt:lpwstr>
  </property>
  <property fmtid="{D5CDD505-2E9C-101B-9397-08002B2CF9AE}" pid="4" name="KSOTemplateDocerSaveRecord">
    <vt:lpwstr>eyJoZGlkIjoiMzE1ZGRiODkzNzI5YmJhZDQ3YjIyYjk1Njk0ZTk5MjEiLCJ1c2VySWQiOiI0NTMxNTEyMDEifQ==</vt:lpwstr>
  </property>
</Properties>
</file>