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cs="Times New Roman"/>
          <w:b/>
          <w:bCs w:val="0"/>
          <w:color w:val="auto"/>
          <w:spacing w:val="-10"/>
          <w:sz w:val="56"/>
          <w:szCs w:val="56"/>
          <w:lang w:eastAsia="zh-CN"/>
        </w:rPr>
        <w:t>优和汇·红荔项目空调清洗服务采购（第二次）</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（珠海正方资产运营管理有限公司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4月22日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一、</w:t>
      </w:r>
      <w:r>
        <w:rPr>
          <w:rFonts w:hint="default" w:ascii="Times New Roman" w:hAnsi="Times New Roman" w:eastAsia="宋体" w:cs="Times New Roman"/>
          <w:b/>
          <w:bCs/>
          <w:color w:val="auto"/>
          <w:sz w:val="24"/>
        </w:rPr>
        <w:t>采购人：</w:t>
      </w: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珠海正方资产运营管理有限公司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r>
        <w:rPr>
          <w:rFonts w:hint="eastAsia" w:cs="Times New Roman"/>
          <w:b w:val="0"/>
          <w:bCs w:val="0"/>
          <w:color w:val="auto"/>
          <w:sz w:val="24"/>
          <w:lang w:val="en-US" w:eastAsia="zh-CN"/>
        </w:rPr>
        <w:t>：</w:t>
      </w:r>
      <w:r>
        <w:rPr>
          <w:rFonts w:hint="eastAsia"/>
          <w:b w:val="0"/>
          <w:bCs w:val="0"/>
          <w:color w:val="auto"/>
          <w:sz w:val="24"/>
        </w:rPr>
        <w:t>优和汇·红荔项目空调清洗服务采购</w:t>
      </w:r>
      <w:r>
        <w:rPr>
          <w:rFonts w:hint="eastAsia"/>
          <w:b w:val="0"/>
          <w:bCs w:val="0"/>
          <w:color w:val="auto"/>
          <w:sz w:val="24"/>
          <w:lang w:eastAsia="zh-CN"/>
        </w:rPr>
        <w:t>，</w:t>
      </w:r>
      <w:r>
        <w:rPr>
          <w:rFonts w:hint="eastAsia" w:cs="Times New Roman"/>
          <w:b w:val="0"/>
          <w:bCs w:val="0"/>
          <w:color w:val="auto"/>
          <w:sz w:val="24"/>
          <w:lang w:val="en-US" w:eastAsia="zh-CN"/>
        </w:rPr>
        <w:t>项目有挂机24台，风管机37台，天花机62台，空调外机98台。详见任务书。</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三、</w:t>
      </w:r>
      <w:r>
        <w:rPr>
          <w:rFonts w:hint="default" w:ascii="Times New Roman" w:hAnsi="Times New Roman" w:eastAsia="宋体" w:cs="Times New Roman"/>
          <w:b/>
          <w:bCs/>
          <w:color w:val="auto"/>
          <w:sz w:val="24"/>
        </w:rPr>
        <w:t>采购预算总额：</w:t>
      </w: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val="en-US" w:eastAsia="zh-CN"/>
        </w:rPr>
        <w:t>壹万零陆佰捌拾元</w:t>
      </w:r>
      <w:r>
        <w:rPr>
          <w:rFonts w:hint="eastAsia" w:cs="Times New Roman"/>
          <w:color w:val="auto"/>
          <w:sz w:val="24"/>
          <w:u w:val="none"/>
          <w:lang w:eastAsia="zh-CN"/>
        </w:rPr>
        <w:t>整</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10680.00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报价上限：人民币</w:t>
      </w:r>
      <w:r>
        <w:rPr>
          <w:rFonts w:hint="eastAsia" w:cs="Times New Roman"/>
          <w:color w:val="auto"/>
          <w:sz w:val="24"/>
          <w:u w:val="none"/>
          <w:lang w:val="en-US" w:eastAsia="zh-CN"/>
        </w:rPr>
        <w:t>壹万零陆佰捌拾元</w:t>
      </w:r>
      <w:r>
        <w:rPr>
          <w:rFonts w:hint="eastAsia" w:cs="Times New Roman"/>
          <w:color w:val="auto"/>
          <w:sz w:val="24"/>
          <w:u w:val="none"/>
          <w:lang w:eastAsia="zh-CN"/>
        </w:rPr>
        <w:t>整</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10680.00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36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优和汇·红荔项目空调清洗服务采购（第二次）</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进行询价，具体详见附件</w:t>
      </w:r>
      <w:r>
        <w:rPr>
          <w:rFonts w:hint="eastAsia" w:cs="Times New Roman"/>
          <w:color w:val="auto"/>
          <w:sz w:val="24"/>
          <w:lang w:val="en-US" w:eastAsia="zh-CN"/>
        </w:rPr>
        <w:t>1</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技术任务书</w:t>
      </w:r>
      <w:r>
        <w:rPr>
          <w:rFonts w:hint="default" w:ascii="Times New Roman" w:hAnsi="Times New Roman" w:eastAsia="宋体" w:cs="Times New Roman"/>
          <w:color w:val="auto"/>
          <w:sz w:val="24"/>
        </w:rPr>
        <w:t>》</w:t>
      </w:r>
      <w:r>
        <w:rPr>
          <w:rFonts w:hint="eastAsia" w:cs="Times New Roman"/>
          <w:color w:val="auto"/>
          <w:sz w:val="24"/>
          <w:lang w:eastAsia="zh-CN"/>
        </w:rPr>
        <w:t>。</w:t>
      </w:r>
    </w:p>
    <w:p>
      <w:pPr>
        <w:numPr>
          <w:ilvl w:val="0"/>
          <w:numId w:val="0"/>
        </w:numPr>
        <w:tabs>
          <w:tab w:val="left" w:pos="720"/>
        </w:tabs>
        <w:spacing w:beforeLines="0" w:afterLines="0" w:line="36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w:t>
      </w:r>
      <w:r>
        <w:rPr>
          <w:rFonts w:hint="eastAsia" w:cs="Times New Roman"/>
          <w:b w:val="0"/>
          <w:bCs w:val="0"/>
          <w:color w:val="auto"/>
          <w:sz w:val="24"/>
          <w:lang w:val="en-US" w:eastAsia="zh-CN"/>
        </w:rPr>
        <w:t xml:space="preserve">. </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必须是在中华人民共和国境内注册的、具有独立承担民事责任能力的企业法人或其他组织；</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w:t>
      </w:r>
      <w:r>
        <w:rPr>
          <w:rFonts w:hint="eastAsia" w:cs="Times New Roman"/>
          <w:b w:val="0"/>
          <w:bCs w:val="0"/>
          <w:color w:val="auto"/>
          <w:sz w:val="24"/>
          <w:lang w:val="en-US" w:eastAsia="zh-CN"/>
        </w:rPr>
        <w:t xml:space="preserve">. </w:t>
      </w:r>
      <w:r>
        <w:rPr>
          <w:rFonts w:hint="default" w:ascii="Times New Roman" w:hAnsi="Times New Roman" w:eastAsia="宋体" w:cs="Times New Roman"/>
          <w:b w:val="0"/>
          <w:bCs w:val="0"/>
          <w:color w:val="auto"/>
          <w:sz w:val="24"/>
        </w:rPr>
        <w:t>自公告发布之日起近5年具备2个空调清洗服务的业绩，提供合同关键页或采购订单或委托书等证明资料；</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w:t>
      </w:r>
      <w:r>
        <w:rPr>
          <w:rFonts w:hint="eastAsia" w:cs="Times New Roman"/>
          <w:b w:val="0"/>
          <w:bCs w:val="0"/>
          <w:color w:val="auto"/>
          <w:sz w:val="24"/>
          <w:lang w:val="en-US" w:eastAsia="zh-CN"/>
        </w:rPr>
        <w:t xml:space="preserve">. </w:t>
      </w:r>
      <w:r>
        <w:rPr>
          <w:rFonts w:hint="eastAsia" w:ascii="宋体" w:hAnsi="宋体" w:eastAsia="宋体" w:cs="宋体"/>
          <w:b w:val="0"/>
          <w:bCs w:val="0"/>
          <w:color w:val="auto"/>
          <w:sz w:val="24"/>
        </w:rPr>
        <w:t>未被列入“信用中国”网站(www.creditchina.gov.cn)“记录失信被执行人或重大税收违法失信主体或政府采购严重违法失信行为”记录名单证明文件；</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w:t>
      </w:r>
      <w:r>
        <w:rPr>
          <w:rFonts w:hint="eastAsia" w:cs="Times New Roman"/>
          <w:b w:val="0"/>
          <w:bCs w:val="0"/>
          <w:color w:val="auto"/>
          <w:sz w:val="24"/>
          <w:lang w:val="en-US" w:eastAsia="zh-CN"/>
        </w:rPr>
        <w:t xml:space="preserve">. </w:t>
      </w:r>
      <w:r>
        <w:rPr>
          <w:rFonts w:hint="default" w:ascii="Times New Roman" w:hAnsi="Times New Roman" w:eastAsia="宋体" w:cs="Times New Roman"/>
          <w:b w:val="0"/>
          <w:bCs w:val="0"/>
          <w:color w:val="auto"/>
          <w:sz w:val="24"/>
        </w:rPr>
        <w:t>未被纳入正方集团“黑名单”；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w:t>
      </w:r>
      <w:r>
        <w:rPr>
          <w:rFonts w:hint="eastAsia" w:cs="Times New Roman"/>
          <w:b w:val="0"/>
          <w:bCs w:val="0"/>
          <w:color w:val="auto"/>
          <w:sz w:val="24"/>
          <w:lang w:val="en-US" w:eastAsia="zh-CN"/>
        </w:rPr>
        <w:t xml:space="preserve">. </w:t>
      </w:r>
      <w:r>
        <w:rPr>
          <w:rFonts w:hint="default" w:ascii="Times New Roman" w:hAnsi="Times New Roman" w:eastAsia="宋体" w:cs="Times New Roman"/>
          <w:b w:val="0"/>
          <w:bCs w:val="0"/>
          <w:color w:val="auto"/>
          <w:sz w:val="24"/>
        </w:rPr>
        <w:t>与其他</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不存在单位负责人为同一人或者存在控股、管理关系；</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w:t>
      </w:r>
      <w:r>
        <w:rPr>
          <w:rFonts w:hint="eastAsia" w:cs="Times New Roman"/>
          <w:b w:val="0"/>
          <w:bCs w:val="0"/>
          <w:color w:val="auto"/>
          <w:sz w:val="24"/>
          <w:lang w:val="en-US" w:eastAsia="zh-CN"/>
        </w:rPr>
        <w:t xml:space="preserve">. </w:t>
      </w:r>
      <w:r>
        <w:rPr>
          <w:rFonts w:hint="default" w:ascii="Times New Roman" w:hAnsi="Times New Roman" w:eastAsia="宋体" w:cs="Times New Roman"/>
          <w:b w:val="0"/>
          <w:bCs w:val="0"/>
          <w:color w:val="auto"/>
          <w:sz w:val="24"/>
        </w:rPr>
        <w:t>本项目不接受联合体投标；</w:t>
      </w:r>
    </w:p>
    <w:p>
      <w:pPr>
        <w:spacing w:beforeLines="0" w:afterLines="0" w:line="36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r>
        <w:rPr>
          <w:rFonts w:hint="default" w:ascii="Times New Roman" w:hAnsi="Times New Roman" w:eastAsia="宋体" w:cs="Times New Roman"/>
          <w:b/>
          <w:bCs/>
          <w:color w:val="auto"/>
          <w:sz w:val="24"/>
        </w:rPr>
        <w:t>：</w:t>
      </w:r>
    </w:p>
    <w:p>
      <w:pPr>
        <w:pStyle w:val="7"/>
        <w:spacing w:beforeLines="0" w:afterLines="0" w:line="360" w:lineRule="auto"/>
        <w:ind w:firstLine="0" w:firstLineChars="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pPr>
        <w:pStyle w:val="7"/>
        <w:spacing w:beforeLines="0" w:afterLines="0" w:line="360" w:lineRule="auto"/>
        <w:ind w:firstLine="0" w:firstLineChars="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360" w:lineRule="auto"/>
        <w:ind w:firstLine="0" w:firstLineChars="0"/>
        <w:rPr>
          <w:rFonts w:hint="eastAsia" w:hAnsi="宋体" w:cs="仿宋"/>
          <w:color w:val="0000FF"/>
          <w:sz w:val="24"/>
          <w:u w:val="none"/>
          <w:lang w:val="en-US" w:eastAsia="zh-CN"/>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36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6"/>
        <w:keepNext w:val="0"/>
        <w:keepLines w:val="0"/>
        <w:pageBreakBefore w:val="0"/>
        <w:widowControl w:val="0"/>
        <w:kinsoku/>
        <w:wordWrap/>
        <w:overflowPunct/>
        <w:topLinePunct w:val="0"/>
        <w:bidi w:val="0"/>
        <w:snapToGrid/>
        <w:spacing w:beforeLines="0" w:afterLines="0" w:line="36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4月27日</w:t>
      </w:r>
      <w:r>
        <w:rPr>
          <w:rFonts w:hint="default" w:ascii="Times New Roman" w:hAnsi="Times New Roman" w:eastAsia="宋体" w:cs="Times New Roman"/>
          <w:color w:val="auto"/>
          <w:sz w:val="24"/>
        </w:rPr>
        <w:t xml:space="preserve"> 1</w:t>
      </w:r>
      <w:r>
        <w:rPr>
          <w:rFonts w:hint="eastAsia" w:cs="Times New Roman"/>
          <w:color w:val="auto"/>
          <w:sz w:val="24"/>
          <w:lang w:val="en-US" w:eastAsia="zh-CN"/>
        </w:rPr>
        <w:t>7</w:t>
      </w:r>
      <w:r>
        <w:rPr>
          <w:rFonts w:hint="default" w:ascii="Times New Roman" w:hAnsi="Times New Roman" w:eastAsia="宋体" w:cs="Times New Roman"/>
          <w:color w:val="auto"/>
          <w:sz w:val="24"/>
        </w:rPr>
        <w:t>：</w:t>
      </w:r>
      <w:r>
        <w:rPr>
          <w:rFonts w:hint="eastAsia" w:cs="Times New Roman"/>
          <w:color w:val="auto"/>
          <w:sz w:val="24"/>
          <w:lang w:val="en-US" w:eastAsia="zh-CN"/>
        </w:rPr>
        <w:t>3</w:t>
      </w:r>
      <w:bookmarkStart w:id="97" w:name="_GoBack"/>
      <w:bookmarkEnd w:id="97"/>
      <w:r>
        <w:rPr>
          <w:rFonts w:hint="default" w:ascii="Times New Roman" w:hAnsi="Times New Roman" w:eastAsia="宋体" w:cs="Times New Roman"/>
          <w:color w:val="auto"/>
          <w:sz w:val="24"/>
        </w:rPr>
        <w:t>0（北京时间）；</w:t>
      </w:r>
    </w:p>
    <w:permEnd w:id="5"/>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color w:val="auto"/>
          <w:sz w:val="24"/>
          <w:lang w:val="en-US" w:eastAsia="zh-CN"/>
        </w:rPr>
        <w:t>投标单位全称+</w:t>
      </w:r>
      <w:r>
        <w:rPr>
          <w:rFonts w:hint="eastAsia" w:cs="Times New Roman"/>
          <w:color w:val="auto"/>
          <w:sz w:val="24"/>
          <w:lang w:eastAsia="zh-CN"/>
        </w:rPr>
        <w:t>优和汇·红荔项目空调清洗服务采购</w:t>
      </w:r>
      <w:r>
        <w:rPr>
          <w:rFonts w:hint="eastAsia" w:ascii="宋体" w:hAnsi="宋体"/>
          <w:sz w:val="24"/>
          <w:u w:val="single"/>
          <w:lang w:eastAsia="zh-CN"/>
        </w:rPr>
        <w:t>（</w:t>
      </w:r>
      <w:r>
        <w:rPr>
          <w:rFonts w:hint="eastAsia" w:ascii="宋体" w:hAnsi="宋体"/>
          <w:sz w:val="24"/>
          <w:u w:val="single"/>
          <w:lang w:val="en-US" w:eastAsia="zh-CN"/>
        </w:rPr>
        <w:t>第二次</w:t>
      </w:r>
      <w:r>
        <w:rPr>
          <w:rFonts w:hint="eastAsia" w:ascii="宋体" w:hAnsi="宋体"/>
          <w:sz w:val="24"/>
          <w:u w:val="single"/>
          <w:lang w:eastAsia="zh-CN"/>
        </w:rPr>
        <w:t>）</w:t>
      </w:r>
      <w:r>
        <w:rPr>
          <w:rFonts w:hint="default" w:ascii="Times New Roman" w:hAnsi="Times New Roman" w:eastAsia="宋体" w:cs="Times New Roman"/>
          <w:color w:val="auto"/>
          <w:sz w:val="24"/>
        </w:rPr>
        <w:t>+</w:t>
      </w:r>
      <w:r>
        <w:rPr>
          <w:rFonts w:hint="eastAsia" w:cs="Times New Roman"/>
          <w:color w:val="auto"/>
          <w:sz w:val="24"/>
          <w:lang w:val="en-US" w:eastAsia="zh-CN"/>
        </w:rPr>
        <w:t>钟工</w:t>
      </w:r>
      <w:permEnd w:id="6"/>
      <w:r>
        <w:rPr>
          <w:rFonts w:hint="default" w:ascii="Times New Roman" w:hAnsi="Times New Roman" w:eastAsia="宋体" w:cs="Times New Roman"/>
          <w:color w:val="auto"/>
          <w:sz w:val="24"/>
        </w:rPr>
        <w:t>）。</w:t>
      </w:r>
    </w:p>
    <w:p>
      <w:pPr>
        <w:spacing w:beforeLines="0" w:afterLines="0"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w:t>
      </w:r>
      <w:r>
        <w:rPr>
          <w:rFonts w:hint="default" w:ascii="Times New Roman" w:hAnsi="Times New Roman" w:eastAsia="宋体" w:cs="Times New Roman"/>
          <w:color w:val="auto"/>
          <w:sz w:val="24"/>
          <w:lang w:val="en-US" w:eastAsia="zh-CN"/>
        </w:rPr>
        <w:t>邮箱</w:t>
      </w:r>
      <w:r>
        <w:rPr>
          <w:rFonts w:hint="default" w:ascii="Times New Roman" w:hAnsi="Times New Roman" w:eastAsia="宋体" w:cs="Times New Roman"/>
          <w:color w:val="auto"/>
          <w:sz w:val="24"/>
        </w:rPr>
        <w:t>地点的或者不按照询价文件要求格式的报价文件，</w:t>
      </w:r>
      <w:r>
        <w:rPr>
          <w:rFonts w:hint="eastAsia" w:cs="Times New Roman"/>
          <w:color w:val="auto"/>
          <w:sz w:val="24"/>
          <w:lang w:eastAsia="zh-CN"/>
        </w:rPr>
        <w:t>采购人</w:t>
      </w:r>
      <w:r>
        <w:rPr>
          <w:rFonts w:hint="default" w:ascii="Times New Roman" w:hAnsi="Times New Roman" w:eastAsia="宋体" w:cs="Times New Roman"/>
          <w:color w:val="auto"/>
          <w:sz w:val="24"/>
        </w:rPr>
        <w:t>将予以拒收。</w:t>
      </w:r>
    </w:p>
    <w:p>
      <w:pPr>
        <w:numPr>
          <w:ilvl w:val="0"/>
          <w:numId w:val="0"/>
        </w:numPr>
        <w:spacing w:before="0" w:beforeLines="0" w:after="0" w:afterLines="0" w:line="36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36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36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36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36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lang w:val="en-US" w:eastAsia="zh-CN"/>
        </w:rPr>
      </w:pPr>
      <w:bookmarkStart w:id="1" w:name="_Toc47961947"/>
      <w:r>
        <w:rPr>
          <w:rFonts w:hint="default" w:ascii="Times New Roman" w:hAnsi="Times New Roman" w:eastAsia="宋体" w:cs="Times New Roman"/>
          <w:b/>
          <w:bCs/>
          <w:color w:val="auto"/>
          <w:sz w:val="24"/>
          <w:lang w:val="en-US" w:eastAsia="zh-CN"/>
        </w:rPr>
        <w:t>十、细微偏差修正</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2．存在细微偏差的报价文件，采购人应评标时进行认定并要求报价人书面补正细微偏差。报价人书面作出补正之后，应当视为有效报价文件。若报价人拒绝补正，其报价文件将被拒绝。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3．细微偏差按照下列原则进行补正（次序排先者优先）：</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（1）投标报价大写金额与小写金额不一致的，除非大写金额存在明显的小数点错误，否则，应当以大写金额为准，修改小写金额。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（2）投标总价金额与分项报价合计金额不一致的，除非投标总价金额存在明显的小数点错误，否则，应当以投标总价金额为准，修改分项报价合计金额。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（3）若用文字表示的数值与用数字表示的数值不一致，以文字表示的数值为准。</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（4）其他细微偏差按照有利于采购人的原则进行补正。</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pPr>
        <w:spacing w:beforeLines="0" w:afterLines="0" w:line="360" w:lineRule="auto"/>
        <w:ind w:firstLine="470" w:firstLineChars="196"/>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1．地址：</w:t>
      </w:r>
      <w:r>
        <w:rPr>
          <w:rFonts w:hint="eastAsia" w:cs="Times New Roman"/>
          <w:color w:val="auto"/>
          <w:sz w:val="24"/>
          <w:lang w:eastAsia="zh-CN"/>
        </w:rPr>
        <w:t>珠海市香洲区卫康路199号香洲创港中心17栋1</w:t>
      </w:r>
      <w:r>
        <w:rPr>
          <w:rFonts w:hint="eastAsia" w:cs="Times New Roman"/>
          <w:color w:val="auto"/>
          <w:sz w:val="24"/>
          <w:lang w:val="en-US" w:eastAsia="zh-CN"/>
        </w:rPr>
        <w:t>4</w:t>
      </w:r>
      <w:r>
        <w:rPr>
          <w:rFonts w:hint="eastAsia" w:cs="Times New Roman"/>
          <w:color w:val="auto"/>
          <w:sz w:val="24"/>
          <w:lang w:eastAsia="zh-CN"/>
        </w:rPr>
        <w:t>楼</w:t>
      </w:r>
      <w:r>
        <w:rPr>
          <w:rFonts w:hint="default" w:ascii="Times New Roman" w:hAnsi="Times New Roman" w:eastAsia="宋体" w:cs="Times New Roman"/>
          <w:color w:val="auto"/>
          <w:sz w:val="24"/>
        </w:rPr>
        <w:t xml:space="preserve"> </w:t>
      </w:r>
    </w:p>
    <w:p>
      <w:pPr>
        <w:pStyle w:val="19"/>
        <w:spacing w:beforeLines="0" w:afterLines="0"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2．</w:t>
      </w:r>
      <w:r>
        <w:rPr>
          <w:rFonts w:hint="eastAsia" w:cs="Times New Roman"/>
          <w:color w:val="auto"/>
          <w:sz w:val="24"/>
          <w:szCs w:val="24"/>
          <w:lang w:val="en-US" w:eastAsia="zh-CN"/>
        </w:rPr>
        <w:t>报价</w:t>
      </w:r>
      <w:r>
        <w:rPr>
          <w:rFonts w:hint="default" w:ascii="Times New Roman" w:hAnsi="Times New Roman" w:eastAsia="宋体" w:cs="Times New Roman"/>
          <w:color w:val="auto"/>
          <w:sz w:val="24"/>
          <w:szCs w:val="24"/>
        </w:rPr>
        <w:t xml:space="preserve">咨询联系方式： </w:t>
      </w:r>
      <w:permStart w:id="7" w:edGrp="everyone"/>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钟工15521120229</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ind w:firstLine="480" w:firstLineChars="200"/>
        <w:rPr>
          <w:rFonts w:hint="default" w:ascii="Times New Roman" w:hAnsi="Times New Roman" w:eastAsia="宋体" w:cs="Times New Roman"/>
          <w:color w:val="auto"/>
          <w:sz w:val="24"/>
          <w:szCs w:val="24"/>
        </w:rPr>
      </w:pPr>
    </w:p>
    <w:p>
      <w:pPr>
        <w:pStyle w:val="19"/>
        <w:jc w:val="right"/>
        <w:rPr>
          <w:rFonts w:hint="eastAsia" w:ascii="宋体" w:hAnsi="宋体" w:eastAsia="宋体" w:cs="宋体"/>
          <w:color w:val="auto"/>
          <w:sz w:val="24"/>
          <w:szCs w:val="24"/>
        </w:rPr>
      </w:pPr>
    </w:p>
    <w:p>
      <w:pPr>
        <w:pStyle w:val="19"/>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珠海正方资产运营管理有限公司</w:t>
      </w:r>
      <w:r>
        <w:rPr>
          <w:rFonts w:hint="eastAsia" w:ascii="宋体" w:hAnsi="宋体" w:eastAsia="宋体" w:cs="宋体"/>
          <w:color w:val="auto"/>
          <w:sz w:val="24"/>
          <w:szCs w:val="24"/>
        </w:rPr>
        <w:t xml:space="preserve">         </w:t>
      </w:r>
    </w:p>
    <w:p>
      <w:pPr>
        <w:pStyle w:val="19"/>
        <w:spacing w:line="480" w:lineRule="auto"/>
        <w:jc w:val="righ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2026年</w:t>
      </w:r>
      <w:r>
        <w:rPr>
          <w:rFonts w:hint="eastAsia" w:ascii="宋体" w:hAnsi="宋体" w:cs="宋体"/>
          <w:color w:val="auto"/>
          <w:sz w:val="24"/>
          <w:szCs w:val="24"/>
          <w:lang w:eastAsia="zh-CN"/>
        </w:rPr>
        <w:t>4月22日</w:t>
      </w: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1"/>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15547"/>
      <w:bookmarkStart w:id="3" w:name="_Toc9199"/>
      <w:bookmarkStart w:id="4" w:name="_Toc27664"/>
      <w:r>
        <w:rPr>
          <w:rFonts w:hint="eastAsia" w:ascii="宋体" w:hAnsi="宋体" w:eastAsia="宋体"/>
          <w:lang w:eastAsia="zh-CN"/>
        </w:rPr>
        <w:t>报价文件格式</w:t>
      </w:r>
      <w:bookmarkEnd w:id="2"/>
      <w:bookmarkEnd w:id="3"/>
      <w:bookmarkEnd w:id="4"/>
      <w:bookmarkStart w:id="5" w:name="_Toc276645578"/>
      <w:bookmarkStart w:id="6" w:name="_Toc503427708"/>
    </w:p>
    <w:p>
      <w:pPr>
        <w:pStyle w:val="4"/>
        <w:spacing w:line="360" w:lineRule="auto"/>
        <w:rPr>
          <w:rFonts w:hint="eastAsia" w:ascii="黑体" w:hAnsi="黑体" w:eastAsia="黑体" w:cs="黑体"/>
          <w:b/>
          <w:bCs w:val="0"/>
          <w:sz w:val="28"/>
          <w:szCs w:val="28"/>
        </w:rPr>
      </w:pPr>
      <w:bookmarkStart w:id="7" w:name="_Toc259090982"/>
      <w:bookmarkStart w:id="8" w:name="_Toc698"/>
      <w:bookmarkStart w:id="9" w:name="_Toc16107"/>
      <w:bookmarkStart w:id="10" w:name="_Toc202254105"/>
      <w:bookmarkStart w:id="11" w:name="_Toc202819878"/>
      <w:bookmarkStart w:id="12" w:name="_Toc202251700"/>
      <w:bookmarkStart w:id="13" w:name="_Toc202251075"/>
      <w:bookmarkStart w:id="14" w:name="_Toc17685"/>
      <w:bookmarkStart w:id="15" w:name="_Toc503427710"/>
      <w:bookmarkStart w:id="16" w:name="_Toc202252034"/>
      <w:bookmarkStart w:id="17" w:name="_Toc276645579"/>
      <w:bookmarkStart w:id="18" w:name="_Toc202820351"/>
      <w:bookmarkStart w:id="19" w:name="_Toc202816996"/>
      <w:bookmarkStart w:id="20" w:name="_Toc15317"/>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276645580"/>
      <w:bookmarkStart w:id="22" w:name="_Toc503427711"/>
      <w:bookmarkStart w:id="23" w:name="_Toc259090983"/>
      <w:bookmarkStart w:id="24" w:name="_Toc32660"/>
      <w:bookmarkStart w:id="25" w:name="_Toc20366"/>
      <w:bookmarkStart w:id="26" w:name="_Toc13089"/>
      <w:bookmarkStart w:id="27" w:name="_Toc24181"/>
      <w:r>
        <w:rPr>
          <w:rFonts w:hint="eastAsia" w:ascii="宋体" w:hAnsi="宋体"/>
          <w:sz w:val="28"/>
        </w:rPr>
        <w:t>1.1投标函</w:t>
      </w:r>
      <w:bookmarkEnd w:id="21"/>
      <w:bookmarkEnd w:id="22"/>
      <w:bookmarkEnd w:id="23"/>
      <w:bookmarkEnd w:id="24"/>
      <w:bookmarkEnd w:id="25"/>
      <w:bookmarkEnd w:id="26"/>
      <w:bookmarkEnd w:id="27"/>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珠海正方资产运营管理有限公司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优和汇·红荔项目空调清洗服务采购</w:t>
      </w:r>
      <w:r>
        <w:rPr>
          <w:rFonts w:hint="eastAsia" w:ascii="宋体" w:hAnsi="宋体"/>
          <w:sz w:val="24"/>
          <w:u w:val="single"/>
          <w:lang w:eastAsia="zh-CN"/>
        </w:rPr>
        <w:t>（</w:t>
      </w:r>
      <w:r>
        <w:rPr>
          <w:rFonts w:hint="eastAsia" w:ascii="宋体" w:hAnsi="宋体"/>
          <w:sz w:val="24"/>
          <w:u w:val="single"/>
          <w:lang w:val="en-US" w:eastAsia="zh-CN"/>
        </w:rPr>
        <w:t>第二次</w:t>
      </w:r>
      <w:r>
        <w:rPr>
          <w:rFonts w:hint="eastAsia" w:ascii="宋体" w:hAnsi="宋体"/>
          <w:sz w:val="24"/>
          <w:u w:val="single"/>
          <w:lang w:eastAsia="zh-CN"/>
        </w:rPr>
        <w:t>）</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及其附件，包括澄清及参考文件(如果有的话)。我方已完全清晰理解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文件中提供的一切文件，无论是原件还是复印件均为真实和准确的，绝无任何虚假、伪造和夸大的成</w:t>
      </w:r>
      <w:r>
        <w:rPr>
          <w:rFonts w:hint="eastAsia" w:ascii="宋体" w:hAnsi="宋体"/>
          <w:kern w:val="0"/>
          <w:sz w:val="24"/>
          <w:lang w:val="en-US" w:eastAsia="zh-CN"/>
        </w:rPr>
        <w:t>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 xml:space="preserve">人名称(公章)：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numPr>
          <w:ilvl w:val="0"/>
          <w:numId w:val="0"/>
        </w:numPr>
        <w:rPr>
          <w:rFonts w:hint="default" w:ascii="宋体" w:hAnsi="宋体" w:eastAsia="宋体" w:cs="宋体"/>
          <w:bCs/>
          <w:sz w:val="28"/>
          <w:szCs w:val="28"/>
          <w:lang w:val="en-US" w:eastAsia="zh-CN"/>
        </w:rPr>
      </w:pPr>
      <w:r>
        <w:rPr>
          <w:rFonts w:hint="eastAsia" w:ascii="Times New Roman" w:hAnsi="Times New Roman" w:cs="Times New Roman"/>
          <w:color w:val="auto"/>
          <w:sz w:val="32"/>
          <w:szCs w:val="32"/>
          <w:lang w:val="en-US" w:eastAsia="zh-CN"/>
        </w:rPr>
        <w:t>1.2</w:t>
      </w:r>
      <w:r>
        <w:rPr>
          <w:rFonts w:hint="eastAsia"/>
          <w:b/>
          <w:sz w:val="32"/>
          <w:lang w:val="en-US" w:eastAsia="zh-CN"/>
        </w:rPr>
        <w:t>法</w:t>
      </w:r>
      <w:r>
        <w:rPr>
          <w:b/>
          <w:sz w:val="32"/>
        </w:rPr>
        <w:t>定代表人</w:t>
      </w:r>
      <w:r>
        <w:rPr>
          <w:rFonts w:hint="eastAsia"/>
          <w:b/>
          <w:sz w:val="32"/>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t xml:space="preserve"> </w:t>
      </w:r>
    </w:p>
    <w:p>
      <w:pPr>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ascii="宋体" w:hAnsi="宋体"/>
          <w:sz w:val="28"/>
        </w:rPr>
      </w:pPr>
      <w:bookmarkStart w:id="29" w:name="_Toc19817"/>
      <w:bookmarkStart w:id="30" w:name="_Toc19171"/>
      <w:bookmarkStart w:id="31" w:name="_Toc27591"/>
      <w:bookmarkStart w:id="32" w:name="_Toc528"/>
      <w:bookmarkStart w:id="33" w:name="_Toc17080"/>
      <w:bookmarkStart w:id="34" w:name="_Toc503427713"/>
      <w:r>
        <w:rPr>
          <w:rFonts w:hint="eastAsia" w:ascii="宋体" w:hAnsi="宋体"/>
          <w:sz w:val="28"/>
        </w:rPr>
        <w:t>1.3关于资格的声明函</w:t>
      </w:r>
      <w:bookmarkEnd w:id="29"/>
      <w:bookmarkEnd w:id="30"/>
      <w:bookmarkEnd w:id="31"/>
      <w:bookmarkEnd w:id="32"/>
      <w:bookmarkEnd w:id="33"/>
      <w:bookmarkEnd w:id="34"/>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珠海正方资产运营管理有限公司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优和汇·红荔项目空调清洗服务采购（</w:t>
      </w:r>
      <w:r>
        <w:rPr>
          <w:rFonts w:hint="eastAsia" w:ascii="宋体" w:hAnsi="宋体"/>
          <w:sz w:val="24"/>
          <w:u w:val="single"/>
          <w:lang w:val="en-US" w:eastAsia="zh-CN"/>
        </w:rPr>
        <w:t>第二次</w:t>
      </w:r>
      <w:r>
        <w:rPr>
          <w:rFonts w:hint="eastAsia" w:ascii="宋体" w:hAnsi="宋体"/>
          <w:sz w:val="24"/>
          <w:u w:val="single"/>
          <w:lang w:eastAsia="zh-CN"/>
        </w:rPr>
        <w:t>）</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未被列入“信用中国”网站(www.creditchina.gov.cn)“记录失信被执行人或重大税收违法失信主体或政府采购严重违法失信行为”记录名单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资质条件，满足第一部分第五条“供应商资格要求”所列条款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w:t>
      </w:r>
      <w:r>
        <w:rPr>
          <w:rFonts w:hint="eastAsia" w:cs="Times New Roman"/>
          <w:b w:val="0"/>
          <w:bCs w:val="0"/>
          <w:color w:val="auto"/>
          <w:sz w:val="24"/>
          <w:lang w:val="en-US" w:eastAsia="zh-CN"/>
        </w:rPr>
        <w:t xml:space="preserve">. </w:t>
      </w:r>
      <w:r>
        <w:rPr>
          <w:rFonts w:hint="eastAsia" w:ascii="宋体" w:hAnsi="宋体"/>
          <w:sz w:val="24"/>
        </w:rPr>
        <w:t>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cs="Times New Roman"/>
          <w:b w:val="0"/>
          <w:bCs w:val="0"/>
          <w:color w:val="auto"/>
          <w:sz w:val="24"/>
          <w:lang w:val="en-US" w:eastAsia="zh-CN"/>
        </w:rPr>
        <w:t xml:space="preserve">. </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4"/>
        <w:bidi w:val="0"/>
        <w:rPr>
          <w:rFonts w:hint="eastAsia"/>
          <w:lang w:val="en-US" w:eastAsia="zh-CN"/>
        </w:rPr>
      </w:pPr>
      <w:bookmarkStart w:id="35" w:name="_Toc19969"/>
      <w:bookmarkStart w:id="36" w:name="_Toc10559"/>
      <w:bookmarkStart w:id="37" w:name="_Toc31767"/>
      <w:bookmarkStart w:id="38" w:name="_Toc15464"/>
      <w:bookmarkStart w:id="39" w:name="_Toc9476"/>
      <w:bookmarkStart w:id="40" w:name="_Toc24356"/>
      <w:bookmarkStart w:id="41" w:name="_Toc24969"/>
      <w:bookmarkStart w:id="42" w:name="_Toc5048"/>
      <w:bookmarkStart w:id="43" w:name="_Toc14285"/>
      <w:bookmarkStart w:id="44" w:name="_Toc32141"/>
      <w:bookmarkStart w:id="45" w:name="_Toc31877"/>
      <w:bookmarkStart w:id="46" w:name="_Toc6220"/>
      <w:bookmarkStart w:id="47" w:name="_Toc13922"/>
      <w:bookmarkStart w:id="48" w:name="_Toc10585"/>
      <w:bookmarkStart w:id="49" w:name="_Toc26971"/>
      <w:bookmarkStart w:id="50" w:name="_Toc19796"/>
      <w:bookmarkStart w:id="51" w:name="_Toc503427714"/>
      <w:bookmarkStart w:id="52" w:name="_Toc6275"/>
      <w:bookmarkStart w:id="53" w:name="_Toc32498"/>
      <w:bookmarkStart w:id="54" w:name="_Toc4726"/>
      <w:bookmarkStart w:id="55" w:name="_Toc276645583"/>
      <w:bookmarkStart w:id="56" w:name="_Toc27468"/>
      <w:bookmarkStart w:id="57" w:name="_Toc4427"/>
      <w:bookmarkStart w:id="58" w:name="_Toc264628882"/>
      <w:r>
        <w:rPr>
          <w:rFonts w:hint="eastAsia"/>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ascii="宋体"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4"/>
        <w:bidi w:val="0"/>
        <w:rPr>
          <w:rFonts w:hint="eastAsia"/>
          <w:lang w:val="en-US" w:eastAsia="zh-CN"/>
        </w:rPr>
      </w:pPr>
      <w:bookmarkStart w:id="59" w:name="_Toc10726"/>
      <w:bookmarkStart w:id="60" w:name="_Toc5662"/>
      <w:bookmarkStart w:id="61" w:name="_Toc7304"/>
      <w:bookmarkStart w:id="62" w:name="_Toc2576"/>
      <w:bookmarkStart w:id="63" w:name="_Toc22499"/>
      <w:bookmarkStart w:id="64" w:name="_Toc16860"/>
      <w:bookmarkStart w:id="65" w:name="_Toc32145"/>
      <w:bookmarkStart w:id="66" w:name="_Toc29470"/>
      <w:bookmarkStart w:id="67" w:name="_Toc3193"/>
      <w:bookmarkStart w:id="68" w:name="_Toc113"/>
      <w:bookmarkStart w:id="69" w:name="_Toc9094"/>
      <w:bookmarkStart w:id="70" w:name="_Toc6669"/>
      <w:bookmarkStart w:id="71" w:name="_Toc500"/>
      <w:bookmarkStart w:id="72" w:name="_Toc24446"/>
      <w:bookmarkStart w:id="73" w:name="_Toc30192"/>
      <w:bookmarkStart w:id="74" w:name="_Toc5278"/>
      <w:r>
        <w:rPr>
          <w:rFonts w:hint="eastAsia"/>
          <w:lang w:val="en-US" w:eastAsia="zh-CN"/>
        </w:rPr>
        <w:t>1.3.</w:t>
      </w:r>
      <w:bookmarkEnd w:id="59"/>
      <w:bookmarkEnd w:id="60"/>
      <w:bookmarkEnd w:id="61"/>
      <w:bookmarkStart w:id="75" w:name="_Toc17294"/>
      <w:bookmarkStart w:id="76" w:name="_Toc28886"/>
      <w:bookmarkStart w:id="77" w:name="_Toc29247"/>
      <w:r>
        <w:rPr>
          <w:rFonts w:hint="eastAsia"/>
          <w:lang w:val="en-US" w:eastAsia="zh-CN"/>
        </w:rPr>
        <w:t>2信用信息</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eastAsia="zh-CN"/>
        </w:rPr>
        <w:t>投标供应商</w:t>
      </w:r>
      <w:r>
        <w:rPr>
          <w:rFonts w:hint="eastAsia" w:ascii="宋体" w:hAnsi="宋体" w:eastAsia="宋体" w:cs="宋体"/>
          <w:b/>
          <w:bCs/>
          <w:color w:val="000000"/>
          <w:sz w:val="24"/>
          <w:szCs w:val="24"/>
          <w:highlight w:val="none"/>
          <w:lang w:val="en-US" w:eastAsia="zh-CN"/>
        </w:rPr>
        <w:t>提供报价时间截止前的网页截图并加盖投标供应商公章：</w:t>
      </w:r>
    </w:p>
    <w:p>
      <w:pPr>
        <w:numPr>
          <w:ilvl w:val="0"/>
          <w:numId w:val="0"/>
        </w:numPr>
        <w:rPr>
          <w:rFonts w:hint="eastAsia"/>
          <w:b/>
          <w:color w:val="0000FF"/>
          <w:sz w:val="24"/>
          <w:szCs w:val="24"/>
          <w:lang w:val="en-US" w:eastAsia="zh-CN"/>
        </w:rPr>
      </w:pPr>
      <w:r>
        <w:rPr>
          <w:rFonts w:hint="eastAsia" w:ascii="宋体" w:hAnsi="宋体" w:cs="宋体"/>
          <w:b/>
          <w:sz w:val="22"/>
          <w:szCs w:val="22"/>
          <w:lang w:val="en-US" w:eastAsia="zh-CN"/>
        </w:rPr>
        <w:t>未被列入“信用中国”网站(www.creditchina.gov.cn)“记录失信被执行人或重大税收违法失信主体或政府采购严重违法失信行为”记录名单证明文件（提供信用中国网站公示信息截图加盖公章）。</w:t>
      </w:r>
    </w:p>
    <w:p>
      <w:pPr>
        <w:numPr>
          <w:ilvl w:val="0"/>
          <w:numId w:val="0"/>
        </w:numPr>
        <w:rPr>
          <w:rFonts w:hint="eastAsia"/>
          <w:b/>
          <w:color w:val="0000FF"/>
          <w:sz w:val="24"/>
          <w:szCs w:val="24"/>
          <w:lang w:val="en-US" w:eastAsia="zh-CN"/>
        </w:rPr>
      </w:pP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12700" b="889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8"/>
                    <a:stretch>
                      <a:fillRect/>
                    </a:stretch>
                  </pic:blipFill>
                  <pic:spPr>
                    <a:xfrm>
                      <a:off x="0" y="0"/>
                      <a:ext cx="5270500" cy="6628130"/>
                    </a:xfrm>
                    <a:prstGeom prst="rect">
                      <a:avLst/>
                    </a:prstGeom>
                  </pic:spPr>
                </pic:pic>
              </a:graphicData>
            </a:graphic>
          </wp:inline>
        </w:drawing>
      </w:r>
    </w:p>
    <w:p>
      <w:pPr>
        <w:pStyle w:val="5"/>
        <w:spacing w:before="100" w:after="100" w:line="360" w:lineRule="auto"/>
        <w:rPr>
          <w:rFonts w:hint="default" w:ascii="宋体" w:hAnsi="宋体"/>
          <w:sz w:val="28"/>
          <w:lang w:val="en-US" w:eastAsia="zh-CN"/>
        </w:rPr>
      </w:pPr>
      <w:r>
        <w:rPr>
          <w:rFonts w:hint="eastAsia" w:ascii="宋体" w:hAnsi="宋体"/>
          <w:sz w:val="28"/>
          <w:lang w:val="en-US" w:eastAsia="zh-CN"/>
        </w:rPr>
        <w:br w:type="page"/>
      </w:r>
      <w:bookmarkStart w:id="78" w:name="_Toc21911"/>
      <w:r>
        <w:rPr>
          <w:rFonts w:hint="eastAsia" w:ascii="宋体" w:hAnsi="宋体"/>
          <w:sz w:val="28"/>
          <w:lang w:val="en-US" w:eastAsia="zh-CN"/>
        </w:rPr>
        <w:t xml:space="preserve">1.3.3 </w:t>
      </w:r>
      <w:bookmarkEnd w:id="78"/>
      <w:r>
        <w:rPr>
          <w:rFonts w:hint="eastAsia" w:ascii="宋体" w:hAnsi="宋体"/>
          <w:sz w:val="28"/>
          <w:lang w:val="en-US" w:eastAsia="zh-CN"/>
        </w:rPr>
        <w:t>业绩证明</w:t>
      </w:r>
    </w:p>
    <w:p>
      <w:pPr>
        <w:pStyle w:val="5"/>
        <w:spacing w:before="100" w:after="100" w:line="360" w:lineRule="auto"/>
        <w:rPr>
          <w:rFonts w:hint="eastAsia" w:hAnsi="宋体" w:cs="仿宋"/>
          <w:b/>
          <w:bCs/>
          <w:kern w:val="28"/>
          <w:sz w:val="24"/>
          <w:szCs w:val="24"/>
          <w:lang w:val="en-US" w:eastAsia="zh-CN"/>
        </w:rPr>
      </w:pPr>
      <w:bookmarkStart w:id="79" w:name="_Toc20437"/>
      <w:r>
        <w:rPr>
          <w:rFonts w:hint="eastAsia" w:hAnsi="宋体" w:cs="仿宋"/>
          <w:b/>
          <w:bCs/>
          <w:kern w:val="28"/>
          <w:sz w:val="24"/>
          <w:szCs w:val="24"/>
          <w:lang w:val="en-US" w:eastAsia="zh-CN"/>
        </w:rPr>
        <w:t>自公告发布之日起近5年具备2个空调清洗服务的业绩，提供合同关键页或采购订单或委托书等证明资料(</w:t>
      </w:r>
      <w:r>
        <w:rPr>
          <w:rFonts w:hint="eastAsia" w:ascii="宋体" w:hAnsi="宋体" w:cs="仿宋"/>
          <w:b/>
          <w:bCs/>
          <w:kern w:val="28"/>
          <w:sz w:val="24"/>
        </w:rPr>
        <w:t>加盖</w:t>
      </w:r>
      <w:r>
        <w:rPr>
          <w:rFonts w:hint="eastAsia" w:ascii="宋体" w:hAnsi="宋体" w:cs="仿宋"/>
          <w:b/>
          <w:bCs/>
          <w:kern w:val="28"/>
          <w:sz w:val="24"/>
          <w:lang w:eastAsia="zh-CN"/>
        </w:rPr>
        <w:t>报价人</w:t>
      </w:r>
      <w:r>
        <w:rPr>
          <w:rFonts w:hint="eastAsia" w:ascii="宋体" w:hAnsi="宋体" w:cs="仿宋"/>
          <w:b/>
          <w:bCs/>
          <w:kern w:val="28"/>
          <w:sz w:val="24"/>
        </w:rPr>
        <w:t>公章</w:t>
      </w:r>
      <w:r>
        <w:rPr>
          <w:rFonts w:hint="eastAsia" w:hAnsi="宋体" w:cs="仿宋"/>
          <w:b/>
          <w:bCs/>
          <w:kern w:val="28"/>
          <w:sz w:val="24"/>
          <w:szCs w:val="24"/>
          <w:lang w:val="en-US" w:eastAsia="zh-CN"/>
        </w:rPr>
        <w:t>)。</w:t>
      </w:r>
    </w:p>
    <w:p>
      <w:pPr>
        <w:numPr>
          <w:ilvl w:val="0"/>
          <w:numId w:val="0"/>
        </w:numPr>
        <w:rPr>
          <w:rFonts w:hint="default"/>
          <w:b/>
          <w:sz w:val="24"/>
          <w:szCs w:val="24"/>
          <w:lang w:val="en-US" w:eastAsia="zh-CN"/>
        </w:rPr>
      </w:pPr>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1206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9"/>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10160" b="825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0"/>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pPr>
        <w:pStyle w:val="5"/>
        <w:spacing w:before="100" w:after="100" w:line="360" w:lineRule="auto"/>
        <w:rPr>
          <w:rFonts w:ascii="宋体" w:hAnsi="宋体"/>
          <w:sz w:val="28"/>
        </w:rPr>
      </w:pPr>
      <w:r>
        <w:drawing>
          <wp:inline distT="0" distB="0" distL="114300" distR="114300">
            <wp:extent cx="5270500" cy="7850505"/>
            <wp:effectExtent l="0" t="0" r="1270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0500" cy="7850505"/>
                    </a:xfrm>
                    <a:prstGeom prst="rect">
                      <a:avLst/>
                    </a:prstGeom>
                    <a:noFill/>
                    <a:ln>
                      <a:noFill/>
                    </a:ln>
                  </pic:spPr>
                </pic:pic>
              </a:graphicData>
            </a:graphic>
          </wp:inline>
        </w:drawing>
      </w:r>
      <w:r>
        <w:rPr>
          <w:rFonts w:hint="eastAsia" w:ascii="宋体" w:hAnsi="宋体"/>
          <w:b/>
          <w:bCs/>
          <w:sz w:val="28"/>
        </w:rPr>
        <w:br w:type="page"/>
      </w:r>
      <w:r>
        <w:rPr>
          <w:rFonts w:hint="eastAsia" w:ascii="宋体" w:hAnsi="宋体"/>
          <w:sz w:val="28"/>
        </w:rPr>
        <w:t>1.</w:t>
      </w:r>
      <w:r>
        <w:rPr>
          <w:rFonts w:hint="eastAsia" w:ascii="宋体" w:hAnsi="宋体"/>
          <w:sz w:val="28"/>
          <w:lang w:val="en-US" w:eastAsia="zh-CN"/>
        </w:rPr>
        <w:t>4</w:t>
      </w:r>
      <w:r>
        <w:rPr>
          <w:rFonts w:hint="eastAsia" w:ascii="宋体" w:hAnsi="宋体"/>
          <w:sz w:val="28"/>
        </w:rPr>
        <w:t>关于无重大违法记录的声明函</w:t>
      </w:r>
      <w:bookmarkEnd w:id="51"/>
      <w:bookmarkEnd w:id="52"/>
      <w:bookmarkEnd w:id="53"/>
      <w:bookmarkEnd w:id="54"/>
      <w:bookmarkEnd w:id="55"/>
      <w:bookmarkEnd w:id="56"/>
      <w:bookmarkEnd w:id="57"/>
      <w:bookmarkEnd w:id="58"/>
      <w:bookmarkEnd w:id="79"/>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珠海正方资产运营管理有限公司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w:t>
      </w:r>
      <w:r>
        <w:rPr>
          <w:rFonts w:hint="eastAsia" w:cs="Times New Roman"/>
          <w:b w:val="0"/>
          <w:bCs w:val="0"/>
          <w:color w:val="auto"/>
          <w:sz w:val="24"/>
          <w:lang w:val="en-US" w:eastAsia="zh-CN"/>
        </w:rPr>
        <w:t xml:space="preserve">. </w:t>
      </w:r>
      <w:r>
        <w:rPr>
          <w:rFonts w:hint="eastAsia" w:hAnsi="宋体"/>
          <w:bCs/>
          <w:sz w:val="24"/>
          <w:szCs w:val="24"/>
        </w:rPr>
        <w:t>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2"/>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2"/>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2"/>
        <w:rPr>
          <w:rFonts w:hint="default"/>
          <w:lang w:val="en-US" w:eastAsia="zh-CN"/>
        </w:rPr>
      </w:pPr>
    </w:p>
    <w:p>
      <w:pPr>
        <w:rPr>
          <w:rFonts w:hint="eastAsia" w:ascii="黑体" w:hAnsi="黑体" w:cs="黑体"/>
          <w:b/>
          <w:bCs w:val="0"/>
          <w:sz w:val="28"/>
          <w:szCs w:val="28"/>
          <w:lang w:val="en-US" w:eastAsia="zh-CN"/>
        </w:rPr>
      </w:pPr>
      <w:bookmarkStart w:id="80" w:name="_Toc29543"/>
      <w:bookmarkStart w:id="81" w:name="_Toc202254108"/>
      <w:bookmarkStart w:id="82" w:name="_Toc276645592"/>
      <w:bookmarkStart w:id="83" w:name="_Toc24253"/>
      <w:bookmarkStart w:id="84" w:name="_Toc503427721"/>
      <w:bookmarkStart w:id="85" w:name="_Toc202251078"/>
      <w:bookmarkStart w:id="86" w:name="_Toc12992"/>
      <w:bookmarkStart w:id="87" w:name="_Toc3330"/>
      <w:bookmarkStart w:id="88" w:name="_Toc202251703"/>
      <w:bookmarkStart w:id="89" w:name="_Toc21572"/>
      <w:bookmarkStart w:id="90" w:name="_Toc202820355"/>
      <w:bookmarkStart w:id="91" w:name="_Toc202817000"/>
      <w:bookmarkStart w:id="92" w:name="_Toc202252037"/>
      <w:bookmarkStart w:id="93" w:name="_Toc202819882"/>
      <w:bookmarkStart w:id="94" w:name="_Toc259090996"/>
      <w:r>
        <w:rPr>
          <w:rFonts w:hint="eastAsia" w:ascii="黑体" w:hAnsi="黑体" w:cs="黑体"/>
          <w:b/>
          <w:bCs w:val="0"/>
          <w:sz w:val="28"/>
          <w:szCs w:val="28"/>
          <w:lang w:val="en-US" w:eastAsia="zh-CN"/>
        </w:rPr>
        <w:br w:type="page"/>
      </w:r>
    </w:p>
    <w:p>
      <w:pPr>
        <w:pStyle w:val="4"/>
        <w:keepNext/>
        <w:keepLines/>
        <w:pageBreakBefore w:val="0"/>
        <w:widowControl w:val="0"/>
        <w:kinsoku/>
        <w:wordWrap/>
        <w:overflowPunct/>
        <w:topLinePunct w:val="0"/>
        <w:autoSpaceDE/>
        <w:autoSpaceDN/>
        <w:bidi w:val="0"/>
        <w:adjustRightInd/>
        <w:snapToGrid/>
        <w:spacing w:before="80" w:after="80" w:line="360" w:lineRule="auto"/>
        <w:textAlignment w:val="auto"/>
        <w:rPr>
          <w:rFonts w:hint="eastAsia" w:ascii="黑体" w:hAnsi="黑体" w:eastAsia="黑体" w:cs="黑体"/>
          <w:b/>
          <w:bCs w:val="0"/>
          <w:sz w:val="28"/>
          <w:szCs w:val="28"/>
        </w:rPr>
      </w:pPr>
      <w:r>
        <w:rPr>
          <w:rFonts w:hint="eastAsia" w:ascii="黑体" w:hAnsi="黑体" w:cs="黑体"/>
          <w:b/>
          <w:bCs w:val="0"/>
          <w:sz w:val="28"/>
          <w:szCs w:val="28"/>
          <w:lang w:val="en-US" w:eastAsia="zh-CN"/>
        </w:rPr>
        <w:t>二</w:t>
      </w:r>
      <w:r>
        <w:rPr>
          <w:rFonts w:hint="eastAsia" w:ascii="黑体" w:hAnsi="黑体" w:eastAsia="黑体" w:cs="黑体"/>
          <w:b/>
          <w:bCs w:val="0"/>
          <w:sz w:val="28"/>
          <w:szCs w:val="28"/>
        </w:rPr>
        <w:t>、经济价格文件</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spacing w:line="500" w:lineRule="exact"/>
        <w:jc w:val="left"/>
        <w:rPr>
          <w:rStyle w:val="17"/>
          <w:rFonts w:hint="default" w:ascii="Times New Roman" w:hAnsi="Times New Roman" w:cs="Times New Roman"/>
          <w:color w:val="auto"/>
          <w:sz w:val="36"/>
          <w:szCs w:val="36"/>
        </w:rPr>
      </w:pPr>
      <w:r>
        <w:rPr>
          <w:rStyle w:val="17"/>
          <w:rFonts w:hint="eastAsia" w:cs="Times New Roman"/>
          <w:color w:val="auto"/>
          <w:sz w:val="36"/>
          <w:szCs w:val="36"/>
          <w:lang w:val="en-US" w:eastAsia="zh-CN"/>
        </w:rPr>
        <w:t>2.1</w:t>
      </w:r>
      <w:r>
        <w:rPr>
          <w:rStyle w:val="17"/>
          <w:rFonts w:hint="default" w:ascii="Times New Roman" w:hAnsi="Times New Roman" w:cs="Times New Roman"/>
          <w:color w:val="auto"/>
          <w:sz w:val="36"/>
          <w:szCs w:val="36"/>
        </w:rPr>
        <w:t>报 价 承 诺 书</w:t>
      </w:r>
    </w:p>
    <w:p>
      <w:pPr>
        <w:spacing w:line="360" w:lineRule="auto"/>
        <w:rPr>
          <w:rFonts w:hint="default" w:ascii="Times New Roman" w:hAnsi="Times New Roman" w:eastAsia="仿宋" w:cs="Times New Roman"/>
          <w:b/>
          <w:color w:val="auto"/>
          <w:sz w:val="24"/>
        </w:rPr>
      </w:pP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珠海正方资产运营管理有限公司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优和汇·红荔项目空调清洗服务采购（第二次）</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2.我方已经详细阅读全部询价文件及其附件，包括澄清及参考文件(如果有的话)。我方已完全清晰理解询价文件的要求，不存在任何含糊不清和误解之处，同意放弃对这些文件所提出的异议和质疑的权利。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spacing w:before="156" w:beforeLines="50" w:after="156" w:afterLines="50"/>
        <w:jc w:val="both"/>
        <w:rPr>
          <w:rFonts w:hint="default" w:ascii="Times New Roman" w:hAnsi="Times New Roman" w:eastAsia="仿宋" w:cs="Times New Roman"/>
          <w:color w:val="auto"/>
          <w:sz w:val="28"/>
          <w:szCs w:val="28"/>
        </w:rPr>
      </w:pPr>
      <w:r>
        <w:rPr>
          <w:rFonts w:hint="eastAsia" w:cs="Times New Roman"/>
          <w:color w:val="auto"/>
          <w:sz w:val="32"/>
          <w:szCs w:val="32"/>
          <w:lang w:val="en-US" w:eastAsia="zh-CN"/>
        </w:rPr>
        <w:t>2.2</w:t>
      </w:r>
      <w:r>
        <w:rPr>
          <w:rStyle w:val="17"/>
          <w:rFonts w:hint="default" w:ascii="Times New Roman" w:hAnsi="Times New Roman" w:cs="Times New Roman"/>
          <w:color w:val="auto"/>
          <w:sz w:val="40"/>
          <w:szCs w:val="30"/>
        </w:rPr>
        <w:t>报 价 书</w:t>
      </w:r>
    </w:p>
    <w:p>
      <w:pPr>
        <w:spacing w:line="336" w:lineRule="auto"/>
        <w:rPr>
          <w:rFonts w:hint="default" w:ascii="Times New Roman" w:hAnsi="Times New Roman" w:eastAsia="宋体" w:cs="Times New Roman"/>
          <w:color w:val="auto"/>
          <w:sz w:val="28"/>
          <w:szCs w:val="28"/>
        </w:rPr>
      </w:pPr>
      <w:permStart w:id="10" w:edGrp="everyone"/>
      <w:r>
        <w:rPr>
          <w:rFonts w:hint="eastAsia" w:cs="Times New Roman"/>
          <w:color w:val="auto"/>
          <w:sz w:val="28"/>
          <w:szCs w:val="28"/>
          <w:lang w:eastAsia="zh-CN"/>
        </w:rPr>
        <w:t>（</w:t>
      </w:r>
      <w:r>
        <w:rPr>
          <w:rFonts w:hint="eastAsia" w:cs="Times New Roman"/>
          <w:color w:val="auto"/>
          <w:sz w:val="28"/>
          <w:szCs w:val="28"/>
          <w:lang w:val="en-US" w:eastAsia="zh-CN"/>
        </w:rPr>
        <w:t>珠海正方资产运营管理有限公司</w:t>
      </w:r>
      <w:r>
        <w:rPr>
          <w:rFonts w:hint="eastAsia" w:cs="Times New Roman"/>
          <w:color w:val="auto"/>
          <w:sz w:val="28"/>
          <w:szCs w:val="28"/>
          <w:lang w:eastAsia="zh-CN"/>
        </w:rPr>
        <w:t>）</w:t>
      </w:r>
      <w:r>
        <w:rPr>
          <w:rFonts w:hint="default" w:ascii="Times New Roman" w:hAnsi="Times New Roman" w:eastAsia="宋体" w:cs="Times New Roman"/>
          <w:color w:val="auto"/>
          <w:sz w:val="28"/>
          <w:szCs w:val="28"/>
        </w:rPr>
        <w:t>：</w:t>
      </w:r>
    </w:p>
    <w:permEnd w:id="10"/>
    <w:p>
      <w:pPr>
        <w:spacing w:line="336"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根据已收到的</w:t>
      </w:r>
      <w:permStart w:id="11" w:edGrp="everyone"/>
      <w:r>
        <w:rPr>
          <w:rFonts w:hint="eastAsia" w:cs="Times New Roman"/>
          <w:color w:val="auto"/>
          <w:sz w:val="28"/>
          <w:szCs w:val="28"/>
          <w:lang w:eastAsia="zh-CN"/>
        </w:rPr>
        <w:t>优和汇·红荔项目空调清洗服务采购（第二次）</w:t>
      </w:r>
      <w:permEnd w:id="11"/>
      <w:r>
        <w:rPr>
          <w:rFonts w:hint="default" w:ascii="Times New Roman" w:hAnsi="Times New Roman" w:eastAsia="宋体" w:cs="Times New Roman"/>
          <w:color w:val="auto"/>
          <w:sz w:val="28"/>
          <w:szCs w:val="28"/>
        </w:rPr>
        <w:t>的询价文件，根据有关法律、法规、规章规定，我单位经研究上述询价文件和其他相关文件后，愿意接受询价文件的全部内容和条件，并承诺按总价人民币大写：</w:t>
      </w:r>
    </w:p>
    <w:p>
      <w:pPr>
        <w:spacing w:line="336"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元 （¥          元）承接</w:t>
      </w:r>
      <w:permStart w:id="12" w:edGrp="everyone"/>
      <w:r>
        <w:rPr>
          <w:rFonts w:hint="eastAsia" w:cs="Times New Roman"/>
          <w:color w:val="auto"/>
          <w:sz w:val="28"/>
          <w:szCs w:val="28"/>
          <w:lang w:eastAsia="zh-CN"/>
        </w:rPr>
        <w:t>优和汇·红荔项目空调清洗服务采购（第二次）</w:t>
      </w:r>
      <w:r>
        <w:rPr>
          <w:rFonts w:hint="default" w:ascii="Times New Roman" w:hAnsi="Times New Roman" w:eastAsia="宋体" w:cs="Times New Roman"/>
          <w:color w:val="auto"/>
          <w:sz w:val="28"/>
          <w:szCs w:val="28"/>
          <w:lang w:val="en-US" w:eastAsia="zh-CN"/>
        </w:rPr>
        <w:t xml:space="preserve"> </w:t>
      </w:r>
      <w:permEnd w:id="12"/>
      <w:r>
        <w:rPr>
          <w:rFonts w:hint="default" w:ascii="Times New Roman" w:hAnsi="Times New Roman" w:eastAsia="宋体" w:cs="Times New Roman"/>
          <w:color w:val="auto"/>
          <w:sz w:val="28"/>
          <w:szCs w:val="28"/>
        </w:rPr>
        <w:t>项目</w:t>
      </w:r>
      <w:r>
        <w:rPr>
          <w:rFonts w:hint="eastAsia" w:cs="Times New Roman"/>
          <w:color w:val="auto"/>
          <w:sz w:val="28"/>
          <w:szCs w:val="28"/>
          <w:lang w:eastAsia="zh-CN"/>
        </w:rPr>
        <w:t>，</w:t>
      </w:r>
      <w:r>
        <w:rPr>
          <w:rFonts w:hint="eastAsia" w:cs="Times New Roman"/>
          <w:color w:val="auto"/>
          <w:sz w:val="28"/>
          <w:szCs w:val="28"/>
          <w:lang w:val="en-US" w:eastAsia="zh-CN"/>
        </w:rPr>
        <w:t>具体详见下表：</w:t>
      </w:r>
    </w:p>
    <w:tbl>
      <w:tblPr>
        <w:tblStyle w:val="14"/>
        <w:tblW w:w="9016" w:type="dxa"/>
        <w:tblInd w:w="-14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39"/>
        <w:gridCol w:w="1103"/>
        <w:gridCol w:w="2763"/>
        <w:gridCol w:w="584"/>
        <w:gridCol w:w="933"/>
        <w:gridCol w:w="1297"/>
        <w:gridCol w:w="1113"/>
        <w:gridCol w:w="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60" w:hRule="atLeast"/>
        </w:trPr>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项目名称</w:t>
            </w:r>
          </w:p>
        </w:tc>
        <w:tc>
          <w:tcPr>
            <w:tcW w:w="276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项目特征描述</w:t>
            </w:r>
          </w:p>
        </w:tc>
        <w:tc>
          <w:tcPr>
            <w:tcW w:w="58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93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工程量</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金额（元） </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3"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93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综合单价 </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合价 </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0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挂机清洗</w:t>
            </w:r>
          </w:p>
        </w:tc>
        <w:tc>
          <w:tcPr>
            <w:tcW w:w="2763" w:type="dxa"/>
            <w:vMerge w:val="restart"/>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1、核心清洗部件包括：室内机的过滤网、蒸发器（翅片）、风轮、风道、冷凝水盘；室外机的翅片、外壳和风扇。施工过程中应遵循规范的流程进行拆卸、清洗和安装，防止损坏设备</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2、对于需要高空作业的空调（如室外机），作业人员必须持有有效的高空作业证，并购买足额的意外伤害保险，必须对空调进行深度清洗，而不仅仅是清洗滤网。</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台/次</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24.00 </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4"/>
                <w:szCs w:val="24"/>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0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风管机清洗</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left"/>
              <w:rPr>
                <w:rFonts w:hint="eastAsia" w:ascii="宋体" w:hAnsi="宋体" w:eastAsia="宋体" w:cs="宋体"/>
                <w:i w:val="0"/>
                <w:color w:val="000000"/>
                <w:sz w:val="22"/>
                <w:szCs w:val="22"/>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台/次</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37.00 </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4"/>
                <w:szCs w:val="24"/>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0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天花机清洗</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left"/>
              <w:rPr>
                <w:rFonts w:hint="eastAsia" w:ascii="宋体" w:hAnsi="宋体" w:eastAsia="宋体" w:cs="宋体"/>
                <w:i w:val="0"/>
                <w:color w:val="000000"/>
                <w:sz w:val="22"/>
                <w:szCs w:val="22"/>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台/次</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62.00 </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4"/>
                <w:szCs w:val="24"/>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0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空调外机清洗</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left"/>
              <w:rPr>
                <w:rFonts w:hint="eastAsia" w:ascii="宋体" w:hAnsi="宋体" w:eastAsia="宋体" w:cs="宋体"/>
                <w:i w:val="0"/>
                <w:color w:val="000000"/>
                <w:sz w:val="22"/>
                <w:szCs w:val="22"/>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台/次</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98.00 </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4"/>
                <w:szCs w:val="24"/>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28" w:hRule="atLeast"/>
        </w:trPr>
        <w:tc>
          <w:tcPr>
            <w:tcW w:w="9016" w:type="dxa"/>
            <w:gridSpan w:val="8"/>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说明：1.所有报价均为含税价，且已包含人工费、材料费、服务费、交通差旅费、餐饮费等完成本项目的所有费用。</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2.发票类型：   %□增值税专用发票□增值税普通发票。</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注：如因国家政策变化导致增值税税率发生变化的，本项目项下不含增值税的项目价款金额不变，对应增值税金额按照新税率计算，项目价款总额作对应调整。</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3.质量标准：按任务书及甲方要求。</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4.付款方式：服务验收且收到齐套请款资料后付款。</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5.项目地点：优和汇·红荔项目地点，项目对接人：张艺博15015921450</w:t>
            </w:r>
          </w:p>
        </w:tc>
      </w:tr>
    </w:tbl>
    <w:p>
      <w:pPr>
        <w:pStyle w:val="19"/>
        <w:rPr>
          <w:rFonts w:hint="default" w:ascii="Times New Roman" w:hAnsi="Times New Roman" w:eastAsia="宋体" w:cs="Times New Roman"/>
          <w:color w:val="auto"/>
        </w:rPr>
      </w:pP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联系方式：</w:t>
      </w:r>
      <w:r>
        <w:rPr>
          <w:rFonts w:hint="default" w:ascii="Times New Roman" w:hAnsi="Times New Roman" w:eastAsia="宋体" w:cs="Times New Roman"/>
          <w:color w:val="auto"/>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br w:type="page"/>
      </w:r>
    </w:p>
    <w:p>
      <w:pPr>
        <w:spacing w:line="360" w:lineRule="auto"/>
        <w:jc w:val="left"/>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附件1：</w:t>
      </w:r>
      <w:bookmarkStart w:id="95" w:name="_Hlk41141708"/>
      <w:bookmarkStart w:id="96" w:name="_Toc47961950"/>
      <w:r>
        <w:rPr>
          <w:rFonts w:hint="eastAsia" w:ascii="宋体" w:hAnsi="宋体" w:eastAsia="宋体" w:cs="宋体"/>
          <w:b/>
          <w:bCs/>
          <w:color w:val="auto"/>
          <w:sz w:val="28"/>
          <w:szCs w:val="28"/>
          <w:lang w:val="en-US" w:eastAsia="zh-CN"/>
        </w:rPr>
        <w:t>技术任务书（另册）</w:t>
      </w:r>
      <w:bookmarkEnd w:id="95"/>
      <w:bookmarkEnd w:id="96"/>
    </w:p>
    <w:sectPr>
      <w:footerReference r:id="rId5" w:type="default"/>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72BA49"/>
    <w:multiLevelType w:val="singleLevel"/>
    <w:tmpl w:val="C872BA49"/>
    <w:lvl w:ilvl="0" w:tentative="0">
      <w:start w:val="2"/>
      <w:numFmt w:val="chineseCounting"/>
      <w:suff w:val="space"/>
      <w:lvlText w:val="第%1部分"/>
      <w:lvlJc w:val="left"/>
      <w:rPr>
        <w:rFonts w:hint="eastAsia"/>
      </w:rPr>
    </w:lvl>
  </w:abstractNum>
  <w:abstractNum w:abstractNumId="1">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attachedTemplate r:id="rId1"/>
  <w:trackRevisions w:val="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22B3855"/>
    <w:rsid w:val="025E0102"/>
    <w:rsid w:val="03950549"/>
    <w:rsid w:val="04103632"/>
    <w:rsid w:val="04B61AA3"/>
    <w:rsid w:val="05B1555F"/>
    <w:rsid w:val="0671572A"/>
    <w:rsid w:val="067D1626"/>
    <w:rsid w:val="0841052C"/>
    <w:rsid w:val="097558B4"/>
    <w:rsid w:val="09770F2A"/>
    <w:rsid w:val="0A261215"/>
    <w:rsid w:val="0A4F74B7"/>
    <w:rsid w:val="0D8F41B1"/>
    <w:rsid w:val="0DB93286"/>
    <w:rsid w:val="0DCB0AAA"/>
    <w:rsid w:val="0E49720A"/>
    <w:rsid w:val="0EC420D1"/>
    <w:rsid w:val="0EC93FBB"/>
    <w:rsid w:val="10E91871"/>
    <w:rsid w:val="11DD4B3A"/>
    <w:rsid w:val="129618DC"/>
    <w:rsid w:val="14A90505"/>
    <w:rsid w:val="14DC73BB"/>
    <w:rsid w:val="14EB65E0"/>
    <w:rsid w:val="1588048B"/>
    <w:rsid w:val="16110B32"/>
    <w:rsid w:val="168857E4"/>
    <w:rsid w:val="16D97ADD"/>
    <w:rsid w:val="16E45AEB"/>
    <w:rsid w:val="177F1319"/>
    <w:rsid w:val="17DF53E0"/>
    <w:rsid w:val="1B013FAA"/>
    <w:rsid w:val="1B513E4B"/>
    <w:rsid w:val="1BDC56E2"/>
    <w:rsid w:val="1D556636"/>
    <w:rsid w:val="1DCE44E0"/>
    <w:rsid w:val="1F9A4108"/>
    <w:rsid w:val="202F7D49"/>
    <w:rsid w:val="210322A7"/>
    <w:rsid w:val="2121293A"/>
    <w:rsid w:val="224D141B"/>
    <w:rsid w:val="23EC6A93"/>
    <w:rsid w:val="259F18F8"/>
    <w:rsid w:val="272E6E27"/>
    <w:rsid w:val="27540AC6"/>
    <w:rsid w:val="278065CC"/>
    <w:rsid w:val="28C56911"/>
    <w:rsid w:val="291B3A89"/>
    <w:rsid w:val="2B943CF0"/>
    <w:rsid w:val="2BED4BFF"/>
    <w:rsid w:val="2D022F1E"/>
    <w:rsid w:val="2E0A4EF7"/>
    <w:rsid w:val="2F8C5B34"/>
    <w:rsid w:val="3035528F"/>
    <w:rsid w:val="303C5477"/>
    <w:rsid w:val="31BE38D0"/>
    <w:rsid w:val="329B19DD"/>
    <w:rsid w:val="338C409C"/>
    <w:rsid w:val="36991F33"/>
    <w:rsid w:val="36D13171"/>
    <w:rsid w:val="37312149"/>
    <w:rsid w:val="37FE2A53"/>
    <w:rsid w:val="38F34C92"/>
    <w:rsid w:val="3BDD1A9B"/>
    <w:rsid w:val="3BF341D2"/>
    <w:rsid w:val="3DDA2166"/>
    <w:rsid w:val="3E7E4135"/>
    <w:rsid w:val="3EC52271"/>
    <w:rsid w:val="3ED65B24"/>
    <w:rsid w:val="40DF147E"/>
    <w:rsid w:val="410E417C"/>
    <w:rsid w:val="41972168"/>
    <w:rsid w:val="426867F2"/>
    <w:rsid w:val="427C15D5"/>
    <w:rsid w:val="43F34101"/>
    <w:rsid w:val="442B09BE"/>
    <w:rsid w:val="4483748A"/>
    <w:rsid w:val="46291EEF"/>
    <w:rsid w:val="467170E3"/>
    <w:rsid w:val="46B354B7"/>
    <w:rsid w:val="47C0473A"/>
    <w:rsid w:val="4A4F4DF7"/>
    <w:rsid w:val="4B0F1E17"/>
    <w:rsid w:val="4C032E3E"/>
    <w:rsid w:val="4C8E76F1"/>
    <w:rsid w:val="4D1202BB"/>
    <w:rsid w:val="4E8C1884"/>
    <w:rsid w:val="4F971260"/>
    <w:rsid w:val="5067110C"/>
    <w:rsid w:val="506979EA"/>
    <w:rsid w:val="508467D4"/>
    <w:rsid w:val="50DB0041"/>
    <w:rsid w:val="518A0729"/>
    <w:rsid w:val="54032B60"/>
    <w:rsid w:val="545F0E76"/>
    <w:rsid w:val="551F30DA"/>
    <w:rsid w:val="55233FA3"/>
    <w:rsid w:val="555801ED"/>
    <w:rsid w:val="55AF6717"/>
    <w:rsid w:val="56213D59"/>
    <w:rsid w:val="56DB22E8"/>
    <w:rsid w:val="57852512"/>
    <w:rsid w:val="57AB174E"/>
    <w:rsid w:val="584F6981"/>
    <w:rsid w:val="59A575EF"/>
    <w:rsid w:val="5B7B0426"/>
    <w:rsid w:val="5BD82D7C"/>
    <w:rsid w:val="5BE44C27"/>
    <w:rsid w:val="5BFB7194"/>
    <w:rsid w:val="5D497B32"/>
    <w:rsid w:val="5EBE23CD"/>
    <w:rsid w:val="617E685D"/>
    <w:rsid w:val="61A2602F"/>
    <w:rsid w:val="61FF0F78"/>
    <w:rsid w:val="63997189"/>
    <w:rsid w:val="63A6159C"/>
    <w:rsid w:val="63F16E5E"/>
    <w:rsid w:val="64847D61"/>
    <w:rsid w:val="665C30B6"/>
    <w:rsid w:val="66852B3E"/>
    <w:rsid w:val="66BB238A"/>
    <w:rsid w:val="67183BE9"/>
    <w:rsid w:val="67DE23FD"/>
    <w:rsid w:val="682078ED"/>
    <w:rsid w:val="68B65BF9"/>
    <w:rsid w:val="6A0D3F8C"/>
    <w:rsid w:val="6A787EA5"/>
    <w:rsid w:val="6A934041"/>
    <w:rsid w:val="6B4E5816"/>
    <w:rsid w:val="6CD54EA3"/>
    <w:rsid w:val="6D535020"/>
    <w:rsid w:val="73CF0EC4"/>
    <w:rsid w:val="76656426"/>
    <w:rsid w:val="768D0B53"/>
    <w:rsid w:val="76DA30C2"/>
    <w:rsid w:val="772E734E"/>
    <w:rsid w:val="775B4F8E"/>
    <w:rsid w:val="77C31107"/>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Body Text"/>
    <w:basedOn w:val="1"/>
    <w:link w:val="22"/>
    <w:qFormat/>
    <w:uiPriority w:val="0"/>
    <w:pPr>
      <w:spacing w:line="480" w:lineRule="exact"/>
      <w:jc w:val="left"/>
    </w:pPr>
    <w:rPr>
      <w:rFonts w:ascii="宋体" w:hAnsi="宋体"/>
    </w:rPr>
  </w:style>
  <w:style w:type="paragraph" w:styleId="8">
    <w:name w:val="Body Text Indent"/>
    <w:basedOn w:val="1"/>
    <w:link w:val="25"/>
    <w:unhideWhenUsed/>
    <w:qFormat/>
    <w:uiPriority w:val="0"/>
    <w:pPr>
      <w:spacing w:after="120"/>
      <w:ind w:left="420" w:leftChars="200"/>
    </w:pPr>
  </w:style>
  <w:style w:type="paragraph" w:styleId="9">
    <w:name w:val="Plain Text"/>
    <w:basedOn w:val="1"/>
    <w:link w:val="30"/>
    <w:qFormat/>
    <w:uiPriority w:val="0"/>
    <w:pPr>
      <w:spacing w:line="360" w:lineRule="auto"/>
      <w:ind w:firstLine="510"/>
    </w:pPr>
    <w:rPr>
      <w:rFonts w:ascii="宋体" w:hAnsi="Courier New" w:eastAsia="仿宋_GB2312"/>
      <w:sz w:val="24"/>
      <w:szCs w:val="20"/>
    </w:rPr>
  </w:style>
  <w:style w:type="paragraph" w:styleId="10">
    <w:name w:val="Balloon Text"/>
    <w:basedOn w:val="1"/>
    <w:link w:val="27"/>
    <w:qFormat/>
    <w:uiPriority w:val="0"/>
    <w:rPr>
      <w:sz w:val="18"/>
      <w:szCs w:val="18"/>
    </w:rPr>
  </w:style>
  <w:style w:type="paragraph" w:styleId="11">
    <w:name w:val="footer"/>
    <w:basedOn w:val="1"/>
    <w:link w:val="21"/>
    <w:qFormat/>
    <w:uiPriority w:val="99"/>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link w:val="29"/>
    <w:semiHidden/>
    <w:unhideWhenUsed/>
    <w:qFormat/>
    <w:uiPriority w:val="0"/>
    <w:pPr>
      <w:spacing w:after="120" w:line="240" w:lineRule="auto"/>
      <w:ind w:firstLine="420" w:firstLineChars="100"/>
      <w:jc w:val="both"/>
    </w:pPr>
    <w:rPr>
      <w:rFonts w:ascii="Times New Roman" w:hAnsi="Times New Roman"/>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bCs/>
    </w:rPr>
  </w:style>
  <w:style w:type="character" w:styleId="18">
    <w:name w:val="Hyperlink"/>
    <w:basedOn w:val="16"/>
    <w:semiHidden/>
    <w:unhideWhenUsed/>
    <w:qFormat/>
    <w:uiPriority w:val="0"/>
    <w:rPr>
      <w:color w:val="0000FF"/>
      <w:u w:val="single"/>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6"/>
    <w:link w:val="12"/>
    <w:qFormat/>
    <w:uiPriority w:val="0"/>
    <w:rPr>
      <w:kern w:val="2"/>
      <w:sz w:val="18"/>
      <w:szCs w:val="18"/>
    </w:rPr>
  </w:style>
  <w:style w:type="character" w:customStyle="1" w:styleId="21">
    <w:name w:val="页脚 字符"/>
    <w:basedOn w:val="16"/>
    <w:link w:val="11"/>
    <w:qFormat/>
    <w:uiPriority w:val="99"/>
    <w:rPr>
      <w:kern w:val="2"/>
      <w:sz w:val="18"/>
      <w:szCs w:val="18"/>
    </w:rPr>
  </w:style>
  <w:style w:type="character" w:customStyle="1" w:styleId="22">
    <w:name w:val="正文文本 字符"/>
    <w:basedOn w:val="16"/>
    <w:link w:val="7"/>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6"/>
    <w:link w:val="8"/>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6"/>
    <w:link w:val="10"/>
    <w:qFormat/>
    <w:uiPriority w:val="0"/>
    <w:rPr>
      <w:kern w:val="2"/>
      <w:sz w:val="18"/>
      <w:szCs w:val="18"/>
    </w:rPr>
  </w:style>
  <w:style w:type="character" w:customStyle="1" w:styleId="28">
    <w:name w:val="标题 1 字符"/>
    <w:basedOn w:val="16"/>
    <w:link w:val="3"/>
    <w:qFormat/>
    <w:uiPriority w:val="0"/>
    <w:rPr>
      <w:b/>
      <w:bCs/>
      <w:kern w:val="44"/>
      <w:sz w:val="44"/>
      <w:szCs w:val="44"/>
    </w:rPr>
  </w:style>
  <w:style w:type="character" w:customStyle="1" w:styleId="29">
    <w:name w:val="正文文本首行缩进 字符"/>
    <w:basedOn w:val="22"/>
    <w:link w:val="13"/>
    <w:semiHidden/>
    <w:qFormat/>
    <w:uiPriority w:val="0"/>
    <w:rPr>
      <w:rFonts w:ascii="宋体" w:hAnsi="宋体"/>
      <w:kern w:val="2"/>
      <w:sz w:val="21"/>
      <w:szCs w:val="24"/>
    </w:rPr>
  </w:style>
  <w:style w:type="character" w:customStyle="1" w:styleId="30">
    <w:name w:val="纯文本 字符"/>
    <w:link w:val="9"/>
    <w:qFormat/>
    <w:uiPriority w:val="0"/>
    <w:rPr>
      <w:rFonts w:ascii="宋体" w:hAnsi="Courier New" w:eastAsia="仿宋_GB2312"/>
      <w:kern w:val="2"/>
      <w:sz w:val="24"/>
    </w:rPr>
  </w:style>
  <w:style w:type="character" w:customStyle="1" w:styleId="31">
    <w:name w:val="font31"/>
    <w:basedOn w:val="16"/>
    <w:qFormat/>
    <w:uiPriority w:val="0"/>
    <w:rPr>
      <w:rFonts w:hint="eastAsia" w:ascii="宋体" w:hAnsi="宋体" w:eastAsia="宋体" w:cs="宋体"/>
      <w:b/>
      <w:color w:val="000000"/>
      <w:sz w:val="14"/>
      <w:szCs w:val="14"/>
      <w:u w:val="none"/>
    </w:rPr>
  </w:style>
  <w:style w:type="character" w:customStyle="1" w:styleId="32">
    <w:name w:val="font01"/>
    <w:basedOn w:val="16"/>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1</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琦丽</cp:lastModifiedBy>
  <dcterms:modified xsi:type="dcterms:W3CDTF">2026-04-22T08:28:19Z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