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bidi w:val="0"/>
        <w:ind w:left="0" w:leftChars="0" w:firstLine="0" w:firstLineChars="0"/>
        <w:jc w:val="center"/>
        <w:rPr>
          <w:rFonts w:hint="default"/>
          <w:lang w:val="en-US" w:eastAsia="zh-CN"/>
        </w:rPr>
      </w:pPr>
      <w:r>
        <w:rPr>
          <w:rFonts w:hint="eastAsia"/>
          <w:lang w:val="en-US" w:eastAsia="zh-CN"/>
        </w:rPr>
        <w:t>附件6.1：技术任务书（室外运动场）</w:t>
      </w:r>
    </w:p>
    <w:p>
      <w:pPr>
        <w:pStyle w:val="2"/>
        <w:bidi w:val="0"/>
        <w:rPr>
          <w:rFonts w:hint="default"/>
          <w:color w:val="auto"/>
          <w:lang w:val="en-US" w:eastAsia="zh-CN"/>
        </w:rPr>
      </w:pPr>
      <w:r>
        <w:rPr>
          <w:rFonts w:hint="eastAsia"/>
          <w:color w:val="auto"/>
          <w:lang w:val="en-US" w:eastAsia="zh-CN"/>
        </w:rPr>
        <w:t>工程概</w:t>
      </w:r>
      <w:bookmarkStart w:id="0" w:name="_GoBack"/>
      <w:bookmarkEnd w:id="0"/>
      <w:r>
        <w:rPr>
          <w:rFonts w:hint="eastAsia"/>
          <w:color w:val="auto"/>
          <w:lang w:val="en-US" w:eastAsia="zh-CN"/>
        </w:rPr>
        <w:t>况</w:t>
      </w:r>
    </w:p>
    <w:p>
      <w:pPr>
        <w:pStyle w:val="4"/>
        <w:bidi w:val="0"/>
        <w:rPr>
          <w:rFonts w:hint="default"/>
          <w:color w:val="auto"/>
          <w:lang w:val="en-US" w:eastAsia="zh-CN"/>
        </w:rPr>
      </w:pPr>
      <w:r>
        <w:rPr>
          <w:rFonts w:hint="eastAsia"/>
          <w:color w:val="auto"/>
          <w:lang w:val="en-US" w:eastAsia="zh-CN"/>
        </w:rPr>
        <w:t>工程基本信息</w:t>
      </w:r>
    </w:p>
    <w:p>
      <w:pPr>
        <w:rPr>
          <w:rFonts w:hint="default"/>
          <w:color w:val="auto"/>
          <w:lang w:val="en-US" w:eastAsia="zh-CN"/>
        </w:rPr>
      </w:pPr>
      <w:r>
        <w:rPr>
          <w:rFonts w:hint="default"/>
          <w:color w:val="auto"/>
          <w:lang w:val="en-US" w:eastAsia="zh-CN"/>
        </w:rPr>
        <w:t>本项目为多所学校运动场地专项专业分包工程，涵盖景园小学、十八小学、甄贤小学、十一小学、文园中学、实验学校、北岭小学、云峰小学、十二小学、广昌小学等校区。</w:t>
      </w:r>
    </w:p>
    <w:p>
      <w:pPr>
        <w:rPr>
          <w:rFonts w:hint="default"/>
          <w:color w:val="auto"/>
          <w:lang w:val="en-US" w:eastAsia="zh-CN"/>
        </w:rPr>
      </w:pPr>
      <w:r>
        <w:rPr>
          <w:rFonts w:hint="default"/>
          <w:color w:val="auto"/>
          <w:lang w:val="en-US" w:eastAsia="zh-CN"/>
        </w:rPr>
        <w:t>施工内容主要包含校园跑道、人造草坪、丙烯酸场地改造与新建工程，具体涉及预制型塑胶跑道、人造草皮、丙烯酸面层材料采购及现场施工。</w:t>
      </w:r>
    </w:p>
    <w:p>
      <w:pPr>
        <w:pStyle w:val="27"/>
        <w:bidi w:val="0"/>
        <w:rPr>
          <w:rFonts w:hint="default"/>
          <w:color w:val="auto"/>
          <w:lang w:val="en-US" w:eastAsia="zh-CN"/>
        </w:rPr>
      </w:pPr>
      <w:r>
        <w:rPr>
          <w:rFonts w:hint="eastAsia"/>
          <w:color w:val="auto"/>
          <w:lang w:val="en-US" w:eastAsia="zh-CN"/>
        </w:rPr>
        <w:t>室外运动场地设计做法一览表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7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20" w:type="dxa"/>
            <w:tcBorders>
              <w:top w:val="single" w:color="000000" w:themeColor="dark1"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pPr>
              <w:pStyle w:val="32"/>
              <w:bidi w:val="0"/>
              <w:rPr>
                <w:rFonts w:hint="default"/>
                <w:b/>
                <w:i w:val="0"/>
                <w:color w:val="auto"/>
                <w:lang w:val="en-US" w:eastAsia="zh-CN"/>
              </w:rPr>
            </w:pPr>
            <w:r>
              <w:rPr>
                <w:rFonts w:hint="eastAsia"/>
                <w:b/>
                <w:i w:val="0"/>
                <w:color w:val="auto"/>
                <w:lang w:val="en-US" w:eastAsia="zh-CN"/>
              </w:rPr>
              <w:t>设计做法</w:t>
            </w:r>
          </w:p>
        </w:tc>
        <w:tc>
          <w:tcPr>
            <w:tcW w:w="7138" w:type="dxa"/>
            <w:tcBorders>
              <w:top w:val="single" w:color="000000" w:themeColor="dark1"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center"/>
          </w:tcPr>
          <w:p>
            <w:pPr>
              <w:pStyle w:val="36"/>
              <w:bidi w:val="0"/>
              <w:jc w:val="center"/>
              <w:rPr>
                <w:rFonts w:hint="default"/>
                <w:b/>
                <w:i w:val="0"/>
                <w:color w:val="auto"/>
                <w:lang w:val="en-US" w:eastAsia="zh-CN"/>
              </w:rPr>
            </w:pPr>
            <w:r>
              <w:rPr>
                <w:rFonts w:hint="eastAsia"/>
                <w:b/>
                <w:i w:val="0"/>
                <w:color w:val="auto"/>
                <w:lang w:val="en-US" w:eastAsia="zh-CN"/>
              </w:rPr>
              <w:t>构造层次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0" w:type="dxa"/>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pPr>
              <w:pStyle w:val="32"/>
              <w:bidi w:val="0"/>
              <w:jc w:val="center"/>
              <w:rPr>
                <w:rFonts w:hint="eastAsia"/>
                <w:b w:val="0"/>
                <w:i w:val="0"/>
                <w:color w:val="auto"/>
                <w:lang w:val="en-US" w:eastAsia="zh-CN"/>
              </w:rPr>
            </w:pPr>
            <w:r>
              <w:rPr>
                <w:rFonts w:hint="eastAsia"/>
                <w:b w:val="0"/>
                <w:i w:val="0"/>
                <w:color w:val="auto"/>
                <w:lang w:val="en-US" w:eastAsia="zh-CN"/>
              </w:rPr>
              <w:t>新建及改造跑道</w:t>
            </w:r>
          </w:p>
          <w:p>
            <w:pPr>
              <w:pStyle w:val="32"/>
              <w:bidi w:val="0"/>
              <w:jc w:val="center"/>
              <w:rPr>
                <w:rFonts w:hint="default"/>
                <w:b w:val="0"/>
                <w:i w:val="0"/>
                <w:color w:val="auto"/>
                <w:lang w:val="en-US" w:eastAsia="zh-CN"/>
              </w:rPr>
            </w:pPr>
            <w:r>
              <w:rPr>
                <w:rFonts w:hint="eastAsia"/>
                <w:b w:val="0"/>
                <w:i w:val="0"/>
                <w:color w:val="auto"/>
                <w:lang w:val="en-US" w:eastAsia="zh-CN"/>
              </w:rPr>
              <w:t>所在项目：景园小学、第十八小学、甄贤小学、第十一小学、文园中学、试验学校、北岭小学、云峰小学、第十二小学</w:t>
            </w:r>
          </w:p>
        </w:tc>
        <w:tc>
          <w:tcPr>
            <w:tcW w:w="7138"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center"/>
          </w:tcPr>
          <w:p>
            <w:pPr>
              <w:pStyle w:val="36"/>
              <w:bidi w:val="0"/>
              <w:rPr>
                <w:b w:val="0"/>
                <w:i w:val="0"/>
                <w:color w:val="auto"/>
                <w:u w:val="single"/>
              </w:rPr>
            </w:pPr>
            <w:r>
              <w:rPr>
                <w:b w:val="0"/>
                <w:i w:val="0"/>
                <w:color w:val="auto"/>
                <w:u w:val="single"/>
              </w:rPr>
              <w:t>1.50mm宽专用跑道漆画线</w:t>
            </w:r>
          </w:p>
          <w:p>
            <w:pPr>
              <w:pStyle w:val="36"/>
              <w:bidi w:val="0"/>
              <w:rPr>
                <w:b w:val="0"/>
                <w:i w:val="0"/>
                <w:color w:val="auto"/>
                <w:u w:val="single"/>
              </w:rPr>
            </w:pPr>
            <w:r>
              <w:rPr>
                <w:b w:val="0"/>
                <w:i w:val="0"/>
                <w:color w:val="auto"/>
                <w:u w:val="single"/>
              </w:rPr>
              <w:t>2.13厚预制型橡胶卷材（背面用专用胶带接缝）</w:t>
            </w:r>
          </w:p>
          <w:p>
            <w:pPr>
              <w:pStyle w:val="36"/>
              <w:bidi w:val="0"/>
              <w:rPr>
                <w:b w:val="0"/>
                <w:i w:val="0"/>
                <w:color w:val="auto"/>
                <w:u w:val="single"/>
              </w:rPr>
            </w:pPr>
            <w:r>
              <w:rPr>
                <w:b w:val="0"/>
                <w:i w:val="0"/>
                <w:color w:val="auto"/>
                <w:u w:val="single"/>
              </w:rPr>
              <w:t>3.专用水性封底料（苯丙乳液+水泥+石英砂，比例1.5:2:2）</w:t>
            </w:r>
          </w:p>
          <w:p>
            <w:pPr>
              <w:pStyle w:val="36"/>
              <w:bidi w:val="0"/>
              <w:rPr>
                <w:rFonts w:hint="eastAsia" w:eastAsia="宋体"/>
                <w:b w:val="0"/>
                <w:i w:val="0"/>
                <w:color w:val="auto"/>
                <w:lang w:val="en-US" w:eastAsia="zh-CN"/>
              </w:rPr>
            </w:pPr>
            <w:r>
              <w:rPr>
                <w:b w:val="0"/>
                <w:i w:val="0"/>
                <w:color w:val="auto"/>
                <w:u w:val="none"/>
              </w:rPr>
              <w:t>4.40厚AC-10细粒改性沥青混凝土</w:t>
            </w:r>
            <w:r>
              <w:rPr>
                <w:rFonts w:hint="eastAsia"/>
                <w:b w:val="0"/>
                <w:i w:val="0"/>
                <w:color w:val="auto"/>
                <w:u w:val="none"/>
                <w:lang w:val="en-US" w:eastAsia="zh-CN"/>
              </w:rPr>
              <w:t>基层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0" w:type="dxa"/>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pPr>
              <w:pStyle w:val="32"/>
              <w:bidi w:val="0"/>
              <w:jc w:val="center"/>
              <w:rPr>
                <w:rFonts w:hint="eastAsia"/>
                <w:b w:val="0"/>
                <w:i w:val="0"/>
                <w:color w:val="auto"/>
                <w:lang w:val="en-US" w:eastAsia="zh-CN"/>
              </w:rPr>
            </w:pPr>
            <w:r>
              <w:rPr>
                <w:rFonts w:hint="eastAsia"/>
                <w:b w:val="0"/>
                <w:i w:val="0"/>
                <w:color w:val="auto"/>
                <w:lang w:val="en-US" w:eastAsia="zh-CN"/>
              </w:rPr>
              <w:t>改造跑道</w:t>
            </w:r>
          </w:p>
          <w:p>
            <w:pPr>
              <w:pStyle w:val="32"/>
              <w:bidi w:val="0"/>
              <w:jc w:val="center"/>
              <w:rPr>
                <w:rFonts w:hint="default"/>
                <w:b w:val="0"/>
                <w:i w:val="0"/>
                <w:color w:val="auto"/>
                <w:lang w:val="en-US" w:eastAsia="zh-CN"/>
              </w:rPr>
            </w:pPr>
            <w:r>
              <w:rPr>
                <w:rFonts w:hint="eastAsia"/>
                <w:b w:val="0"/>
                <w:i w:val="0"/>
                <w:color w:val="auto"/>
                <w:lang w:val="en-US" w:eastAsia="zh-CN"/>
              </w:rPr>
              <w:t>所在项目：广昌小学、</w:t>
            </w:r>
          </w:p>
        </w:tc>
        <w:tc>
          <w:tcPr>
            <w:tcW w:w="7138"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center"/>
          </w:tcPr>
          <w:p>
            <w:pPr>
              <w:pStyle w:val="36"/>
              <w:bidi w:val="0"/>
              <w:rPr>
                <w:b w:val="0"/>
                <w:i w:val="0"/>
                <w:color w:val="auto"/>
                <w:u w:val="single"/>
              </w:rPr>
            </w:pPr>
            <w:r>
              <w:rPr>
                <w:rFonts w:hint="eastAsia"/>
                <w:b w:val="0"/>
                <w:i w:val="0"/>
                <w:color w:val="auto"/>
                <w:u w:val="single"/>
                <w:lang w:val="en-US" w:eastAsia="zh-CN"/>
              </w:rPr>
              <w:t>1.</w:t>
            </w:r>
            <w:r>
              <w:rPr>
                <w:b w:val="0"/>
                <w:i w:val="0"/>
                <w:color w:val="auto"/>
                <w:u w:val="single"/>
              </w:rPr>
              <w:t>50mm宽专用跑道漆画线</w:t>
            </w:r>
          </w:p>
          <w:p>
            <w:pPr>
              <w:pStyle w:val="36"/>
              <w:bidi w:val="0"/>
              <w:rPr>
                <w:rFonts w:hint="eastAsia"/>
                <w:b w:val="0"/>
                <w:i w:val="0"/>
                <w:color w:val="auto"/>
                <w:u w:val="single"/>
                <w:lang w:val="en-US" w:eastAsia="zh-CN"/>
              </w:rPr>
            </w:pPr>
            <w:r>
              <w:rPr>
                <w:rFonts w:hint="eastAsia"/>
                <w:b w:val="0"/>
                <w:i w:val="0"/>
                <w:color w:val="auto"/>
                <w:u w:val="single"/>
                <w:lang w:val="en-US" w:eastAsia="zh-CN"/>
              </w:rPr>
              <w:t>2.</w:t>
            </w:r>
            <w:r>
              <w:rPr>
                <w:b w:val="0"/>
                <w:i w:val="0"/>
                <w:color w:val="auto"/>
                <w:u w:val="single"/>
              </w:rPr>
              <w:t>5厚</w:t>
            </w:r>
            <w:r>
              <w:rPr>
                <w:rFonts w:hint="eastAsia"/>
                <w:b w:val="0"/>
                <w:i w:val="0"/>
                <w:color w:val="auto"/>
                <w:u w:val="single"/>
                <w:lang w:val="en-US" w:eastAsia="zh-CN"/>
              </w:rPr>
              <w:t>现浇型</w:t>
            </w:r>
            <w:r>
              <w:rPr>
                <w:b w:val="0"/>
                <w:i w:val="0"/>
                <w:color w:val="auto"/>
                <w:u w:val="single"/>
              </w:rPr>
              <w:t>塑胶面层</w:t>
            </w:r>
            <w:r>
              <w:rPr>
                <w:rFonts w:hint="eastAsia"/>
                <w:b w:val="0"/>
                <w:i w:val="0"/>
                <w:color w:val="auto"/>
                <w:u w:val="single"/>
                <w:lang w:val="en-US" w:eastAsia="zh-CN"/>
              </w:rPr>
              <w:t>(广昌小学)</w:t>
            </w:r>
          </w:p>
          <w:p>
            <w:pPr>
              <w:pStyle w:val="36"/>
              <w:bidi w:val="0"/>
              <w:rPr>
                <w:b w:val="0"/>
                <w:i w:val="0"/>
                <w:color w:val="auto"/>
                <w:u w:val="single"/>
              </w:rPr>
            </w:pPr>
            <w:r>
              <w:rPr>
                <w:rFonts w:hint="eastAsia"/>
                <w:b w:val="0"/>
                <w:i w:val="0"/>
                <w:color w:val="auto"/>
                <w:u w:val="single"/>
                <w:lang w:val="en-US" w:eastAsia="zh-CN"/>
              </w:rPr>
              <w:t>3.</w:t>
            </w:r>
            <w:r>
              <w:rPr>
                <w:b w:val="0"/>
                <w:i w:val="0"/>
                <w:color w:val="auto"/>
                <w:u w:val="single"/>
              </w:rPr>
              <w:t>专用水性修补剂（苯丙乳液+水泥+石英砂比例为1.5:2:2）</w:t>
            </w:r>
          </w:p>
          <w:p>
            <w:pPr>
              <w:pStyle w:val="36"/>
              <w:bidi w:val="0"/>
              <w:rPr>
                <w:rFonts w:hint="eastAsia" w:eastAsia="宋体"/>
                <w:b w:val="0"/>
                <w:i w:val="0"/>
                <w:color w:val="auto"/>
                <w:u w:val="single"/>
                <w:lang w:val="en-US" w:eastAsia="zh-CN"/>
              </w:rPr>
            </w:pPr>
            <w:r>
              <w:rPr>
                <w:rFonts w:hint="eastAsia"/>
                <w:b w:val="0"/>
                <w:i w:val="0"/>
                <w:color w:val="auto"/>
                <w:u w:val="none"/>
                <w:lang w:val="en-US" w:eastAsia="zh-CN"/>
              </w:rPr>
              <w:t>4.</w:t>
            </w:r>
            <w:r>
              <w:rPr>
                <w:b w:val="0"/>
                <w:i w:val="0"/>
                <w:color w:val="auto"/>
                <w:u w:val="none"/>
              </w:rPr>
              <w:t>30厚AC-10细粒改性沥青混凝土</w:t>
            </w:r>
            <w:r>
              <w:rPr>
                <w:rFonts w:hint="eastAsia"/>
                <w:b w:val="0"/>
                <w:i w:val="0"/>
                <w:color w:val="auto"/>
                <w:u w:val="none"/>
                <w:lang w:val="en-US" w:eastAsia="zh-CN"/>
              </w:rPr>
              <w:t>/4</w:t>
            </w:r>
            <w:r>
              <w:rPr>
                <w:b w:val="0"/>
                <w:i w:val="0"/>
                <w:color w:val="auto"/>
                <w:u w:val="none"/>
              </w:rPr>
              <w:t>0厚AC-10细粒改性沥青混凝土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0" w:type="dxa"/>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pPr>
              <w:pStyle w:val="32"/>
              <w:bidi w:val="0"/>
              <w:jc w:val="center"/>
              <w:rPr>
                <w:rFonts w:hint="eastAsia"/>
                <w:b w:val="0"/>
                <w:i w:val="0"/>
                <w:color w:val="auto"/>
                <w:lang w:val="en-US" w:eastAsia="zh-CN"/>
              </w:rPr>
            </w:pPr>
            <w:r>
              <w:rPr>
                <w:rFonts w:hint="eastAsia"/>
                <w:b w:val="0"/>
                <w:i w:val="0"/>
                <w:color w:val="auto"/>
                <w:lang w:val="en-US" w:eastAsia="zh-CN"/>
              </w:rPr>
              <w:t>人造草</w:t>
            </w:r>
          </w:p>
          <w:p>
            <w:pPr>
              <w:pStyle w:val="32"/>
              <w:bidi w:val="0"/>
              <w:jc w:val="center"/>
              <w:rPr>
                <w:rFonts w:hint="default"/>
                <w:b w:val="0"/>
                <w:i w:val="0"/>
                <w:color w:val="auto"/>
                <w:lang w:val="en-US" w:eastAsia="zh-CN"/>
              </w:rPr>
            </w:pPr>
            <w:r>
              <w:rPr>
                <w:rFonts w:hint="eastAsia"/>
                <w:b w:val="0"/>
                <w:i w:val="0"/>
                <w:color w:val="auto"/>
                <w:lang w:val="en-US" w:eastAsia="zh-CN"/>
              </w:rPr>
              <w:t>所在项目：北岭小学、云峰小学、梅华中学、第十一小学、文园中学、甄贤小学</w:t>
            </w:r>
          </w:p>
        </w:tc>
        <w:tc>
          <w:tcPr>
            <w:tcW w:w="7138"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center"/>
          </w:tcPr>
          <w:p>
            <w:pPr>
              <w:pStyle w:val="36"/>
              <w:numPr>
                <w:ilvl w:val="0"/>
                <w:numId w:val="0"/>
              </w:numPr>
              <w:bidi w:val="0"/>
              <w:ind w:firstLine="420" w:firstLineChars="200"/>
              <w:rPr>
                <w:rFonts w:hint="eastAsia"/>
                <w:b w:val="0"/>
                <w:i w:val="0"/>
                <w:color w:val="auto"/>
                <w:u w:val="single"/>
                <w:lang w:val="en-US" w:eastAsia="zh-CN"/>
              </w:rPr>
            </w:pPr>
            <w:r>
              <w:rPr>
                <w:rFonts w:hint="eastAsia"/>
                <w:b w:val="0"/>
                <w:i w:val="0"/>
                <w:color w:val="auto"/>
                <w:u w:val="single"/>
                <w:lang w:val="en-US" w:eastAsia="zh-CN"/>
              </w:rPr>
              <w:t>1.人造草坪面层（具体要求详图纸技术要求）</w:t>
            </w:r>
          </w:p>
          <w:p>
            <w:pPr>
              <w:pStyle w:val="36"/>
              <w:numPr>
                <w:ilvl w:val="0"/>
                <w:numId w:val="0"/>
              </w:numPr>
              <w:bidi w:val="0"/>
              <w:ind w:firstLine="420" w:firstLineChars="200"/>
              <w:rPr>
                <w:rFonts w:hint="default" w:eastAsia="宋体"/>
                <w:b w:val="0"/>
                <w:i w:val="0"/>
                <w:color w:val="auto"/>
                <w:u w:val="single"/>
                <w:lang w:val="en-US" w:eastAsia="zh-CN"/>
              </w:rPr>
            </w:pPr>
            <w:r>
              <w:rPr>
                <w:b w:val="0"/>
                <w:i w:val="0"/>
                <w:color w:val="auto"/>
                <w:u w:val="single"/>
              </w:rPr>
              <w:t>2.1</w:t>
            </w:r>
            <w:r>
              <w:rPr>
                <w:rFonts w:hint="eastAsia"/>
                <w:b w:val="0"/>
                <w:i w:val="0"/>
                <w:color w:val="auto"/>
                <w:u w:val="single"/>
                <w:lang w:val="en-US" w:eastAsia="zh-CN"/>
              </w:rPr>
              <w:t>0</w:t>
            </w:r>
            <w:r>
              <w:rPr>
                <w:b w:val="0"/>
                <w:i w:val="0"/>
                <w:color w:val="auto"/>
                <w:u w:val="single"/>
              </w:rPr>
              <w:t>厚</w:t>
            </w:r>
            <w:r>
              <w:rPr>
                <w:rFonts w:hint="eastAsia"/>
                <w:b w:val="0"/>
                <w:i w:val="0"/>
                <w:color w:val="auto"/>
                <w:u w:val="single"/>
                <w:lang w:val="en-US" w:eastAsia="zh-CN"/>
              </w:rPr>
              <w:t>合成材料吸震垫</w:t>
            </w:r>
          </w:p>
          <w:p>
            <w:pPr>
              <w:pStyle w:val="36"/>
              <w:bidi w:val="0"/>
              <w:rPr>
                <w:rFonts w:hint="eastAsia" w:eastAsia="宋体"/>
                <w:b w:val="0"/>
                <w:i w:val="0"/>
                <w:color w:val="auto"/>
                <w:lang w:val="en-US" w:eastAsia="zh-CN"/>
              </w:rPr>
            </w:pPr>
            <w:r>
              <w:rPr>
                <w:b w:val="0"/>
                <w:i w:val="0"/>
                <w:color w:val="auto"/>
              </w:rPr>
              <w:t>3.</w:t>
            </w:r>
            <w:r>
              <w:rPr>
                <w:rFonts w:hint="eastAsia"/>
                <w:b w:val="0"/>
                <w:i w:val="0"/>
                <w:color w:val="auto"/>
                <w:lang w:val="en-US" w:eastAsia="zh-CN"/>
              </w:rPr>
              <w:t>混凝土基层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0" w:type="dxa"/>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pPr>
              <w:pStyle w:val="32"/>
              <w:bidi w:val="0"/>
              <w:jc w:val="center"/>
              <w:rPr>
                <w:rFonts w:hint="default"/>
                <w:b w:val="0"/>
                <w:i w:val="0"/>
                <w:color w:val="auto"/>
                <w:lang w:val="en-US" w:eastAsia="zh-CN"/>
              </w:rPr>
            </w:pPr>
            <w:r>
              <w:rPr>
                <w:rFonts w:hint="eastAsia"/>
                <w:b w:val="0"/>
                <w:i w:val="0"/>
                <w:color w:val="auto"/>
                <w:lang w:val="en-US" w:eastAsia="zh-CN"/>
              </w:rPr>
              <w:t>丙烯酸地面</w:t>
            </w:r>
          </w:p>
          <w:p>
            <w:pPr>
              <w:pStyle w:val="32"/>
              <w:bidi w:val="0"/>
              <w:jc w:val="center"/>
              <w:rPr>
                <w:rFonts w:hint="default"/>
                <w:b w:val="0"/>
                <w:i w:val="0"/>
                <w:color w:val="auto"/>
                <w:lang w:val="en-US" w:eastAsia="zh-CN"/>
              </w:rPr>
            </w:pPr>
            <w:r>
              <w:rPr>
                <w:rFonts w:hint="eastAsia"/>
                <w:b w:val="0"/>
                <w:i w:val="0"/>
                <w:color w:val="auto"/>
                <w:lang w:val="en-US" w:eastAsia="zh-CN"/>
              </w:rPr>
              <w:t>所在项目：实验学校、云峰小学、广昌小学、景园小学、梅华中学、十八小学、文园中学、第十一小学、甄贤小学</w:t>
            </w:r>
          </w:p>
        </w:tc>
        <w:tc>
          <w:tcPr>
            <w:tcW w:w="7138"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center"/>
          </w:tcPr>
          <w:p>
            <w:pPr>
              <w:pStyle w:val="36"/>
              <w:bidi w:val="0"/>
              <w:rPr>
                <w:rFonts w:hint="eastAsia"/>
                <w:b w:val="0"/>
                <w:i w:val="0"/>
                <w:color w:val="auto"/>
                <w:u w:val="single"/>
              </w:rPr>
            </w:pPr>
            <w:r>
              <w:rPr>
                <w:rFonts w:hint="eastAsia"/>
                <w:b w:val="0"/>
                <w:i w:val="0"/>
                <w:color w:val="auto"/>
                <w:u w:val="single"/>
                <w:lang w:val="en-US" w:eastAsia="zh-CN"/>
              </w:rPr>
              <w:t>1.</w:t>
            </w:r>
            <w:r>
              <w:rPr>
                <w:rFonts w:hint="eastAsia"/>
                <w:b w:val="0"/>
                <w:i w:val="0"/>
                <w:color w:val="auto"/>
                <w:u w:val="single"/>
              </w:rPr>
              <w:t>画线漆画线</w:t>
            </w:r>
          </w:p>
          <w:p>
            <w:pPr>
              <w:pStyle w:val="36"/>
              <w:bidi w:val="0"/>
              <w:rPr>
                <w:rFonts w:hint="eastAsia"/>
                <w:b w:val="0"/>
                <w:i w:val="0"/>
                <w:color w:val="auto"/>
                <w:u w:val="single"/>
              </w:rPr>
            </w:pPr>
            <w:r>
              <w:rPr>
                <w:rFonts w:hint="eastAsia"/>
                <w:b w:val="0"/>
                <w:i w:val="0"/>
                <w:color w:val="auto"/>
                <w:u w:val="single"/>
                <w:lang w:val="en-US" w:eastAsia="zh-CN"/>
              </w:rPr>
              <w:t>2.</w:t>
            </w:r>
            <w:r>
              <w:rPr>
                <w:rFonts w:hint="eastAsia"/>
                <w:b w:val="0"/>
                <w:i w:val="0"/>
                <w:color w:val="auto"/>
                <w:u w:val="single"/>
              </w:rPr>
              <w:t>5遍丙烯酸（颜色具体由校方确定）</w:t>
            </w:r>
          </w:p>
          <w:p>
            <w:pPr>
              <w:pStyle w:val="36"/>
              <w:bidi w:val="0"/>
              <w:rPr>
                <w:rFonts w:hint="default" w:eastAsia="宋体"/>
                <w:b w:val="0"/>
                <w:i w:val="0"/>
                <w:color w:val="auto"/>
                <w:lang w:val="en-US" w:eastAsia="zh-CN"/>
              </w:rPr>
            </w:pPr>
            <w:r>
              <w:rPr>
                <w:rFonts w:hint="eastAsia"/>
                <w:b w:val="0"/>
                <w:i w:val="0"/>
                <w:color w:val="auto"/>
                <w:u w:val="none"/>
                <w:lang w:val="en-US" w:eastAsia="zh-CN"/>
              </w:rPr>
              <w:t>3.</w:t>
            </w:r>
            <w:r>
              <w:rPr>
                <w:rFonts w:hint="eastAsia"/>
                <w:b w:val="0"/>
                <w:i w:val="0"/>
                <w:color w:val="auto"/>
                <w:u w:val="none"/>
              </w:rPr>
              <w:t>40厚AC-10细粒改性沥青混凝土</w:t>
            </w:r>
            <w:r>
              <w:rPr>
                <w:rFonts w:hint="eastAsia"/>
                <w:b w:val="0"/>
                <w:i w:val="0"/>
                <w:color w:val="auto"/>
                <w:u w:val="none"/>
                <w:lang w:val="en-US" w:eastAsia="zh-CN"/>
              </w:rPr>
              <w:t>/原混凝土基层打磨修补/新浇混凝土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0" w:type="dxa"/>
            <w:tcBorders>
              <w:top w:val="single" w:color="999999" w:themeColor="dark1" w:themeTint="66" w:sz="6" w:space="0"/>
              <w:left w:val="single" w:color="000000" w:themeColor="dark1" w:sz="6" w:space="0"/>
              <w:bottom w:val="single" w:color="000000" w:themeColor="dark1" w:sz="6" w:space="0"/>
              <w:right w:val="single" w:color="999999" w:themeColor="dark1" w:themeTint="66" w:sz="6" w:space="0"/>
            </w:tcBorders>
            <w:shd w:val="clear" w:color="auto" w:fill="FFFFFF"/>
            <w:vAlign w:val="center"/>
          </w:tcPr>
          <w:p>
            <w:pPr>
              <w:pStyle w:val="32"/>
              <w:bidi w:val="0"/>
              <w:jc w:val="center"/>
              <w:rPr>
                <w:rFonts w:hint="eastAsia"/>
                <w:b w:val="0"/>
                <w:i w:val="0"/>
                <w:color w:val="auto"/>
                <w:lang w:val="en-US" w:eastAsia="zh-CN"/>
              </w:rPr>
            </w:pPr>
            <w:r>
              <w:rPr>
                <w:rFonts w:hint="eastAsia"/>
                <w:b w:val="0"/>
                <w:i w:val="0"/>
                <w:color w:val="auto"/>
                <w:lang w:val="en-US" w:eastAsia="zh-CN"/>
              </w:rPr>
              <w:t>篮球场（预制塑胶）</w:t>
            </w:r>
          </w:p>
          <w:p>
            <w:pPr>
              <w:pStyle w:val="32"/>
              <w:bidi w:val="0"/>
              <w:jc w:val="center"/>
              <w:rPr>
                <w:rFonts w:hint="default"/>
                <w:b w:val="0"/>
                <w:i w:val="0"/>
                <w:color w:val="auto"/>
                <w:lang w:val="en-US" w:eastAsia="zh-CN"/>
              </w:rPr>
            </w:pPr>
            <w:r>
              <w:rPr>
                <w:rFonts w:hint="eastAsia"/>
                <w:b w:val="0"/>
                <w:i w:val="0"/>
                <w:color w:val="auto"/>
                <w:lang w:val="en-US" w:eastAsia="zh-CN"/>
              </w:rPr>
              <w:t>所在项目：第十一小学</w:t>
            </w:r>
          </w:p>
        </w:tc>
        <w:tc>
          <w:tcPr>
            <w:tcW w:w="7138" w:type="dxa"/>
            <w:tcBorders>
              <w:top w:val="single" w:color="999999" w:themeColor="dark1" w:themeTint="66" w:sz="6" w:space="0"/>
              <w:left w:val="single" w:color="999999" w:themeColor="dark1" w:themeTint="66" w:sz="6" w:space="0"/>
              <w:bottom w:val="single" w:color="000000" w:themeColor="dark1" w:sz="6" w:space="0"/>
              <w:right w:val="single" w:color="000000" w:themeColor="dark1" w:sz="6" w:space="0"/>
            </w:tcBorders>
            <w:shd w:val="clear" w:color="auto" w:fill="FFFFFF"/>
            <w:vAlign w:val="center"/>
          </w:tcPr>
          <w:p>
            <w:pPr>
              <w:pStyle w:val="36"/>
              <w:bidi w:val="0"/>
              <w:rPr>
                <w:b w:val="0"/>
                <w:i w:val="0"/>
                <w:color w:val="auto"/>
                <w:u w:val="single"/>
              </w:rPr>
            </w:pPr>
            <w:r>
              <w:rPr>
                <w:b w:val="0"/>
                <w:i w:val="0"/>
                <w:color w:val="auto"/>
                <w:u w:val="single"/>
              </w:rPr>
              <w:t>1.50mm宽专用跑道漆画线</w:t>
            </w:r>
          </w:p>
          <w:p>
            <w:pPr>
              <w:pStyle w:val="36"/>
              <w:bidi w:val="0"/>
              <w:rPr>
                <w:b w:val="0"/>
                <w:i w:val="0"/>
                <w:color w:val="auto"/>
                <w:u w:val="single"/>
              </w:rPr>
            </w:pPr>
            <w:r>
              <w:rPr>
                <w:b w:val="0"/>
                <w:i w:val="0"/>
                <w:color w:val="auto"/>
                <w:u w:val="single"/>
              </w:rPr>
              <w:t>2.</w:t>
            </w:r>
            <w:r>
              <w:rPr>
                <w:rFonts w:hint="eastAsia"/>
                <w:b w:val="0"/>
                <w:i w:val="0"/>
                <w:color w:val="auto"/>
                <w:u w:val="single"/>
                <w:lang w:val="en-US" w:eastAsia="zh-CN"/>
              </w:rPr>
              <w:t>8</w:t>
            </w:r>
            <w:r>
              <w:rPr>
                <w:b w:val="0"/>
                <w:i w:val="0"/>
                <w:color w:val="auto"/>
                <w:u w:val="single"/>
              </w:rPr>
              <w:t>厚预制型橡胶卷材（背面用专用胶带接缝）</w:t>
            </w:r>
          </w:p>
          <w:p>
            <w:pPr>
              <w:pStyle w:val="36"/>
              <w:bidi w:val="0"/>
              <w:rPr>
                <w:b w:val="0"/>
                <w:i w:val="0"/>
                <w:color w:val="auto"/>
                <w:u w:val="single"/>
              </w:rPr>
            </w:pPr>
            <w:r>
              <w:rPr>
                <w:b w:val="0"/>
                <w:i w:val="0"/>
                <w:color w:val="auto"/>
                <w:u w:val="single"/>
              </w:rPr>
              <w:t>3.专用水性封底料（苯丙乳液+水泥+石英砂，比例1.5:2:2）</w:t>
            </w:r>
          </w:p>
          <w:p>
            <w:pPr>
              <w:pStyle w:val="36"/>
              <w:bidi w:val="0"/>
              <w:rPr>
                <w:rFonts w:hint="eastAsia"/>
                <w:b w:val="0"/>
                <w:i w:val="0"/>
                <w:color w:val="auto"/>
                <w:u w:val="single"/>
                <w:lang w:val="en-US" w:eastAsia="zh-CN"/>
              </w:rPr>
            </w:pPr>
            <w:r>
              <w:rPr>
                <w:b w:val="0"/>
                <w:i w:val="0"/>
                <w:color w:val="auto"/>
                <w:u w:val="none"/>
              </w:rPr>
              <w:t>4.40厚AC-10细粒改性沥青混凝土</w:t>
            </w:r>
            <w:r>
              <w:rPr>
                <w:rFonts w:hint="eastAsia"/>
                <w:b w:val="0"/>
                <w:i w:val="0"/>
                <w:color w:val="auto"/>
                <w:u w:val="none"/>
                <w:lang w:val="en-US" w:eastAsia="zh-CN"/>
              </w:rPr>
              <w:t>基层</w:t>
            </w:r>
          </w:p>
        </w:tc>
      </w:tr>
    </w:tbl>
    <w:p>
      <w:pPr>
        <w:pStyle w:val="4"/>
        <w:bidi w:val="0"/>
        <w:rPr>
          <w:rFonts w:hint="default"/>
          <w:color w:val="auto"/>
          <w:lang w:val="en-US" w:eastAsia="zh-CN"/>
        </w:rPr>
      </w:pPr>
      <w:r>
        <w:rPr>
          <w:rFonts w:hint="eastAsia"/>
          <w:color w:val="auto"/>
          <w:lang w:val="en-US" w:eastAsia="zh-CN"/>
        </w:rPr>
        <w:t>施工场地概况</w:t>
      </w:r>
    </w:p>
    <w:p>
      <w:pPr>
        <w:pStyle w:val="22"/>
        <w:bidi w:val="0"/>
        <w:rPr>
          <w:rFonts w:hint="default"/>
          <w:lang w:val="en-US" w:eastAsia="zh-CN"/>
        </w:rPr>
      </w:pPr>
      <w:r>
        <w:rPr>
          <w:rFonts w:hint="eastAsia"/>
          <w:lang w:val="en-US" w:eastAsia="zh-CN"/>
        </w:rPr>
        <w:t>投标人</w:t>
      </w:r>
      <w:r>
        <w:rPr>
          <w:rFonts w:hint="default"/>
          <w:lang w:val="en-US" w:eastAsia="zh-CN"/>
        </w:rPr>
        <w:t>需全面熟悉各学校场地现状、施工边界、校园管控要求、教学时段安排、机械进出条件，明确校园出入口位置、通行权限、道路限高限宽及承载能力</w:t>
      </w:r>
      <w:r>
        <w:rPr>
          <w:rFonts w:hint="eastAsia"/>
          <w:lang w:val="en-US" w:eastAsia="zh-CN"/>
        </w:rPr>
        <w:t>，</w:t>
      </w:r>
      <w:r>
        <w:rPr>
          <w:rFonts w:hint="default"/>
          <w:lang w:val="en-US" w:eastAsia="zh-CN"/>
        </w:rPr>
        <w:t>所有施工机械、材料运输车辆必须严格按照校方审批通过的进出场路径、通行时段行驶，严禁擅自更改路线、占用校园其他道路、碾压绿化带、消防通道。</w:t>
      </w:r>
    </w:p>
    <w:p>
      <w:pPr>
        <w:pStyle w:val="22"/>
        <w:bidi w:val="0"/>
        <w:rPr>
          <w:rFonts w:hint="default"/>
          <w:lang w:val="en-US" w:eastAsia="zh-CN"/>
        </w:rPr>
      </w:pPr>
      <w:r>
        <w:rPr>
          <w:rFonts w:hint="default"/>
          <w:lang w:val="en-US" w:eastAsia="zh-CN"/>
        </w:rPr>
        <w:t>机械与车辆进出场必须避开学生上下学高峰时段，确需在上述时段通行的，必须提前1个工作日报校方书面批准，安排专人全程指挥引导</w:t>
      </w:r>
      <w:r>
        <w:rPr>
          <w:rFonts w:hint="eastAsia"/>
          <w:lang w:val="en-US" w:eastAsia="zh-CN"/>
        </w:rPr>
        <w:t>交通</w:t>
      </w:r>
      <w:r>
        <w:rPr>
          <w:rFonts w:hint="default"/>
          <w:lang w:val="en-US" w:eastAsia="zh-CN"/>
        </w:rPr>
        <w:t>。</w:t>
      </w:r>
    </w:p>
    <w:p>
      <w:pPr>
        <w:pStyle w:val="22"/>
        <w:bidi w:val="0"/>
        <w:rPr>
          <w:rFonts w:hint="default"/>
          <w:lang w:val="en-US" w:eastAsia="zh-CN"/>
        </w:rPr>
      </w:pPr>
      <w:r>
        <w:rPr>
          <w:rFonts w:hint="default"/>
          <w:lang w:val="en-US" w:eastAsia="zh-CN"/>
        </w:rPr>
        <w:t>车辆在校园内行驶速度不得超过5km/h，严禁鸣笛、超速、抢行，运输车辆出场前必须冲洗车轮、车厢，严禁带泥上路、沿途撒漏，严格遵守珠海市城市道路运输管理相关规定。</w:t>
      </w:r>
    </w:p>
    <w:p>
      <w:pPr>
        <w:pStyle w:val="22"/>
        <w:bidi w:val="0"/>
        <w:rPr>
          <w:rFonts w:hint="default"/>
          <w:lang w:val="en-US" w:eastAsia="zh-CN"/>
        </w:rPr>
      </w:pPr>
      <w:r>
        <w:rPr>
          <w:rFonts w:hint="eastAsia"/>
          <w:lang w:val="en-US" w:eastAsia="zh-CN"/>
        </w:rPr>
        <w:t>施工机械</w:t>
      </w:r>
      <w:r>
        <w:rPr>
          <w:rFonts w:hint="default"/>
          <w:lang w:val="en-US" w:eastAsia="zh-CN"/>
        </w:rPr>
        <w:t>进场后必须停放在划定的封闭施工区域内，严禁在校园内随意停放、转场；机械转场必须全程封闭、专人引导，避开学生活动区域。所有进场施工机械必须验收合格，具备年检合格证、特种设备操作证，报监理备案后方可使用，严禁使用报废、无合格证、带病运行的机械。</w:t>
      </w:r>
    </w:p>
    <w:p>
      <w:pPr>
        <w:pStyle w:val="22"/>
        <w:bidi w:val="0"/>
        <w:rPr>
          <w:rFonts w:hint="default"/>
          <w:lang w:val="en-US" w:eastAsia="zh-CN"/>
        </w:rPr>
      </w:pPr>
      <w:r>
        <w:rPr>
          <w:rFonts w:hint="default"/>
          <w:lang w:val="en-US" w:eastAsia="zh-CN"/>
        </w:rPr>
        <w:t>施工废水、废料、垃圾的排放及清运路线，严格执行校方指定处置要求。</w:t>
      </w:r>
    </w:p>
    <w:p>
      <w:pPr>
        <w:pStyle w:val="22"/>
        <w:bidi w:val="0"/>
        <w:rPr>
          <w:rFonts w:hint="default"/>
          <w:lang w:val="en-US" w:eastAsia="zh-CN"/>
        </w:rPr>
      </w:pPr>
      <w:r>
        <w:rPr>
          <w:rFonts w:hint="default"/>
          <w:lang w:val="en-US" w:eastAsia="zh-CN"/>
        </w:rPr>
        <w:t>施工全过程服从校方日常管理、教学秩序管控，遵守临时活动及考试期间停工要求。</w:t>
      </w:r>
    </w:p>
    <w:p>
      <w:pPr>
        <w:pStyle w:val="4"/>
        <w:bidi w:val="0"/>
        <w:rPr>
          <w:rFonts w:hint="default"/>
          <w:color w:val="auto"/>
          <w:lang w:val="en-US" w:eastAsia="zh-CN"/>
        </w:rPr>
      </w:pPr>
      <w:r>
        <w:rPr>
          <w:rFonts w:hint="eastAsia"/>
          <w:color w:val="auto"/>
          <w:lang w:val="en-US" w:eastAsia="zh-CN"/>
        </w:rPr>
        <w:t>工期要求</w:t>
      </w:r>
    </w:p>
    <w:p>
      <w:pPr>
        <w:pStyle w:val="22"/>
        <w:bidi w:val="0"/>
        <w:rPr>
          <w:rFonts w:hint="default"/>
          <w:lang w:val="en-US" w:eastAsia="zh-CN"/>
        </w:rPr>
      </w:pPr>
      <w:r>
        <w:rPr>
          <w:rFonts w:hint="default"/>
          <w:lang w:val="en-US" w:eastAsia="zh-CN"/>
        </w:rPr>
        <w:t>本项目总工期：</w:t>
      </w:r>
      <w:r>
        <w:rPr>
          <w:rFonts w:hint="eastAsia"/>
          <w:lang w:val="en-US" w:eastAsia="zh-CN"/>
        </w:rPr>
        <w:t>120</w:t>
      </w:r>
      <w:r>
        <w:rPr>
          <w:rFonts w:hint="default"/>
          <w:lang w:val="en-US" w:eastAsia="zh-CN"/>
        </w:rPr>
        <w:t>日历天</w:t>
      </w:r>
      <w:r>
        <w:rPr>
          <w:rFonts w:hint="eastAsia"/>
          <w:lang w:val="en-US" w:eastAsia="zh-CN"/>
        </w:rPr>
        <w:t>（暂定）</w:t>
      </w:r>
      <w:r>
        <w:rPr>
          <w:rFonts w:hint="default"/>
          <w:lang w:val="en-US" w:eastAsia="zh-CN"/>
        </w:rPr>
        <w:t>，中标方须严格按照招标人下达的总工期及各校区节点工期计划组织施工，确保按期完工。</w:t>
      </w:r>
    </w:p>
    <w:p>
      <w:pPr>
        <w:pStyle w:val="22"/>
        <w:bidi w:val="0"/>
        <w:rPr>
          <w:rFonts w:hint="default"/>
          <w:lang w:val="en-US" w:eastAsia="zh-CN"/>
        </w:rPr>
      </w:pPr>
      <w:r>
        <w:rPr>
          <w:rFonts w:hint="default"/>
          <w:lang w:val="en-US" w:eastAsia="zh-CN"/>
        </w:rPr>
        <w:t>各校区的施工先后顺序，招标人有权根据校方实际需求调整。</w:t>
      </w:r>
    </w:p>
    <w:p>
      <w:pPr>
        <w:pStyle w:val="2"/>
        <w:bidi w:val="0"/>
        <w:rPr>
          <w:rFonts w:hint="default"/>
          <w:color w:val="auto"/>
          <w:lang w:val="en-US" w:eastAsia="zh-CN"/>
        </w:rPr>
      </w:pPr>
      <w:r>
        <w:rPr>
          <w:rFonts w:hint="default"/>
          <w:color w:val="auto"/>
          <w:lang w:val="en-US" w:eastAsia="zh-CN"/>
        </w:rPr>
        <w:t>编制依据</w:t>
      </w:r>
    </w:p>
    <w:p>
      <w:pPr>
        <w:rPr>
          <w:rFonts w:hint="default"/>
          <w:color w:val="auto"/>
          <w:lang w:val="en-US" w:eastAsia="zh-CN"/>
        </w:rPr>
      </w:pPr>
      <w:r>
        <w:rPr>
          <w:rFonts w:hint="default"/>
          <w:color w:val="auto"/>
          <w:lang w:val="en-US" w:eastAsia="zh-CN"/>
        </w:rPr>
        <w:t>为确保本项目施工过程合规、质量可控，严格遵循相关技术要求及规范标准，特汇总本项目所需各类技术资料及规范，明确各项依据，为项目施工、验收及管理工作提供支撑。</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5933"/>
        <w:gridCol w:w="2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5" w:type="dxa"/>
            <w:tcBorders>
              <w:top w:val="single" w:color="000000" w:themeColor="dark1"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pPr>
              <w:pStyle w:val="32"/>
              <w:bidi w:val="0"/>
              <w:jc w:val="center"/>
              <w:rPr>
                <w:rFonts w:hint="default"/>
                <w:b/>
                <w:i w:val="0"/>
                <w:color w:val="auto"/>
                <w:lang w:val="en-US" w:eastAsia="zh-CN"/>
              </w:rPr>
            </w:pPr>
            <w:r>
              <w:rPr>
                <w:b/>
                <w:i w:val="0"/>
                <w:color w:val="auto"/>
                <w:lang w:val="en-US" w:eastAsia="zh-CN"/>
              </w:rPr>
              <w:t>序号</w:t>
            </w:r>
          </w:p>
        </w:tc>
        <w:tc>
          <w:tcPr>
            <w:tcW w:w="5933" w:type="dxa"/>
            <w:tcBorders>
              <w:top w:val="single" w:color="000000" w:themeColor="dark1"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pPr>
              <w:pStyle w:val="32"/>
              <w:bidi w:val="0"/>
              <w:jc w:val="center"/>
              <w:rPr>
                <w:rFonts w:hint="default"/>
                <w:b/>
                <w:i w:val="0"/>
                <w:color w:val="auto"/>
                <w:lang w:val="en-US" w:eastAsia="zh-CN"/>
              </w:rPr>
            </w:pPr>
            <w:r>
              <w:rPr>
                <w:b/>
                <w:i w:val="0"/>
                <w:color w:val="auto"/>
                <w:lang w:val="en-US" w:eastAsia="zh-CN"/>
              </w:rPr>
              <w:t>资料/规范名称</w:t>
            </w:r>
          </w:p>
        </w:tc>
        <w:tc>
          <w:tcPr>
            <w:tcW w:w="2390" w:type="dxa"/>
            <w:tcBorders>
              <w:top w:val="single" w:color="000000" w:themeColor="dark1"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center"/>
          </w:tcPr>
          <w:p>
            <w:pPr>
              <w:pStyle w:val="32"/>
              <w:bidi w:val="0"/>
              <w:jc w:val="center"/>
              <w:rPr>
                <w:rFonts w:hint="default"/>
                <w:b/>
                <w:i w:val="0"/>
                <w:color w:val="auto"/>
                <w:lang w:val="en-US" w:eastAsia="zh-CN"/>
              </w:rPr>
            </w:pPr>
            <w:r>
              <w:rPr>
                <w:b/>
                <w:i w:val="0"/>
                <w:color w:val="auto"/>
                <w:lang w:val="en-US" w:eastAsia="zh-CN"/>
              </w:rPr>
              <w:t>规范编号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pPr>
              <w:pStyle w:val="32"/>
              <w:bidi w:val="0"/>
              <w:jc w:val="center"/>
              <w:rPr>
                <w:rFonts w:hint="default"/>
                <w:b w:val="0"/>
                <w:i w:val="0"/>
                <w:color w:val="auto"/>
                <w:lang w:val="en-US" w:eastAsia="zh-CN"/>
              </w:rPr>
            </w:pPr>
            <w:r>
              <w:rPr>
                <w:b w:val="0"/>
                <w:i w:val="0"/>
                <w:color w:val="auto"/>
                <w:lang w:val="en-US" w:eastAsia="zh-CN"/>
              </w:rPr>
              <w:t>1</w:t>
            </w:r>
          </w:p>
        </w:tc>
        <w:tc>
          <w:tcPr>
            <w:tcW w:w="5933"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pPr>
              <w:pStyle w:val="32"/>
              <w:bidi w:val="0"/>
              <w:jc w:val="center"/>
              <w:rPr>
                <w:rFonts w:hint="default"/>
                <w:b w:val="0"/>
                <w:i w:val="0"/>
                <w:color w:val="auto"/>
                <w:lang w:val="en-US" w:eastAsia="zh-CN"/>
              </w:rPr>
            </w:pPr>
            <w:r>
              <w:rPr>
                <w:b w:val="0"/>
                <w:i w:val="0"/>
                <w:color w:val="auto"/>
                <w:lang w:val="en-US" w:eastAsia="zh-CN"/>
              </w:rPr>
              <w:t>本项目设计</w:t>
            </w:r>
            <w:r>
              <w:rPr>
                <w:rFonts w:hint="eastAsia"/>
                <w:b w:val="0"/>
                <w:i w:val="0"/>
                <w:color w:val="auto"/>
                <w:lang w:val="en-US" w:eastAsia="zh-CN"/>
              </w:rPr>
              <w:t>图纸、</w:t>
            </w:r>
            <w:r>
              <w:rPr>
                <w:b w:val="0"/>
                <w:i w:val="0"/>
                <w:color w:val="auto"/>
                <w:lang w:val="en-US" w:eastAsia="zh-CN"/>
              </w:rPr>
              <w:t>设计相关技术资料</w:t>
            </w:r>
          </w:p>
        </w:tc>
        <w:tc>
          <w:tcPr>
            <w:tcW w:w="2390"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center"/>
          </w:tcPr>
          <w:p>
            <w:pPr>
              <w:pStyle w:val="32"/>
              <w:bidi w:val="0"/>
              <w:jc w:val="center"/>
              <w:rPr>
                <w:rFonts w:hint="default"/>
                <w:b w:val="0"/>
                <w:i w:val="0"/>
                <w:color w:val="auto"/>
                <w:lang w:val="en-US" w:eastAsia="zh-CN"/>
              </w:rPr>
            </w:pPr>
            <w:r>
              <w:rPr>
                <w:rFonts w:hint="eastAsia"/>
                <w:b w:val="0"/>
                <w:i w:val="0"/>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pPr>
              <w:pStyle w:val="32"/>
              <w:bidi w:val="0"/>
              <w:jc w:val="center"/>
              <w:rPr>
                <w:rFonts w:hint="default"/>
                <w:b w:val="0"/>
                <w:i w:val="0"/>
                <w:color w:val="auto"/>
                <w:lang w:val="en-US" w:eastAsia="zh-CN"/>
              </w:rPr>
            </w:pPr>
            <w:r>
              <w:rPr>
                <w:b w:val="0"/>
                <w:i w:val="0"/>
                <w:color w:val="auto"/>
                <w:lang w:val="en-US" w:eastAsia="zh-CN"/>
              </w:rPr>
              <w:t>2</w:t>
            </w:r>
          </w:p>
        </w:tc>
        <w:tc>
          <w:tcPr>
            <w:tcW w:w="5933"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pPr>
              <w:pStyle w:val="32"/>
              <w:bidi w:val="0"/>
              <w:ind w:firstLine="0" w:firstLineChars="0"/>
              <w:jc w:val="center"/>
              <w:rPr>
                <w:rFonts w:hint="default" w:ascii="Times New Roman" w:hAnsi="Times New Roman" w:eastAsia="宋体" w:cstheme="minorBidi"/>
                <w:b w:val="0"/>
                <w:i w:val="0"/>
                <w:color w:val="auto"/>
                <w:kern w:val="2"/>
                <w:sz w:val="21"/>
                <w:szCs w:val="21"/>
                <w:lang w:val="en-US" w:eastAsia="zh-CN" w:bidi="ar-SA"/>
              </w:rPr>
            </w:pPr>
            <w:r>
              <w:rPr>
                <w:b w:val="0"/>
                <w:i w:val="0"/>
                <w:color w:val="auto"/>
                <w:lang w:val="en-US" w:eastAsia="zh-CN"/>
              </w:rPr>
              <w:t>中小学合成材料面层运动场地</w:t>
            </w:r>
          </w:p>
        </w:tc>
        <w:tc>
          <w:tcPr>
            <w:tcW w:w="2390"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center"/>
          </w:tcPr>
          <w:p>
            <w:pPr>
              <w:pStyle w:val="32"/>
              <w:bidi w:val="0"/>
              <w:ind w:firstLine="0" w:firstLineChars="0"/>
              <w:jc w:val="center"/>
              <w:rPr>
                <w:rFonts w:hint="default" w:ascii="Times New Roman" w:hAnsi="Times New Roman" w:eastAsia="宋体" w:cstheme="minorBidi"/>
                <w:b w:val="0"/>
                <w:i w:val="0"/>
                <w:color w:val="auto"/>
                <w:kern w:val="2"/>
                <w:sz w:val="21"/>
                <w:szCs w:val="21"/>
                <w:lang w:val="en-US" w:eastAsia="zh-CN" w:bidi="ar-SA"/>
              </w:rPr>
            </w:pPr>
            <w:r>
              <w:rPr>
                <w:b w:val="0"/>
                <w:i w:val="0"/>
                <w:color w:val="auto"/>
                <w:lang w:val="en-US" w:eastAsia="zh-CN"/>
              </w:rPr>
              <w:t>GB36246-2018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pPr>
              <w:pStyle w:val="32"/>
              <w:bidi w:val="0"/>
              <w:jc w:val="center"/>
              <w:rPr>
                <w:rFonts w:hint="default"/>
                <w:b w:val="0"/>
                <w:i w:val="0"/>
                <w:color w:val="auto"/>
                <w:lang w:val="en-US" w:eastAsia="zh-CN"/>
              </w:rPr>
            </w:pPr>
            <w:r>
              <w:rPr>
                <w:b w:val="0"/>
                <w:i w:val="0"/>
                <w:color w:val="auto"/>
                <w:lang w:val="en-US" w:eastAsia="zh-CN"/>
              </w:rPr>
              <w:t>3</w:t>
            </w:r>
          </w:p>
        </w:tc>
        <w:tc>
          <w:tcPr>
            <w:tcW w:w="5933"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pPr>
              <w:pStyle w:val="32"/>
              <w:bidi w:val="0"/>
              <w:ind w:firstLine="0" w:firstLineChars="0"/>
              <w:jc w:val="center"/>
              <w:rPr>
                <w:rFonts w:hint="default" w:ascii="Times New Roman" w:hAnsi="Times New Roman" w:eastAsia="宋体" w:cstheme="minorBidi"/>
                <w:b w:val="0"/>
                <w:i w:val="0"/>
                <w:color w:val="auto"/>
                <w:kern w:val="2"/>
                <w:sz w:val="21"/>
                <w:szCs w:val="21"/>
                <w:lang w:val="en-US" w:eastAsia="zh-CN" w:bidi="ar-SA"/>
              </w:rPr>
            </w:pPr>
            <w:r>
              <w:rPr>
                <w:rFonts w:hint="eastAsia"/>
                <w:b w:val="0"/>
                <w:i w:val="0"/>
                <w:color w:val="auto"/>
                <w:lang w:val="en-US" w:eastAsia="zh-CN"/>
              </w:rPr>
              <w:t>中小学校体育设施技术规程</w:t>
            </w:r>
          </w:p>
        </w:tc>
        <w:tc>
          <w:tcPr>
            <w:tcW w:w="2390"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center"/>
          </w:tcPr>
          <w:p>
            <w:pPr>
              <w:pStyle w:val="32"/>
              <w:bidi w:val="0"/>
              <w:ind w:firstLine="0" w:firstLineChars="0"/>
              <w:jc w:val="center"/>
              <w:rPr>
                <w:rFonts w:hint="default" w:ascii="Times New Roman" w:hAnsi="Times New Roman" w:eastAsia="宋体" w:cstheme="minorBidi"/>
                <w:b w:val="0"/>
                <w:i w:val="0"/>
                <w:color w:val="auto"/>
                <w:kern w:val="2"/>
                <w:sz w:val="21"/>
                <w:szCs w:val="21"/>
                <w:lang w:val="en-US" w:eastAsia="zh-CN" w:bidi="ar-SA"/>
              </w:rPr>
            </w:pPr>
            <w:r>
              <w:rPr>
                <w:rFonts w:hint="eastAsia"/>
                <w:b w:val="0"/>
                <w:i w:val="0"/>
                <w:color w:val="auto"/>
                <w:lang w:val="en-US" w:eastAsia="zh-CN"/>
              </w:rPr>
              <w:t>JGJ/T280-2012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op w:val="single" w:color="999999" w:themeColor="dark1" w:themeTint="66" w:sz="6" w:space="0"/>
              <w:left w:val="single" w:color="000000" w:themeColor="dark1" w:sz="6" w:space="0"/>
              <w:bottom w:val="single" w:color="000000" w:themeColor="dark1" w:sz="6" w:space="0"/>
              <w:right w:val="single" w:color="999999" w:themeColor="dark1" w:themeTint="66" w:sz="6" w:space="0"/>
            </w:tcBorders>
            <w:shd w:val="clear" w:color="auto" w:fill="FFFFFF"/>
            <w:vAlign w:val="center"/>
          </w:tcPr>
          <w:p>
            <w:pPr>
              <w:pStyle w:val="32"/>
              <w:bidi w:val="0"/>
              <w:jc w:val="center"/>
              <w:rPr>
                <w:rFonts w:hint="default"/>
                <w:b w:val="0"/>
                <w:i w:val="0"/>
                <w:color w:val="auto"/>
                <w:lang w:val="en-US" w:eastAsia="zh-CN"/>
              </w:rPr>
            </w:pPr>
            <w:r>
              <w:rPr>
                <w:b w:val="0"/>
                <w:i w:val="0"/>
                <w:color w:val="auto"/>
                <w:lang w:val="en-US" w:eastAsia="zh-CN"/>
              </w:rPr>
              <w:t>4</w:t>
            </w:r>
          </w:p>
        </w:tc>
        <w:tc>
          <w:tcPr>
            <w:tcW w:w="5933" w:type="dxa"/>
            <w:tcBorders>
              <w:top w:val="single" w:color="999999" w:themeColor="dark1" w:themeTint="66" w:sz="6" w:space="0"/>
              <w:left w:val="single" w:color="999999" w:themeColor="dark1" w:themeTint="66" w:sz="6" w:space="0"/>
              <w:bottom w:val="single" w:color="000000" w:themeColor="dark1" w:sz="6" w:space="0"/>
              <w:right w:val="single" w:color="999999" w:themeColor="dark1" w:themeTint="66" w:sz="6" w:space="0"/>
            </w:tcBorders>
            <w:shd w:val="clear" w:color="auto" w:fill="FFFFFF"/>
            <w:vAlign w:val="center"/>
          </w:tcPr>
          <w:p>
            <w:pPr>
              <w:pStyle w:val="32"/>
              <w:bidi w:val="0"/>
              <w:ind w:firstLine="0" w:firstLineChars="0"/>
              <w:jc w:val="center"/>
              <w:rPr>
                <w:rFonts w:hint="default" w:ascii="Times New Roman" w:hAnsi="Times New Roman" w:eastAsia="宋体" w:cstheme="minorBidi"/>
                <w:b w:val="0"/>
                <w:i w:val="0"/>
                <w:color w:val="auto"/>
                <w:kern w:val="2"/>
                <w:sz w:val="21"/>
                <w:szCs w:val="21"/>
                <w:lang w:val="en-US" w:eastAsia="zh-CN" w:bidi="ar-SA"/>
              </w:rPr>
            </w:pPr>
            <w:r>
              <w:rPr>
                <w:b w:val="0"/>
                <w:i w:val="0"/>
                <w:color w:val="auto"/>
                <w:lang w:val="en-US" w:eastAsia="zh-CN"/>
              </w:rPr>
              <w:t>国家、广东省、珠海市现行的安全生产、文明施工、环境保护、校园安全管理、中小学教学秩序保障相关法律法规及规范标准</w:t>
            </w:r>
          </w:p>
        </w:tc>
        <w:tc>
          <w:tcPr>
            <w:tcW w:w="2390" w:type="dxa"/>
            <w:tcBorders>
              <w:top w:val="single" w:color="999999" w:themeColor="dark1" w:themeTint="66" w:sz="6" w:space="0"/>
              <w:left w:val="single" w:color="999999" w:themeColor="dark1" w:themeTint="66" w:sz="6" w:space="0"/>
              <w:bottom w:val="single" w:color="000000" w:themeColor="dark1" w:sz="6" w:space="0"/>
              <w:right w:val="single" w:color="000000" w:themeColor="dark1" w:sz="6" w:space="0"/>
            </w:tcBorders>
            <w:shd w:val="clear" w:color="auto" w:fill="FFFFFF"/>
            <w:vAlign w:val="center"/>
          </w:tcPr>
          <w:p>
            <w:pPr>
              <w:pStyle w:val="32"/>
              <w:bidi w:val="0"/>
              <w:ind w:firstLine="0" w:firstLineChars="0"/>
              <w:jc w:val="center"/>
              <w:rPr>
                <w:rFonts w:hint="default" w:ascii="Times New Roman" w:hAnsi="Times New Roman" w:eastAsia="宋体" w:cstheme="minorBidi"/>
                <w:b w:val="0"/>
                <w:i w:val="0"/>
                <w:color w:val="auto"/>
                <w:kern w:val="2"/>
                <w:sz w:val="21"/>
                <w:szCs w:val="21"/>
                <w:lang w:val="en-US" w:eastAsia="zh-CN" w:bidi="ar-SA"/>
              </w:rPr>
            </w:pPr>
            <w:r>
              <w:rPr>
                <w:rFonts w:hint="eastAsia"/>
                <w:b w:val="0"/>
                <w:i w:val="0"/>
                <w:color w:val="auto"/>
                <w:lang w:val="en-US" w:eastAsia="zh-CN"/>
              </w:rPr>
              <w:t>/</w:t>
            </w:r>
          </w:p>
        </w:tc>
      </w:tr>
    </w:tbl>
    <w:p>
      <w:pPr>
        <w:pStyle w:val="2"/>
        <w:bidi w:val="0"/>
        <w:rPr>
          <w:rFonts w:hint="default"/>
          <w:color w:val="auto"/>
          <w:lang w:val="en-US" w:eastAsia="zh-CN"/>
        </w:rPr>
      </w:pPr>
      <w:r>
        <w:rPr>
          <w:rFonts w:hint="default"/>
          <w:color w:val="auto"/>
          <w:lang w:val="en-US" w:eastAsia="zh-CN"/>
        </w:rPr>
        <w:t>材料技术要求</w:t>
      </w:r>
    </w:p>
    <w:p>
      <w:pPr>
        <w:pStyle w:val="4"/>
        <w:bidi w:val="0"/>
        <w:rPr>
          <w:rFonts w:hint="default"/>
          <w:lang w:val="en-US" w:eastAsia="zh-CN"/>
        </w:rPr>
      </w:pPr>
      <w:r>
        <w:t>现浇型及预制型橡胶跑道面层</w:t>
      </w:r>
    </w:p>
    <w:p>
      <w:pPr>
        <w:pStyle w:val="22"/>
        <w:bidi w:val="0"/>
        <w:rPr>
          <w:rFonts w:hint="default"/>
          <w:lang w:val="en-US" w:eastAsia="zh-CN"/>
        </w:rPr>
      </w:pPr>
      <w:r>
        <w:rPr>
          <w:rFonts w:hint="default"/>
          <w:lang w:val="en-US" w:eastAsia="zh-CN"/>
        </w:rPr>
        <w:t>现浇型、预制型橡胶跑道卷材的各项技术性能，须严格执行《中小学合成材料面层运动场地》（GB36246-2018）等国家现行相关规范及设计图纸要求。</w:t>
      </w:r>
    </w:p>
    <w:p>
      <w:pPr>
        <w:pStyle w:val="22"/>
        <w:bidi w:val="0"/>
        <w:rPr>
          <w:rFonts w:hint="default"/>
          <w:lang w:val="en-US" w:eastAsia="zh-CN"/>
        </w:rPr>
      </w:pPr>
      <w:r>
        <w:rPr>
          <w:rFonts w:hint="default"/>
          <w:lang w:val="en-US" w:eastAsia="zh-CN"/>
        </w:rPr>
        <w:t>预制型橡胶跑道采用双层复合结构，成品卷材在正常工况下应无开裂、破损、分层等质量缺陷，满足使用要求。</w:t>
      </w:r>
    </w:p>
    <w:p>
      <w:pPr>
        <w:pStyle w:val="22"/>
        <w:bidi w:val="0"/>
        <w:rPr>
          <w:rFonts w:hint="default"/>
          <w:lang w:val="en-US" w:eastAsia="zh-CN"/>
        </w:rPr>
      </w:pPr>
      <w:r>
        <w:rPr>
          <w:rFonts w:hint="default"/>
          <w:lang w:val="en-US" w:eastAsia="zh-CN"/>
        </w:rPr>
        <w:t>预制型橡胶跑道的物理性能、化学环保指标，须符合国家现行相关规范及设计要求；投标阶段需提供具备CMA资质第三方检测机构出具的有效检测报告，复印件加盖生产厂家公章，以备核查。</w:t>
      </w:r>
    </w:p>
    <w:p>
      <w:pPr>
        <w:pStyle w:val="22"/>
        <w:bidi w:val="0"/>
        <w:rPr>
          <w:rFonts w:hint="default"/>
          <w:lang w:val="en-US" w:eastAsia="zh-CN"/>
        </w:rPr>
      </w:pPr>
      <w:r>
        <w:rPr>
          <w:rFonts w:hint="default"/>
          <w:lang w:val="en-US" w:eastAsia="zh-CN"/>
        </w:rPr>
        <w:t>全场橡胶跑道的各项物理机械性能、耐磨性能、抗紫外线老化性能、无机填料含量、填充颗粒指标等，均须符合国家现行相关规范、设计图纸及校园场地使用、验收标准要求，具体详见规范及图纸。</w:t>
      </w:r>
    </w:p>
    <w:p>
      <w:pPr>
        <w:pStyle w:val="22"/>
        <w:bidi w:val="0"/>
        <w:rPr>
          <w:rFonts w:hint="default"/>
          <w:lang w:val="en-US" w:eastAsia="zh-CN"/>
        </w:rPr>
      </w:pPr>
      <w:r>
        <w:rPr>
          <w:rFonts w:hint="default"/>
          <w:lang w:val="en-US" w:eastAsia="zh-CN"/>
        </w:rPr>
        <w:t>室外运动场划线须符合国家现行相关规范及设计图纸要求，采用环保耐候专用涂料；材料色牢度≥6级（GB/T14522），抗紫外线老化≥1000h，确保标线长期色泽均匀、边界清晰、尺寸准确。</w:t>
      </w:r>
    </w:p>
    <w:p>
      <w:pPr>
        <w:pStyle w:val="22"/>
        <w:bidi w:val="0"/>
        <w:rPr>
          <w:rFonts w:hint="default"/>
          <w:lang w:val="en-US" w:eastAsia="zh-CN"/>
        </w:rPr>
      </w:pPr>
      <w:r>
        <w:rPr>
          <w:rFonts w:hint="default"/>
          <w:lang w:val="en-US" w:eastAsia="zh-CN"/>
        </w:rPr>
        <w:t>室外运动场跑道面层须符合国家现行相关规范及设计图纸要求，材料色牢度≥6级（GB/T14522），抗紫外线老化≥1000h。</w:t>
      </w:r>
    </w:p>
    <w:p>
      <w:pPr>
        <w:pStyle w:val="4"/>
        <w:bidi w:val="0"/>
        <w:rPr>
          <w:rFonts w:hint="default"/>
          <w:lang w:val="en-US" w:eastAsia="zh-CN"/>
        </w:rPr>
      </w:pPr>
      <w:r>
        <w:rPr>
          <w:rFonts w:hint="default"/>
          <w:lang w:val="en-US" w:eastAsia="zh-CN"/>
        </w:rPr>
        <w:t>人造草</w:t>
      </w:r>
    </w:p>
    <w:p>
      <w:pPr>
        <w:pStyle w:val="22"/>
        <w:bidi w:val="0"/>
        <w:rPr>
          <w:rFonts w:hint="default"/>
          <w:lang w:val="en-US" w:eastAsia="zh-CN"/>
        </w:rPr>
      </w:pPr>
      <w:r>
        <w:rPr>
          <w:rFonts w:hint="default"/>
          <w:lang w:val="en-US" w:eastAsia="zh-CN"/>
        </w:rPr>
        <w:t>为确保人造草坪项目的施工质量与使用体验，人造草坪材料、成品面层及草丝的各项物理机械性能、环保指标等，须严格符合国家现行相关行业标准、设计规范及设计图纸要求。</w:t>
      </w:r>
    </w:p>
    <w:p>
      <w:pPr>
        <w:pStyle w:val="22"/>
        <w:bidi w:val="0"/>
        <w:rPr>
          <w:rFonts w:hint="default"/>
          <w:lang w:val="en-US" w:eastAsia="zh-CN"/>
        </w:rPr>
      </w:pPr>
      <w:r>
        <w:rPr>
          <w:rFonts w:hint="default"/>
          <w:lang w:val="en-US" w:eastAsia="zh-CN"/>
        </w:rPr>
        <w:t>人造草面层草丝加速老化性能、填充用合成材料颗粒指标等，须满足国家现行相关规范及设计要求。</w:t>
      </w:r>
    </w:p>
    <w:p>
      <w:pPr>
        <w:pStyle w:val="22"/>
        <w:bidi w:val="0"/>
        <w:rPr>
          <w:rFonts w:hint="default"/>
          <w:lang w:val="en-US" w:eastAsia="zh-CN"/>
        </w:rPr>
      </w:pPr>
      <w:r>
        <w:rPr>
          <w:rFonts w:hint="default"/>
          <w:lang w:val="en-US" w:eastAsia="zh-CN"/>
        </w:rPr>
        <w:t>人造草皮足球场地线的制作工艺、线宽、场地点位尺寸等</w:t>
      </w:r>
      <w:r>
        <w:rPr>
          <w:rFonts w:hint="eastAsia"/>
          <w:lang w:val="en-US" w:eastAsia="zh-CN"/>
        </w:rPr>
        <w:t>，必</w:t>
      </w:r>
      <w:r>
        <w:rPr>
          <w:rFonts w:hint="default"/>
          <w:lang w:val="en-US" w:eastAsia="zh-CN"/>
        </w:rPr>
        <w:t>须符合国家现行相关规范、设计图纸及场地使用功能要求。</w:t>
      </w:r>
    </w:p>
    <w:p>
      <w:pPr>
        <w:pStyle w:val="4"/>
        <w:bidi w:val="0"/>
        <w:rPr>
          <w:rFonts w:hint="default"/>
          <w:lang w:val="en-US" w:eastAsia="zh-CN"/>
        </w:rPr>
      </w:pPr>
      <w:r>
        <w:rPr>
          <w:rFonts w:hint="default"/>
          <w:lang w:val="en-US" w:eastAsia="zh-CN"/>
        </w:rPr>
        <w:t>丙烯酸材料</w:t>
      </w:r>
    </w:p>
    <w:p>
      <w:pPr>
        <w:pStyle w:val="22"/>
        <w:bidi w:val="0"/>
        <w:rPr>
          <w:rFonts w:hint="eastAsia"/>
          <w:color w:val="auto"/>
          <w:lang w:val="en-US" w:eastAsia="zh-CN"/>
        </w:rPr>
      </w:pPr>
      <w:r>
        <w:rPr>
          <w:rFonts w:hint="eastAsia"/>
          <w:color w:val="auto"/>
          <w:lang w:val="en-US" w:eastAsia="zh-CN"/>
        </w:rPr>
        <w:t>为保证丙烯酸材料有良好的的物理性能，具有CMA标识的权威检测机构出具符合</w:t>
      </w:r>
      <w:r>
        <w:rPr>
          <w:rFonts w:ascii="宋体" w:hAnsi="宋体" w:eastAsia="宋体" w:cs="宋体"/>
          <w:color w:val="auto"/>
          <w:sz w:val="24"/>
          <w:szCs w:val="24"/>
        </w:rPr>
        <w:t>GB/T20033.2-2020</w:t>
      </w:r>
      <w:r>
        <w:rPr>
          <w:rFonts w:hint="eastAsia"/>
          <w:color w:val="auto"/>
          <w:lang w:val="en-US" w:eastAsia="zh-CN"/>
        </w:rPr>
        <w:t>的检验报告（复印件加盖公章原件核查）。</w:t>
      </w:r>
    </w:p>
    <w:p>
      <w:pPr>
        <w:pStyle w:val="27"/>
        <w:bidi w:val="0"/>
        <w:rPr>
          <w:rFonts w:hint="eastAsia"/>
          <w:lang w:val="en-US" w:eastAsia="zh-CN"/>
        </w:rPr>
      </w:pPr>
      <w:r>
        <w:rPr>
          <w:rFonts w:hint="eastAsia"/>
          <w:lang w:val="en-US" w:eastAsia="zh-CN"/>
        </w:rPr>
        <w:t>标准要求一览表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3"/>
        <w:gridCol w:w="4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3" w:type="dxa"/>
            <w:tcBorders>
              <w:top w:val="single" w:color="000000" w:themeColor="dark1"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pPr>
              <w:pStyle w:val="32"/>
              <w:bidi w:val="0"/>
              <w:rPr>
                <w:rFonts w:hint="eastAsia"/>
                <w:b/>
                <w:i w:val="0"/>
                <w:color w:val="000000" w:themeColor="dark1"/>
                <w:lang w:val="en-US" w:eastAsia="zh-CN"/>
                <w14:textFill>
                  <w14:solidFill>
                    <w14:schemeClr w14:val="dk1"/>
                  </w14:solidFill>
                </w14:textFill>
              </w:rPr>
            </w:pPr>
            <w:r>
              <w:rPr>
                <w:rFonts w:hint="eastAsia"/>
                <w:b/>
                <w:i w:val="0"/>
                <w:color w:val="000000" w:themeColor="dark1"/>
                <w:lang w:val="en-US" w:eastAsia="zh-CN"/>
                <w14:textFill>
                  <w14:solidFill>
                    <w14:schemeClr w14:val="dk1"/>
                  </w14:solidFill>
                </w14:textFill>
              </w:rPr>
              <w:t>检验检测项目</w:t>
            </w:r>
          </w:p>
        </w:tc>
        <w:tc>
          <w:tcPr>
            <w:tcW w:w="4816" w:type="dxa"/>
            <w:tcBorders>
              <w:top w:val="single" w:color="000000" w:themeColor="dark1"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center"/>
          </w:tcPr>
          <w:p>
            <w:pPr>
              <w:pStyle w:val="32"/>
              <w:bidi w:val="0"/>
              <w:rPr>
                <w:rFonts w:hint="eastAsia"/>
                <w:b/>
                <w:i w:val="0"/>
                <w:color w:val="000000" w:themeColor="dark1"/>
                <w:lang w:val="en-US" w:eastAsia="zh-CN"/>
                <w14:textFill>
                  <w14:solidFill>
                    <w14:schemeClr w14:val="dk1"/>
                  </w14:solidFill>
                </w14:textFill>
              </w:rPr>
            </w:pPr>
            <w:r>
              <w:rPr>
                <w:rFonts w:hint="eastAsia"/>
                <w:b/>
                <w:i w:val="0"/>
                <w:color w:val="000000" w:themeColor="dark1"/>
                <w:lang w:eastAsia="zh-CN"/>
                <w14:textFill>
                  <w14:solidFill>
                    <w14:schemeClr w14:val="dk1"/>
                  </w14:solidFill>
                </w14:textFill>
              </w:rPr>
              <w:t>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3" w:type="dxa"/>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pPr>
              <w:pStyle w:val="32"/>
              <w:bidi w:val="0"/>
              <w:rPr>
                <w:rFonts w:hint="eastAsia"/>
                <w:b w:val="0"/>
                <w:i w:val="0"/>
                <w:color w:val="000000"/>
                <w:lang w:val="en-US" w:eastAsia="zh-CN"/>
              </w:rPr>
            </w:pPr>
            <w:r>
              <w:rPr>
                <w:rFonts w:hint="eastAsia"/>
                <w:b w:val="0"/>
                <w:i w:val="0"/>
                <w:color w:val="000000"/>
                <w:lang w:eastAsia="zh-CN"/>
              </w:rPr>
              <w:t>反（回）弹值（</w:t>
            </w:r>
            <w:r>
              <w:rPr>
                <w:rFonts w:hint="eastAsia"/>
                <w:b w:val="0"/>
                <w:i w:val="0"/>
                <w:color w:val="000000"/>
                <w:lang w:val="en-US" w:eastAsia="zh-CN"/>
              </w:rPr>
              <w:t>%</w:t>
            </w:r>
            <w:r>
              <w:rPr>
                <w:rFonts w:hint="eastAsia"/>
                <w:b w:val="0"/>
                <w:i w:val="0"/>
                <w:color w:val="000000"/>
                <w:lang w:eastAsia="zh-CN"/>
              </w:rPr>
              <w:t>）</w:t>
            </w:r>
          </w:p>
        </w:tc>
        <w:tc>
          <w:tcPr>
            <w:tcW w:w="4816"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center"/>
          </w:tcPr>
          <w:p>
            <w:pPr>
              <w:pStyle w:val="32"/>
              <w:bidi w:val="0"/>
              <w:rPr>
                <w:rFonts w:hint="eastAsia"/>
                <w:b w:val="0"/>
                <w:i w:val="0"/>
                <w:color w:val="000000"/>
                <w:lang w:val="en-US" w:eastAsia="zh-CN"/>
              </w:rPr>
            </w:pPr>
            <w:r>
              <w:rPr>
                <w:rFonts w:hint="eastAsia"/>
                <w:b w:val="0"/>
                <w:i w:val="0"/>
                <w:color w:val="000000"/>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3" w:type="dxa"/>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pPr>
              <w:pStyle w:val="32"/>
              <w:bidi w:val="0"/>
              <w:rPr>
                <w:rFonts w:hint="eastAsia"/>
                <w:b w:val="0"/>
                <w:i w:val="0"/>
                <w:color w:val="000000"/>
                <w:lang w:val="en-US" w:eastAsia="zh-CN"/>
              </w:rPr>
            </w:pPr>
            <w:r>
              <w:rPr>
                <w:rFonts w:hint="eastAsia"/>
                <w:b w:val="0"/>
                <w:i w:val="0"/>
                <w:color w:val="000000"/>
                <w:lang w:eastAsia="zh-CN"/>
              </w:rPr>
              <w:t>滑动阻力（</w:t>
            </w:r>
            <w:r>
              <w:rPr>
                <w:rFonts w:hint="eastAsia"/>
                <w:b w:val="0"/>
                <w:i w:val="0"/>
                <w:color w:val="000000"/>
                <w:lang w:val="en-US" w:eastAsia="zh-CN"/>
              </w:rPr>
              <w:t>N</w:t>
            </w:r>
            <w:r>
              <w:rPr>
                <w:rFonts w:hint="eastAsia"/>
                <w:b w:val="0"/>
                <w:i w:val="0"/>
                <w:color w:val="000000"/>
                <w:lang w:eastAsia="zh-CN"/>
              </w:rPr>
              <w:t>）</w:t>
            </w:r>
          </w:p>
        </w:tc>
        <w:tc>
          <w:tcPr>
            <w:tcW w:w="4816"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center"/>
          </w:tcPr>
          <w:p>
            <w:pPr>
              <w:pStyle w:val="32"/>
              <w:bidi w:val="0"/>
              <w:rPr>
                <w:rFonts w:hint="eastAsia"/>
                <w:b w:val="0"/>
                <w:i w:val="0"/>
                <w:color w:val="000000"/>
                <w:lang w:val="en-US" w:eastAsia="zh-CN"/>
              </w:rPr>
            </w:pPr>
            <w:r>
              <w:rPr>
                <w:rFonts w:hint="eastAsia"/>
                <w:b w:val="0"/>
                <w:i w:val="0"/>
                <w:color w:val="000000"/>
                <w:lang w:val="en-US" w:eastAsia="zh-CN"/>
              </w:rPr>
              <w:t>60-100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3" w:type="dxa"/>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pPr>
              <w:pStyle w:val="32"/>
              <w:bidi w:val="0"/>
              <w:rPr>
                <w:rFonts w:hint="eastAsia"/>
                <w:b w:val="0"/>
                <w:i w:val="0"/>
                <w:color w:val="000000"/>
                <w:lang w:val="en-US" w:eastAsia="zh-CN"/>
              </w:rPr>
            </w:pPr>
            <w:r>
              <w:rPr>
                <w:rFonts w:hint="eastAsia"/>
                <w:b w:val="0"/>
                <w:i w:val="0"/>
                <w:color w:val="000000"/>
                <w:lang w:eastAsia="zh-CN"/>
              </w:rPr>
              <w:t>冲击吸收（</w:t>
            </w:r>
            <w:r>
              <w:rPr>
                <w:rFonts w:hint="eastAsia"/>
                <w:b w:val="0"/>
                <w:i w:val="0"/>
                <w:color w:val="000000"/>
                <w:lang w:val="en-US" w:eastAsia="zh-CN"/>
              </w:rPr>
              <w:t>%</w:t>
            </w:r>
            <w:r>
              <w:rPr>
                <w:rFonts w:hint="eastAsia"/>
                <w:b w:val="0"/>
                <w:i w:val="0"/>
                <w:color w:val="000000"/>
                <w:lang w:eastAsia="zh-CN"/>
              </w:rPr>
              <w:t>）</w:t>
            </w:r>
          </w:p>
        </w:tc>
        <w:tc>
          <w:tcPr>
            <w:tcW w:w="4816"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center"/>
          </w:tcPr>
          <w:p>
            <w:pPr>
              <w:pStyle w:val="32"/>
              <w:bidi w:val="0"/>
              <w:rPr>
                <w:rFonts w:hint="eastAsia"/>
                <w:b w:val="0"/>
                <w:i w:val="0"/>
                <w:color w:val="000000"/>
                <w:lang w:val="en-US" w:eastAsia="zh-CN"/>
              </w:rPr>
            </w:pPr>
            <w:r>
              <w:rPr>
                <w:rFonts w:hint="eastAsia"/>
                <w:b w:val="0"/>
                <w:i w:val="0"/>
                <w:color w:val="000000"/>
                <w:lang w:val="en-US" w:eastAsia="zh-CN"/>
              </w:rPr>
              <w:t>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3" w:type="dxa"/>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pPr>
              <w:pStyle w:val="32"/>
              <w:bidi w:val="0"/>
              <w:rPr>
                <w:rFonts w:hint="eastAsia"/>
                <w:b w:val="0"/>
                <w:i w:val="0"/>
                <w:color w:val="000000"/>
                <w:lang w:val="en-US" w:eastAsia="zh-CN"/>
              </w:rPr>
            </w:pPr>
            <w:r>
              <w:rPr>
                <w:rFonts w:hint="eastAsia"/>
                <w:b w:val="0"/>
                <w:i w:val="0"/>
                <w:color w:val="000000"/>
                <w:lang w:eastAsia="zh-CN"/>
              </w:rPr>
              <w:t>地面速率</w:t>
            </w:r>
          </w:p>
        </w:tc>
        <w:tc>
          <w:tcPr>
            <w:tcW w:w="4816"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center"/>
          </w:tcPr>
          <w:p>
            <w:pPr>
              <w:pStyle w:val="32"/>
              <w:bidi w:val="0"/>
              <w:rPr>
                <w:rFonts w:hint="eastAsia"/>
                <w:b w:val="0"/>
                <w:i w:val="0"/>
                <w:color w:val="000000"/>
                <w:lang w:val="en-US" w:eastAsia="zh-CN"/>
              </w:rPr>
            </w:pPr>
            <w:r>
              <w:rPr>
                <w:rFonts w:hint="eastAsia"/>
                <w:b w:val="0"/>
                <w:i w:val="0"/>
                <w:color w:val="000000"/>
                <w:lang w:val="en-US" w:eastAsia="zh-CN"/>
              </w:rPr>
              <w:t>30-45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3" w:type="dxa"/>
            <w:tcBorders>
              <w:top w:val="single" w:color="999999" w:themeColor="dark1" w:themeTint="66" w:sz="6" w:space="0"/>
              <w:left w:val="single" w:color="000000" w:themeColor="dark1" w:sz="6" w:space="0"/>
              <w:bottom w:val="single" w:color="000000" w:themeColor="dark1" w:sz="6" w:space="0"/>
              <w:right w:val="single" w:color="999999" w:themeColor="dark1" w:themeTint="66" w:sz="6" w:space="0"/>
            </w:tcBorders>
            <w:shd w:val="clear" w:color="auto" w:fill="FFFFFF"/>
            <w:vAlign w:val="center"/>
          </w:tcPr>
          <w:p>
            <w:pPr>
              <w:pStyle w:val="32"/>
              <w:bidi w:val="0"/>
              <w:rPr>
                <w:rFonts w:hint="eastAsia"/>
                <w:b w:val="0"/>
                <w:i w:val="0"/>
                <w:color w:val="000000"/>
                <w:lang w:val="en-US" w:eastAsia="zh-CN"/>
              </w:rPr>
            </w:pPr>
            <w:r>
              <w:rPr>
                <w:rFonts w:hint="eastAsia"/>
                <w:b w:val="0"/>
                <w:i w:val="0"/>
                <w:color w:val="000000"/>
                <w:lang w:eastAsia="zh-CN"/>
              </w:rPr>
              <w:t>渗水性（率）</w:t>
            </w:r>
            <w:r>
              <w:rPr>
                <w:rFonts w:hint="eastAsia"/>
                <w:b w:val="0"/>
                <w:i w:val="0"/>
                <w:color w:val="000000"/>
                <w:lang w:val="en-US" w:eastAsia="zh-CN"/>
              </w:rPr>
              <w:t>/(mm/min)</w:t>
            </w:r>
          </w:p>
        </w:tc>
        <w:tc>
          <w:tcPr>
            <w:tcW w:w="4816" w:type="dxa"/>
            <w:tcBorders>
              <w:top w:val="single" w:color="999999" w:themeColor="dark1" w:themeTint="66" w:sz="6" w:space="0"/>
              <w:left w:val="single" w:color="999999" w:themeColor="dark1" w:themeTint="66" w:sz="6" w:space="0"/>
              <w:bottom w:val="single" w:color="000000" w:themeColor="dark1" w:sz="6" w:space="0"/>
              <w:right w:val="single" w:color="000000" w:themeColor="dark1" w:sz="6" w:space="0"/>
            </w:tcBorders>
            <w:shd w:val="clear" w:color="auto" w:fill="FFFFFF"/>
            <w:vAlign w:val="center"/>
          </w:tcPr>
          <w:p>
            <w:pPr>
              <w:pStyle w:val="32"/>
              <w:bidi w:val="0"/>
              <w:rPr>
                <w:rFonts w:hint="eastAsia"/>
                <w:b w:val="0"/>
                <w:i w:val="0"/>
                <w:color w:val="000000"/>
                <w:lang w:val="en-US" w:eastAsia="zh-CN"/>
              </w:rPr>
            </w:pPr>
            <w:r>
              <w:rPr>
                <w:rFonts w:hint="eastAsia"/>
                <w:b w:val="0"/>
                <w:i w:val="0"/>
                <w:color w:val="000000"/>
                <w:lang w:val="en-US" w:eastAsia="zh-CN"/>
              </w:rPr>
              <w:t>0</w:t>
            </w:r>
          </w:p>
        </w:tc>
      </w:tr>
    </w:tbl>
    <w:p>
      <w:pPr>
        <w:pStyle w:val="22"/>
        <w:bidi w:val="0"/>
        <w:rPr>
          <w:rFonts w:hint="default"/>
          <w:color w:val="auto"/>
          <w:lang w:val="en-US" w:eastAsia="zh-CN"/>
        </w:rPr>
      </w:pPr>
      <w:r>
        <w:rPr>
          <w:rFonts w:hint="eastAsia"/>
          <w:color w:val="auto"/>
          <w:lang w:val="en-US" w:eastAsia="zh-CN"/>
        </w:rPr>
        <w:t>丙烯酸材料具有国家权威检测机构出具CMA、CNAS符合GB/T21604-2022《化学品急性皮肤刺激性/腐蚀性试验方法》要求的皮肤无刺激性合格检测报告。</w:t>
      </w:r>
    </w:p>
    <w:p>
      <w:pPr>
        <w:pStyle w:val="4"/>
        <w:bidi w:val="0"/>
        <w:rPr>
          <w:rFonts w:hint="default"/>
          <w:color w:val="auto"/>
          <w:lang w:val="en-US" w:eastAsia="zh-CN"/>
        </w:rPr>
      </w:pPr>
      <w:r>
        <w:rPr>
          <w:rFonts w:hint="default"/>
          <w:color w:val="auto"/>
          <w:lang w:val="en-US" w:eastAsia="zh-CN"/>
        </w:rPr>
        <w:t>材料进场验收通用要求</w:t>
      </w:r>
    </w:p>
    <w:p>
      <w:pPr>
        <w:pStyle w:val="22"/>
        <w:bidi w:val="0"/>
        <w:rPr>
          <w:rFonts w:hint="default"/>
          <w:color w:val="auto"/>
          <w:lang w:val="en-US" w:eastAsia="zh-CN"/>
        </w:rPr>
      </w:pPr>
      <w:r>
        <w:rPr>
          <w:rFonts w:hint="default"/>
          <w:color w:val="auto"/>
          <w:lang w:val="en-US" w:eastAsia="zh-CN"/>
        </w:rPr>
        <w:t>所有材料进场前24h，须向监理单位、建设单位提交材料报验申请，附完整的质量证明文件；</w:t>
      </w:r>
      <w:r>
        <w:rPr>
          <w:rFonts w:hint="eastAsia"/>
          <w:color w:val="auto"/>
          <w:lang w:val="en-US" w:eastAsia="zh-CN"/>
        </w:rPr>
        <w:t>不同</w:t>
      </w:r>
      <w:r>
        <w:rPr>
          <w:rFonts w:hint="default"/>
          <w:color w:val="auto"/>
          <w:lang w:val="en-US" w:eastAsia="zh-CN"/>
        </w:rPr>
        <w:t>规格/厚度的</w:t>
      </w:r>
      <w:r>
        <w:rPr>
          <w:rFonts w:hint="eastAsia"/>
          <w:color w:val="auto"/>
          <w:lang w:val="en-US" w:eastAsia="zh-CN"/>
        </w:rPr>
        <w:t>材料</w:t>
      </w:r>
      <w:r>
        <w:rPr>
          <w:rFonts w:hint="default"/>
          <w:color w:val="auto"/>
          <w:lang w:val="en-US" w:eastAsia="zh-CN"/>
        </w:rPr>
        <w:t>须分开报验，明确标识，严禁混批验收。</w:t>
      </w:r>
    </w:p>
    <w:p>
      <w:pPr>
        <w:pStyle w:val="22"/>
        <w:bidi w:val="0"/>
        <w:rPr>
          <w:rFonts w:hint="default"/>
          <w:color w:val="auto"/>
          <w:lang w:val="en-US" w:eastAsia="zh-CN"/>
        </w:rPr>
      </w:pPr>
      <w:r>
        <w:rPr>
          <w:rFonts w:hint="default"/>
          <w:color w:val="auto"/>
          <w:lang w:val="en-US" w:eastAsia="zh-CN"/>
        </w:rPr>
        <w:t>材料到场后，监理、建设单位、校方共同核查外观、规格、品牌与投标文件一致性，按规范要求见证取样送检，未验收合格的材料严禁卸车、使用，不合格材料须24h内清运出场。</w:t>
      </w:r>
    </w:p>
    <w:p>
      <w:pPr>
        <w:pStyle w:val="2"/>
        <w:bidi w:val="0"/>
        <w:rPr>
          <w:rFonts w:hint="default"/>
          <w:color w:val="auto"/>
          <w:lang w:val="en-US" w:eastAsia="zh-CN"/>
        </w:rPr>
      </w:pPr>
      <w:r>
        <w:rPr>
          <w:rFonts w:hint="default"/>
          <w:color w:val="auto"/>
          <w:lang w:val="en-US" w:eastAsia="zh-CN"/>
        </w:rPr>
        <w:t>施工技术要求</w:t>
      </w:r>
    </w:p>
    <w:p>
      <w:pPr>
        <w:pStyle w:val="4"/>
        <w:bidi w:val="0"/>
        <w:rPr>
          <w:rFonts w:hint="default"/>
          <w:color w:val="auto"/>
          <w:lang w:val="en-US" w:eastAsia="zh-CN"/>
        </w:rPr>
      </w:pPr>
      <w:r>
        <w:rPr>
          <w:rFonts w:hint="default"/>
          <w:color w:val="auto"/>
          <w:lang w:val="en-US" w:eastAsia="zh-CN"/>
        </w:rPr>
        <w:t>试验段施工强制要求</w:t>
      </w:r>
    </w:p>
    <w:p>
      <w:pPr>
        <w:pStyle w:val="22"/>
        <w:bidi w:val="0"/>
        <w:rPr>
          <w:rFonts w:hint="default"/>
          <w:lang w:val="en-US" w:eastAsia="zh-CN"/>
        </w:rPr>
      </w:pPr>
      <w:r>
        <w:rPr>
          <w:rFonts w:hint="eastAsia"/>
          <w:lang w:val="en-US" w:eastAsia="zh-CN"/>
        </w:rPr>
        <w:t>人造草、预制橡胶卷材铺贴、丙烯酸地面</w:t>
      </w:r>
      <w:r>
        <w:rPr>
          <w:rFonts w:hint="default"/>
          <w:lang w:val="en-US" w:eastAsia="zh-CN"/>
        </w:rPr>
        <w:t>正式施工前，必须</w:t>
      </w:r>
      <w:r>
        <w:rPr>
          <w:rFonts w:hint="eastAsia"/>
          <w:lang w:val="en-US" w:eastAsia="zh-CN"/>
        </w:rPr>
        <w:t>以一个学校部分区域作为</w:t>
      </w:r>
      <w:r>
        <w:rPr>
          <w:rFonts w:hint="default"/>
          <w:lang w:val="en-US" w:eastAsia="zh-CN"/>
        </w:rPr>
        <w:t>试验段施工，试验段所用材料、机械、人员、工艺须与正式施工一致。</w:t>
      </w:r>
    </w:p>
    <w:p>
      <w:pPr>
        <w:pStyle w:val="22"/>
        <w:bidi w:val="0"/>
        <w:rPr>
          <w:rFonts w:hint="default"/>
          <w:lang w:val="en-US" w:eastAsia="zh-CN"/>
        </w:rPr>
      </w:pPr>
      <w:r>
        <w:rPr>
          <w:rFonts w:hint="default"/>
          <w:lang w:val="en-US" w:eastAsia="zh-CN"/>
        </w:rPr>
        <w:t>试验段须验证以下核心参数，形成试验段总结报告（分规格/厚度单独编制），报监理、建设单位、校方审批通过后，方可全面铺开施工</w:t>
      </w:r>
      <w:r>
        <w:rPr>
          <w:rFonts w:hint="eastAsia"/>
          <w:lang w:val="en-US" w:eastAsia="zh-CN"/>
        </w:rPr>
        <w:t>。</w:t>
      </w:r>
    </w:p>
    <w:p>
      <w:pPr>
        <w:pStyle w:val="31"/>
        <w:bidi w:val="0"/>
        <w:rPr>
          <w:rFonts w:hint="default"/>
          <w:lang w:val="en-US" w:eastAsia="zh-CN"/>
        </w:rPr>
      </w:pPr>
      <w:r>
        <w:rPr>
          <w:rFonts w:hint="eastAsia"/>
          <w:lang w:val="en-US" w:eastAsia="zh-CN"/>
        </w:rPr>
        <w:t>卷材收口等细部需平整，不得有明显高低差，高差不大于3mm</w:t>
      </w:r>
      <w:r>
        <w:rPr>
          <w:rFonts w:hint="default"/>
          <w:lang w:val="en-US" w:eastAsia="zh-CN"/>
        </w:rPr>
        <w:t>；</w:t>
      </w:r>
    </w:p>
    <w:p>
      <w:pPr>
        <w:pStyle w:val="31"/>
        <w:bidi w:val="0"/>
        <w:rPr>
          <w:rFonts w:hint="default"/>
          <w:lang w:val="en-US" w:eastAsia="zh-CN"/>
        </w:rPr>
      </w:pPr>
      <w:r>
        <w:rPr>
          <w:rFonts w:hint="default"/>
          <w:lang w:val="en-US" w:eastAsia="zh-CN"/>
        </w:rPr>
        <w:t>人员配置、安全防护、降噪降烟措施的有效性；</w:t>
      </w:r>
    </w:p>
    <w:p>
      <w:pPr>
        <w:pStyle w:val="22"/>
        <w:bidi w:val="0"/>
        <w:rPr>
          <w:rFonts w:hint="default"/>
          <w:lang w:val="en-US" w:eastAsia="zh-CN"/>
        </w:rPr>
      </w:pPr>
      <w:r>
        <w:rPr>
          <w:rFonts w:hint="default"/>
          <w:lang w:val="en-US" w:eastAsia="zh-CN"/>
        </w:rPr>
        <w:t>试验段验收不合格的，须重新摊铺试验段，直至合格。</w:t>
      </w:r>
    </w:p>
    <w:p>
      <w:pPr>
        <w:pStyle w:val="4"/>
        <w:bidi w:val="0"/>
        <w:rPr>
          <w:rFonts w:hint="default"/>
          <w:color w:val="auto"/>
          <w:lang w:val="en-US" w:eastAsia="zh-CN"/>
        </w:rPr>
      </w:pPr>
      <w:r>
        <w:rPr>
          <w:rFonts w:hint="default"/>
          <w:color w:val="auto"/>
          <w:lang w:val="en-US" w:eastAsia="zh-CN"/>
        </w:rPr>
        <w:t>预制橡胶卷材面层施工</w:t>
      </w:r>
    </w:p>
    <w:p>
      <w:pPr>
        <w:pStyle w:val="5"/>
        <w:bidi w:val="0"/>
        <w:rPr>
          <w:rFonts w:hint="default"/>
          <w:color w:val="auto"/>
          <w:lang w:val="en-US" w:eastAsia="zh-CN"/>
        </w:rPr>
      </w:pPr>
      <w:r>
        <w:rPr>
          <w:rFonts w:hint="default"/>
          <w:color w:val="auto"/>
          <w:lang w:val="en-US" w:eastAsia="zh-CN"/>
        </w:rPr>
        <w:t>基底及坡度要求</w:t>
      </w:r>
    </w:p>
    <w:p>
      <w:pPr>
        <w:pStyle w:val="22"/>
        <w:bidi w:val="0"/>
        <w:rPr>
          <w:rFonts w:hint="default"/>
          <w:color w:val="auto"/>
          <w:lang w:val="en-US" w:eastAsia="zh-CN"/>
        </w:rPr>
      </w:pPr>
      <w:r>
        <w:rPr>
          <w:rFonts w:hint="default"/>
          <w:color w:val="auto"/>
          <w:lang w:val="en-US" w:eastAsia="zh-CN"/>
        </w:rPr>
        <w:t>场地平整度、坡度需严格遵循设计图纸要求，采用3m靠尺配合塞尺检查，3m范围平整度偏差不大于</w:t>
      </w:r>
      <w:r>
        <w:rPr>
          <w:rFonts w:hint="eastAsia"/>
          <w:color w:val="auto"/>
          <w:lang w:val="en-US" w:eastAsia="zh-CN"/>
        </w:rPr>
        <w:t>5</w:t>
      </w:r>
      <w:r>
        <w:rPr>
          <w:rFonts w:hint="default"/>
          <w:color w:val="auto"/>
          <w:lang w:val="en-US" w:eastAsia="zh-CN"/>
        </w:rPr>
        <w:t>mm，且无明显凸起、凹陷；若偏差 ≤5mm，由</w:t>
      </w:r>
      <w:r>
        <w:rPr>
          <w:rFonts w:hint="eastAsia"/>
          <w:color w:val="auto"/>
          <w:lang w:val="en-US" w:eastAsia="zh-CN"/>
        </w:rPr>
        <w:t>封底层</w:t>
      </w:r>
      <w:r>
        <w:rPr>
          <w:rFonts w:hint="default"/>
          <w:color w:val="auto"/>
          <w:lang w:val="en-US" w:eastAsia="zh-CN"/>
        </w:rPr>
        <w:t>施工单位负责采用</w:t>
      </w:r>
      <w:r>
        <w:rPr>
          <w:rFonts w:hint="eastAsia"/>
          <w:color w:val="auto"/>
          <w:lang w:val="en-US" w:eastAsia="zh-CN"/>
        </w:rPr>
        <w:t>封底</w:t>
      </w:r>
      <w:r>
        <w:rPr>
          <w:rFonts w:hint="default"/>
          <w:color w:val="auto"/>
          <w:lang w:val="en-US" w:eastAsia="zh-CN"/>
        </w:rPr>
        <w:t>材料覆盖或修补处理；若偏差 ＞5mm，由原沥青基层单位负责进行铲除重做或彻底修整，直至验收合格</w:t>
      </w:r>
      <w:r>
        <w:rPr>
          <w:rFonts w:hint="eastAsia"/>
          <w:color w:val="auto"/>
          <w:lang w:val="en-US" w:eastAsia="zh-CN"/>
        </w:rPr>
        <w:t>再进行移交</w:t>
      </w:r>
      <w:r>
        <w:rPr>
          <w:rFonts w:hint="default"/>
          <w:color w:val="auto"/>
          <w:lang w:val="en-US" w:eastAsia="zh-CN"/>
        </w:rPr>
        <w:t>。</w:t>
      </w:r>
    </w:p>
    <w:p>
      <w:pPr>
        <w:pStyle w:val="22"/>
        <w:bidi w:val="0"/>
        <w:rPr>
          <w:rFonts w:hint="default"/>
          <w:color w:val="auto"/>
          <w:lang w:val="en-US" w:eastAsia="zh-CN"/>
        </w:rPr>
      </w:pPr>
      <w:r>
        <w:rPr>
          <w:rFonts w:hint="default"/>
          <w:color w:val="auto"/>
          <w:lang w:val="en-US" w:eastAsia="zh-CN"/>
        </w:rPr>
        <w:t>基底需保持干燥状态，含水率控制在6%以内，严禁在雨天、阴天或大气湿度大于85%的天气施工；基底平整度偏差超过3mm的部位、坡度不符合设计要求的区域，需采用专用修补材料进行找平、修整，修补后需养护24小时以上，再次检测合格后方可进入下一道工序。</w:t>
      </w:r>
    </w:p>
    <w:p>
      <w:pPr>
        <w:pStyle w:val="22"/>
        <w:bidi w:val="0"/>
        <w:rPr>
          <w:rFonts w:hint="default"/>
          <w:color w:val="auto"/>
          <w:lang w:val="en-US" w:eastAsia="zh-CN"/>
        </w:rPr>
      </w:pPr>
      <w:r>
        <w:rPr>
          <w:rFonts w:hint="default"/>
          <w:color w:val="auto"/>
          <w:lang w:val="en-US" w:eastAsia="zh-CN"/>
        </w:rPr>
        <w:t>基底施工前必须保持洁净，表面不得有粉尘、污泥、油污、杂物及松散颗粒，若基层存在污染，需采用高压水枪冲洗，油污部位需用专用除油剂擦拭干净，冲洗后自然晒干或采用吹风机吹干，确保基底表面干燥、无残留污染物后，方可进行卷材铺贴施工。</w:t>
      </w:r>
    </w:p>
    <w:p>
      <w:pPr>
        <w:pStyle w:val="22"/>
        <w:bidi w:val="0"/>
        <w:rPr>
          <w:rFonts w:hint="default"/>
          <w:color w:val="auto"/>
          <w:lang w:val="en-US" w:eastAsia="zh-CN"/>
        </w:rPr>
      </w:pPr>
      <w:r>
        <w:rPr>
          <w:rFonts w:hint="default"/>
          <w:color w:val="auto"/>
          <w:lang w:val="en-US" w:eastAsia="zh-CN"/>
        </w:rPr>
        <w:t>施工前需组织技术人员、施工人员联合对基底进行全面检查，重点检查平整度、干燥度、洁净度及坡度，检查合格后填写基底验收记录，经监理单位签字确认后，方可开展卷材铺贴施工，未经验收或验收不合格的基底，严禁施工。</w:t>
      </w:r>
    </w:p>
    <w:p>
      <w:pPr>
        <w:pStyle w:val="5"/>
        <w:bidi w:val="0"/>
        <w:rPr>
          <w:rFonts w:hint="default"/>
          <w:color w:val="auto"/>
          <w:lang w:val="en-US" w:eastAsia="zh-CN"/>
        </w:rPr>
      </w:pPr>
      <w:r>
        <w:rPr>
          <w:rFonts w:hint="default"/>
          <w:color w:val="auto"/>
          <w:lang w:val="en-US" w:eastAsia="zh-CN"/>
        </w:rPr>
        <w:t>铺贴要求</w:t>
      </w:r>
    </w:p>
    <w:p>
      <w:pPr>
        <w:pStyle w:val="22"/>
        <w:bidi w:val="0"/>
        <w:rPr>
          <w:rFonts w:hint="default"/>
          <w:color w:val="auto"/>
          <w:lang w:val="en-US" w:eastAsia="zh-CN"/>
        </w:rPr>
      </w:pPr>
      <w:r>
        <w:rPr>
          <w:rFonts w:hint="default"/>
          <w:color w:val="auto"/>
          <w:lang w:val="en-US" w:eastAsia="zh-CN"/>
        </w:rPr>
        <w:t>铺贴前，采用5m卷尺精准测量场地周边设施（如道牙、排水沟、围栏等）的位置、尺寸，确认是否符合标准运动场尺寸要求；如为非标场地，需严格按照设计图纸尺寸进行放线、放样，采用墨线弹出卷材铺贴的定位线、拼接线，放样偏差不大于2mm，确保卷材铺贴位置准确。</w:t>
      </w:r>
    </w:p>
    <w:p>
      <w:pPr>
        <w:pStyle w:val="22"/>
        <w:bidi w:val="0"/>
        <w:rPr>
          <w:rFonts w:hint="default"/>
          <w:color w:val="auto"/>
          <w:lang w:val="en-US" w:eastAsia="zh-CN"/>
        </w:rPr>
      </w:pPr>
      <w:r>
        <w:rPr>
          <w:rFonts w:hint="default"/>
          <w:color w:val="auto"/>
          <w:lang w:val="en-US" w:eastAsia="zh-CN"/>
        </w:rPr>
        <w:t>卷材铺贴前需涂刷底胶，底胶采用与卷材配套的专用胶粘剂，刮涂时采用齿形刮板，刮涂厚度控制在0.5-0.8mm，要求均匀、饱满，无漏涂、气泡、堆积现象，边角、阴阳角等部位需重点涂刷，确保覆盖全面；涂刷底胶后，立即在卷材边缘、转角处采用压重块（每平方米压重不小于5kg）进行固定，压重块摆放整齐，间距不大于50cm，待胶体完全干透（常温下养护24小时以上，触摸无粘手感）后，方可撤离压重块，严禁未干透即移动压重块或铺设卷材。</w:t>
      </w:r>
    </w:p>
    <w:p>
      <w:pPr>
        <w:pStyle w:val="22"/>
        <w:bidi w:val="0"/>
        <w:rPr>
          <w:rFonts w:hint="default"/>
          <w:color w:val="auto"/>
          <w:lang w:val="en-US" w:eastAsia="zh-CN"/>
        </w:rPr>
      </w:pPr>
      <w:r>
        <w:rPr>
          <w:rFonts w:hint="default"/>
          <w:color w:val="auto"/>
          <w:lang w:val="en-US" w:eastAsia="zh-CN"/>
        </w:rPr>
        <w:t>场地圆弧部位（如跑道弯道、球场转角）的橡胶卷材，严禁切割边口转向，需采用整块卷材缓慢、平稳转向，转向时避免用力拉扯卷材，防止卷材撕裂、起皱，确保卷材完整性及贴合度，转角处卷材铺贴后无空鼓、翘边现象。</w:t>
      </w:r>
    </w:p>
    <w:p>
      <w:pPr>
        <w:pStyle w:val="22"/>
        <w:bidi w:val="0"/>
        <w:rPr>
          <w:rFonts w:hint="default"/>
          <w:color w:val="auto"/>
          <w:lang w:val="en-US" w:eastAsia="zh-CN"/>
        </w:rPr>
      </w:pPr>
      <w:r>
        <w:rPr>
          <w:rFonts w:hint="default"/>
          <w:color w:val="auto"/>
          <w:lang w:val="en-US" w:eastAsia="zh-CN"/>
        </w:rPr>
        <w:t>橡胶卷材铺贴采用“边刮粘胶、边铺设”的施工方式，刮胶范围控制在单块卷材铺贴面积的1/2以内，避免大面涂刮胶体后长时间未铺设卷材，导致胶体固化、粘接不牢，进而引发后续卷材空鼓、脱层；刮胶后需在胶体未固化前（常温下不超过20分钟）完成卷材铺设，铺设时用刮板从卷材中心向四周刮压，排出卷材与基底之间的空气，确保卷材与基底紧密贴合。</w:t>
      </w:r>
    </w:p>
    <w:p>
      <w:pPr>
        <w:pStyle w:val="22"/>
        <w:bidi w:val="0"/>
        <w:rPr>
          <w:rFonts w:hint="default"/>
          <w:color w:val="auto"/>
          <w:lang w:val="en-US" w:eastAsia="zh-CN"/>
        </w:rPr>
      </w:pPr>
      <w:r>
        <w:rPr>
          <w:rFonts w:hint="default"/>
          <w:color w:val="auto"/>
          <w:lang w:val="en-US" w:eastAsia="zh-CN"/>
        </w:rPr>
        <w:t>橡胶卷材收口部位（如与道牙、排水沟交接处）需保持平整，与交接界面的高差不大于3mm，收口处卷材需延伸至交接界面内侧5-10cm，涂刷专用密封胶进行密封处理，密封胶需饱满、连续，无缝隙、气泡，防止雨水渗入卷材下方。</w:t>
      </w:r>
    </w:p>
    <w:p>
      <w:pPr>
        <w:pStyle w:val="22"/>
        <w:bidi w:val="0"/>
        <w:rPr>
          <w:rFonts w:hint="default"/>
          <w:color w:val="auto"/>
          <w:lang w:val="en-US" w:eastAsia="zh-CN"/>
        </w:rPr>
      </w:pPr>
      <w:r>
        <w:rPr>
          <w:rFonts w:hint="default"/>
          <w:color w:val="auto"/>
          <w:lang w:val="en-US" w:eastAsia="zh-CN"/>
        </w:rPr>
        <w:t>橡胶卷材之间的拼接需严密，拼接缝隙不大于1mm，不得有空隙、翘边、脱胶现象；卷材短向接口需相互错开，错开距离不少于3倍幅宽（通常不小于90cm），同一施工段内，接口错开位置需统一规划，避免出现集中接口，影响施工质量及美观度；拼接处需额外涂刷专用胶粘剂，用刮板压实，确保拼接牢固。</w:t>
      </w:r>
    </w:p>
    <w:p>
      <w:pPr>
        <w:pStyle w:val="22"/>
        <w:bidi w:val="0"/>
        <w:rPr>
          <w:rFonts w:hint="default"/>
          <w:color w:val="auto"/>
          <w:lang w:val="en-US" w:eastAsia="zh-CN"/>
        </w:rPr>
      </w:pPr>
      <w:r>
        <w:rPr>
          <w:rFonts w:hint="default"/>
          <w:color w:val="auto"/>
          <w:lang w:val="en-US" w:eastAsia="zh-CN"/>
        </w:rPr>
        <w:t>施工过程中需做好季节性施工措施，提前关注天气预报，遇雨天立即停止施工，已铺设未固化的卷材需采用防雨布全覆盖，防止雨水冲刷胶体；施工现场需提前备好防雨覆盖材料（如防雨布、塑料薄膜）、排水工具（如水泵、铁锹），及时排除场地积水，避免雨水造成卷材空鼓、脱层等质量隐患。</w:t>
      </w:r>
    </w:p>
    <w:p>
      <w:pPr>
        <w:pStyle w:val="4"/>
        <w:bidi w:val="0"/>
        <w:rPr>
          <w:rFonts w:hint="default"/>
          <w:color w:val="auto"/>
          <w:lang w:val="en-US" w:eastAsia="zh-CN"/>
        </w:rPr>
      </w:pPr>
      <w:r>
        <w:rPr>
          <w:rFonts w:hint="default"/>
          <w:color w:val="auto"/>
          <w:lang w:val="en-US" w:eastAsia="zh-CN"/>
        </w:rPr>
        <w:t>现浇型跑道面层施工</w:t>
      </w:r>
    </w:p>
    <w:p>
      <w:pPr>
        <w:pStyle w:val="5"/>
        <w:bidi w:val="0"/>
        <w:rPr>
          <w:rFonts w:hint="default"/>
          <w:color w:val="auto"/>
          <w:lang w:val="en-US" w:eastAsia="zh-CN"/>
        </w:rPr>
      </w:pPr>
      <w:r>
        <w:rPr>
          <w:rFonts w:hint="default"/>
          <w:color w:val="auto"/>
          <w:lang w:val="en-US" w:eastAsia="zh-CN"/>
        </w:rPr>
        <w:t>基底及坡度要求</w:t>
      </w:r>
    </w:p>
    <w:p>
      <w:pPr>
        <w:pStyle w:val="22"/>
        <w:bidi w:val="0"/>
        <w:rPr>
          <w:rFonts w:hint="default"/>
          <w:color w:val="auto"/>
          <w:lang w:val="en-US" w:eastAsia="zh-CN"/>
        </w:rPr>
      </w:pPr>
      <w:r>
        <w:rPr>
          <w:rFonts w:hint="default"/>
          <w:color w:val="auto"/>
          <w:lang w:val="en-US" w:eastAsia="zh-CN"/>
        </w:rPr>
        <w:t>场地平整度、坡度需严格遵循设计图纸要求，采用3m靠尺配合塞尺检查，3m范围平整度偏差不大于5mm，且无明显凸起、凹陷；若偏差 ≤5mm，由封底层施工单位负责采用封底材料覆盖或修补处理；若偏差 ＞5mm，由原沥青基层单位负责进行铲除重做或彻底修整，直至验收合格再进行移交。</w:t>
      </w:r>
    </w:p>
    <w:p>
      <w:pPr>
        <w:pStyle w:val="22"/>
        <w:bidi w:val="0"/>
        <w:rPr>
          <w:rFonts w:hint="default"/>
          <w:color w:val="auto"/>
          <w:lang w:val="en-US" w:eastAsia="zh-CN"/>
        </w:rPr>
      </w:pPr>
      <w:r>
        <w:rPr>
          <w:rFonts w:hint="default"/>
          <w:color w:val="auto"/>
          <w:lang w:val="en-US" w:eastAsia="zh-CN"/>
        </w:rPr>
        <w:t>基底需保持干燥，含水率不超过6%，严禁在雨天、大雾天或大气湿度大于85%的天气施工；基底平整度偏差超过3mm的部位、坡度不符合设计要求的区域，需采用环氧砂浆或专用修补材料进行找平、修整，修补厚度根据偏差情况确定，修补后需养护24-48小时，经检测平整度、坡度合格后，方可进行现浇施工。</w:t>
      </w:r>
    </w:p>
    <w:p>
      <w:pPr>
        <w:pStyle w:val="22"/>
        <w:bidi w:val="0"/>
        <w:rPr>
          <w:rFonts w:hint="default"/>
          <w:color w:val="auto"/>
          <w:lang w:val="en-US" w:eastAsia="zh-CN"/>
        </w:rPr>
      </w:pPr>
      <w:r>
        <w:rPr>
          <w:rFonts w:hint="default"/>
          <w:color w:val="auto"/>
          <w:lang w:val="en-US" w:eastAsia="zh-CN"/>
        </w:rPr>
        <w:t>基底施工前需彻底清理，清除表面粉尘、污泥、油污、松散颗粒及杂物，若基层存在油污，需用专用除油剂擦拭干净，再用高压水枪冲洗；若基层存在裂缝，需先进行裂缝修补（宽度小于1mm的裂缝采用密封胶灌注，宽度大于1mm的裂缝需开槽、清理后，用修补材料填充），清理完成后自然晒干或采用吹风机吹干，确保基底洁净、干燥。</w:t>
      </w:r>
    </w:p>
    <w:p>
      <w:pPr>
        <w:pStyle w:val="22"/>
        <w:bidi w:val="0"/>
        <w:rPr>
          <w:rFonts w:hint="default"/>
          <w:color w:val="auto"/>
          <w:lang w:val="en-US" w:eastAsia="zh-CN"/>
        </w:rPr>
      </w:pPr>
      <w:r>
        <w:rPr>
          <w:rFonts w:hint="default"/>
          <w:color w:val="auto"/>
          <w:lang w:val="en-US" w:eastAsia="zh-CN"/>
        </w:rPr>
        <w:t>施工前，由技术负责人组织施工人员、监理人员对基底进行全面验收，检查内容包括平整度、干燥度、洁净度、坡度及裂缝修补情况，验收合格后填写基底验收记录，经各方签字确认后，方可开展现浇施工，未经验收或验收不合格的基底，严禁进行下一道工序。</w:t>
      </w:r>
    </w:p>
    <w:p>
      <w:pPr>
        <w:pStyle w:val="5"/>
        <w:bidi w:val="0"/>
        <w:rPr>
          <w:rFonts w:hint="default"/>
          <w:color w:val="auto"/>
          <w:lang w:val="en-US" w:eastAsia="zh-CN"/>
        </w:rPr>
      </w:pPr>
      <w:r>
        <w:rPr>
          <w:rFonts w:hint="default"/>
          <w:color w:val="auto"/>
          <w:lang w:val="en-US" w:eastAsia="zh-CN"/>
        </w:rPr>
        <w:t>浇筑要求</w:t>
      </w:r>
    </w:p>
    <w:p>
      <w:pPr>
        <w:pStyle w:val="22"/>
        <w:bidi w:val="0"/>
        <w:rPr>
          <w:rFonts w:hint="default"/>
          <w:color w:val="auto"/>
          <w:lang w:val="en-US" w:eastAsia="zh-CN"/>
        </w:rPr>
      </w:pPr>
      <w:r>
        <w:rPr>
          <w:rFonts w:hint="default"/>
          <w:color w:val="auto"/>
          <w:lang w:val="en-US" w:eastAsia="zh-CN"/>
        </w:rPr>
        <w:t>浇筑前，采用5m卷尺精准测量场地周边设施的位置、尺寸，确认是否符合标准运动场尺寸要求；如为非标场地，需严格按照设计图纸尺寸进行放线、放样，采用墨线弹出浇筑边界线、分区线，放样偏差不大于2mm，确保浇筑范围、尺寸准确，同时标注出新旧面层接口位置。</w:t>
      </w:r>
    </w:p>
    <w:p>
      <w:pPr>
        <w:pStyle w:val="22"/>
        <w:bidi w:val="0"/>
        <w:rPr>
          <w:rFonts w:hint="default"/>
          <w:color w:val="auto"/>
          <w:lang w:val="en-US" w:eastAsia="zh-CN"/>
        </w:rPr>
      </w:pPr>
      <w:r>
        <w:rPr>
          <w:rFonts w:hint="default"/>
          <w:color w:val="auto"/>
          <w:lang w:val="en-US" w:eastAsia="zh-CN"/>
        </w:rPr>
        <w:t>现浇橡胶面层采用分两次施工工艺，第一次浇筑弹性层，厚度符合设计要求，浇筑后采用专用刮板均匀刮平，刮平过程中及时排除气泡，确保弹性层表面平整、无凸起、无凹陷；待弹性层初凝（常温下养护4-6小时）后，均匀喷洒红色EPDM橡胶颗粒（颗粒粒径为1-3mm），喷洒密度控制在每平方米2-3kg，确保颗粒均匀覆盖弹性层表面，与弹性层紧密结合。</w:t>
      </w:r>
    </w:p>
    <w:p>
      <w:pPr>
        <w:pStyle w:val="22"/>
        <w:bidi w:val="0"/>
        <w:rPr>
          <w:rFonts w:hint="default"/>
          <w:color w:val="auto"/>
          <w:lang w:val="en-US" w:eastAsia="zh-CN"/>
        </w:rPr>
      </w:pPr>
      <w:r>
        <w:rPr>
          <w:rFonts w:hint="default"/>
          <w:color w:val="auto"/>
          <w:lang w:val="en-US" w:eastAsia="zh-CN"/>
        </w:rPr>
        <w:t>现浇材料的配比需严格按照设计要求及材料说明书执行，其中弹性层胶体主料含量&gt;35%，面胶主料含量&gt;35%，EPDM橡胶颗粒含量&gt;20%；材料搅拌采用专用搅拌设备，搅拌时间不少于5分钟，搅拌过程中需匀速搅拌，确保材料混合均匀，无结块、沉淀现象，搅拌完成后需在30分钟内使用完毕，避免材料固化。</w:t>
      </w:r>
    </w:p>
    <w:p>
      <w:pPr>
        <w:pStyle w:val="22"/>
        <w:bidi w:val="0"/>
        <w:rPr>
          <w:rFonts w:hint="default"/>
          <w:color w:val="auto"/>
          <w:lang w:val="en-US" w:eastAsia="zh-CN"/>
        </w:rPr>
      </w:pPr>
      <w:r>
        <w:rPr>
          <w:rFonts w:hint="default"/>
          <w:color w:val="auto"/>
          <w:lang w:val="en-US" w:eastAsia="zh-CN"/>
        </w:rPr>
        <w:t>新浇筑橡胶面层与旧橡胶面层衔接时，需先对旧面层接口进行处理，将旧接口打磨成45度斜角，斜角深度为5-8mm，打磨后清除表面粉尘、杂物，涂刷专用界面剂，增强新旧面层的粘接性；新浇筑面层与旧面层接口需平整，高差不大于2mm，衔接处需连续、顺畅，无台阶、缝隙。</w:t>
      </w:r>
    </w:p>
    <w:p>
      <w:pPr>
        <w:pStyle w:val="22"/>
        <w:bidi w:val="0"/>
        <w:rPr>
          <w:rFonts w:hint="default"/>
          <w:color w:val="auto"/>
          <w:lang w:val="en-US" w:eastAsia="zh-CN"/>
        </w:rPr>
      </w:pPr>
      <w:r>
        <w:rPr>
          <w:rFonts w:hint="default"/>
          <w:color w:val="auto"/>
          <w:lang w:val="en-US" w:eastAsia="zh-CN"/>
        </w:rPr>
        <w:t>新旧面层接口需顺直不弯曲，采用靠尺检查接口直线度，偏差不大于3mm/m，确保接口观感质量；接口处需额外涂刷专用胶粘剂，待胶体干透后，再进行后续施工，避免接口处出现脱层、开裂现象。</w:t>
      </w:r>
    </w:p>
    <w:p>
      <w:pPr>
        <w:pStyle w:val="22"/>
        <w:bidi w:val="0"/>
        <w:rPr>
          <w:rFonts w:hint="default"/>
          <w:color w:val="auto"/>
          <w:lang w:val="en-US" w:eastAsia="zh-CN"/>
        </w:rPr>
      </w:pPr>
      <w:r>
        <w:rPr>
          <w:rFonts w:hint="default"/>
          <w:color w:val="auto"/>
          <w:lang w:val="en-US" w:eastAsia="zh-CN"/>
        </w:rPr>
        <w:t>施工过程中需做好季节性施工措施，提前关注天气预报，遇雨天立即停止施工，已浇筑未固化的面层需采用防雨布全覆盖，防止雨水冲刷面层，导致表面起砂、起皱；施工现场需提前备好防雨覆盖材料、排水工具，及时排除场地积水，雨后需对已浇筑面层进行检查，若出现质量缺陷，需及时修补。</w:t>
      </w:r>
    </w:p>
    <w:p>
      <w:pPr>
        <w:pStyle w:val="22"/>
        <w:bidi w:val="0"/>
        <w:rPr>
          <w:rFonts w:hint="default"/>
          <w:color w:val="auto"/>
          <w:lang w:val="en-US" w:eastAsia="zh-CN"/>
        </w:rPr>
      </w:pPr>
      <w:r>
        <w:rPr>
          <w:rFonts w:hint="default"/>
          <w:color w:val="auto"/>
          <w:lang w:val="en-US" w:eastAsia="zh-CN"/>
        </w:rPr>
        <w:t>施工过程中及面层完全干透前（常温下养护72小时以上），需做好成品保护措施，严禁人员、车辆进入施工区域，严禁在面层上堆放杂物、工具，避免杂物、尘土污染面层；若面层不慎被污染，需及时用干净的抹布擦拭干净，确保面层表面洁净。</w:t>
      </w:r>
    </w:p>
    <w:p>
      <w:pPr>
        <w:pStyle w:val="4"/>
        <w:bidi w:val="0"/>
        <w:rPr>
          <w:rFonts w:hint="default"/>
          <w:color w:val="auto"/>
          <w:lang w:val="en-US" w:eastAsia="zh-CN"/>
        </w:rPr>
      </w:pPr>
      <w:r>
        <w:rPr>
          <w:rFonts w:hint="default"/>
          <w:color w:val="auto"/>
          <w:lang w:val="en-US" w:eastAsia="zh-CN"/>
        </w:rPr>
        <w:t>人造草面层施工</w:t>
      </w:r>
    </w:p>
    <w:p>
      <w:pPr>
        <w:pStyle w:val="5"/>
        <w:bidi w:val="0"/>
        <w:rPr>
          <w:rFonts w:hint="default"/>
          <w:color w:val="auto"/>
          <w:lang w:val="en-US" w:eastAsia="zh-CN"/>
        </w:rPr>
      </w:pPr>
      <w:r>
        <w:rPr>
          <w:rFonts w:hint="default"/>
          <w:color w:val="auto"/>
          <w:lang w:val="en-US" w:eastAsia="zh-CN"/>
        </w:rPr>
        <w:t>施工要求</w:t>
      </w:r>
    </w:p>
    <w:p>
      <w:pPr>
        <w:pStyle w:val="22"/>
        <w:bidi w:val="0"/>
        <w:rPr>
          <w:rFonts w:hint="default"/>
          <w:color w:val="auto"/>
          <w:lang w:val="en-US" w:eastAsia="zh-CN"/>
        </w:rPr>
      </w:pPr>
      <w:r>
        <w:rPr>
          <w:rFonts w:hint="default"/>
          <w:color w:val="auto"/>
          <w:lang w:val="en-US" w:eastAsia="zh-CN"/>
        </w:rPr>
        <w:t>施工前，彻底清除基底中的杂物（如石块、杂草、垃圾、松散颗粒等），采用人工清扫与机械清扫相结合的方式，确保基底无任何杂物；若基底存在不平处，需采用专用修补材料进行找平、修整，修整后采用3m靠尺检查，平整度偏差不大于</w:t>
      </w:r>
      <w:r>
        <w:rPr>
          <w:rFonts w:hint="eastAsia"/>
          <w:color w:val="auto"/>
          <w:lang w:val="en-US" w:eastAsia="zh-CN"/>
        </w:rPr>
        <w:t>5</w:t>
      </w:r>
      <w:r>
        <w:rPr>
          <w:rFonts w:hint="default"/>
          <w:color w:val="auto"/>
          <w:lang w:val="en-US" w:eastAsia="zh-CN"/>
        </w:rPr>
        <w:t>mm，确保基底平整、坚实，为后续施工奠定基础；施工铺设场所需保持清洁，定期进行清扫，防止杂物影响施工品质。</w:t>
      </w:r>
    </w:p>
    <w:p>
      <w:pPr>
        <w:pStyle w:val="22"/>
        <w:bidi w:val="0"/>
        <w:rPr>
          <w:rFonts w:hint="default"/>
          <w:color w:val="auto"/>
          <w:lang w:val="en-US" w:eastAsia="zh-CN"/>
        </w:rPr>
      </w:pPr>
      <w:r>
        <w:rPr>
          <w:rFonts w:hint="default"/>
          <w:color w:val="auto"/>
          <w:lang w:val="en-US" w:eastAsia="zh-CN"/>
        </w:rPr>
        <w:t>铺设前，采用5m卷尺精准测量场地周边设施（如球门、围栏、排水沟等）的位置、尺寸，确认是否符合标准足球场尺寸要求；如为非标场地，需严格按照设计图纸尺寸进行放线、放样，采用墨线弹出人造草铺设的定位线、拼接线，放样偏差不大于2mm，确保草皮铺设位置准确，拼接处对齐。</w:t>
      </w:r>
    </w:p>
    <w:p>
      <w:pPr>
        <w:pStyle w:val="22"/>
        <w:bidi w:val="0"/>
        <w:rPr>
          <w:rFonts w:hint="default"/>
          <w:color w:val="auto"/>
          <w:lang w:val="en-US" w:eastAsia="zh-CN"/>
        </w:rPr>
      </w:pPr>
      <w:r>
        <w:rPr>
          <w:rFonts w:hint="default"/>
          <w:color w:val="auto"/>
          <w:lang w:val="en-US" w:eastAsia="zh-CN"/>
        </w:rPr>
        <w:t>基底铺设防震垫，防震垫的厚度、材质需符合设计图纸要求，通常厚度为10-15mm，采用高密度聚乙烯材质；防震垫铺设采用满铺方式，覆盖整个足球场基底，拼接处需严密，缝隙不大于1mm，拼接处采用专用胶带粘接牢固，防止防震垫移位、起皱；铺设后检查防震垫平整度，无凸起、凹陷，与基底紧密贴合。</w:t>
      </w:r>
    </w:p>
    <w:p>
      <w:pPr>
        <w:pStyle w:val="22"/>
        <w:bidi w:val="0"/>
        <w:rPr>
          <w:rFonts w:hint="default"/>
          <w:color w:val="auto"/>
          <w:lang w:val="en-US" w:eastAsia="zh-CN"/>
        </w:rPr>
      </w:pPr>
      <w:r>
        <w:rPr>
          <w:rFonts w:hint="default"/>
          <w:color w:val="auto"/>
          <w:lang w:val="en-US" w:eastAsia="zh-CN"/>
        </w:rPr>
        <w:t>草皮铺设前，需将待粘接的草坪底部、接缝布表面清洁干净，采用专用清洁剂擦拭，去除表面粉尘、油污、水分，确保表面干燥无水分（含水率不超过5%）；清洁后自然晾干，避免暴晒，防止草坪底部、接缝布老化，影响粘接效果。</w:t>
      </w:r>
    </w:p>
    <w:p>
      <w:pPr>
        <w:pStyle w:val="22"/>
        <w:bidi w:val="0"/>
        <w:rPr>
          <w:rFonts w:hint="default"/>
          <w:color w:val="auto"/>
          <w:lang w:val="en-US" w:eastAsia="zh-CN"/>
        </w:rPr>
      </w:pPr>
      <w:r>
        <w:rPr>
          <w:rFonts w:hint="default"/>
          <w:color w:val="auto"/>
          <w:lang w:val="en-US" w:eastAsia="zh-CN"/>
        </w:rPr>
        <w:t>严禁在下雨、大雾或大气湿度大于80%的潮湿天气下施工，潮湿环境会导致胶水粘接不牢，出现草皮脱胶、起翘现象；施工过程中若遇突发降雨，需立即停止施工，已铺设未粘接的草皮需采用防雨布覆盖，待天气晴朗、基底及草皮干燥后，方可继续施工。</w:t>
      </w:r>
    </w:p>
    <w:p>
      <w:pPr>
        <w:pStyle w:val="22"/>
        <w:bidi w:val="0"/>
        <w:rPr>
          <w:rFonts w:hint="default"/>
          <w:color w:val="auto"/>
          <w:lang w:val="en-US" w:eastAsia="zh-CN"/>
        </w:rPr>
      </w:pPr>
      <w:r>
        <w:rPr>
          <w:rFonts w:hint="default"/>
          <w:color w:val="auto"/>
          <w:lang w:val="en-US" w:eastAsia="zh-CN"/>
        </w:rPr>
        <w:t>平铺草皮时，需按照放样线准确摆放，草皮纹理方向保持一致，避免出现纹理错乱；摆放平整后，用专用刷子在草坪底部、接缝布表面涂刷专用草坪胶水，涂刷厚度控制在0.3-0.5mm，要求薄厚均匀，无漏涂、气泡、堆积现象，不可反复涂胶，否则会导致胶水起泡、粘接不牢；涂胶速度要均匀适中，分别涂于被粘接的两个粘接面上，确保涂胶全面。</w:t>
      </w:r>
    </w:p>
    <w:p>
      <w:pPr>
        <w:pStyle w:val="22"/>
        <w:bidi w:val="0"/>
        <w:rPr>
          <w:rFonts w:hint="default"/>
          <w:color w:val="auto"/>
          <w:lang w:val="en-US" w:eastAsia="zh-CN"/>
        </w:rPr>
      </w:pPr>
      <w:r>
        <w:rPr>
          <w:rFonts w:hint="default"/>
          <w:color w:val="auto"/>
          <w:lang w:val="en-US" w:eastAsia="zh-CN"/>
        </w:rPr>
        <w:t>涂胶后，根据当时的环境温度、湿度合理控制晾置时间，常温（20-25℃）、湿度60%-70%时，晾置时间为10-15分钟；温度偏低、湿度偏大时，可适当延长晾置时间，温度偏高、湿度偏小时，可适当缩短晾置时间；晾置至胶浆达到八九成干（手触不粘手、无拉丝现象）时，立即进行粘接，粘接时要求一次性对准粘牢，切不可在粘合后来回移动草皮，避免破坏胶水粘接层。</w:t>
      </w:r>
    </w:p>
    <w:p>
      <w:pPr>
        <w:pStyle w:val="22"/>
        <w:bidi w:val="0"/>
        <w:rPr>
          <w:rFonts w:hint="default"/>
          <w:color w:val="auto"/>
          <w:lang w:val="en-US" w:eastAsia="zh-CN"/>
        </w:rPr>
      </w:pPr>
      <w:r>
        <w:rPr>
          <w:rFonts w:hint="default"/>
          <w:color w:val="auto"/>
          <w:lang w:val="en-US" w:eastAsia="zh-CN"/>
        </w:rPr>
        <w:t>草皮粘接后，立即清除其表面杂物，采用专用橡皮锤从粘接处向两边用力锤实，锤实力度均匀，确保草皮与接缝布、防震垫充分粘接密实，无空鼓、翘边现象；锤实后，检查拼接处是否严密，若存在缝隙，需补充涂刷胶水，重新锤实，确保粘接牢固。</w:t>
      </w:r>
    </w:p>
    <w:p>
      <w:pPr>
        <w:pStyle w:val="22"/>
        <w:bidi w:val="0"/>
        <w:rPr>
          <w:rFonts w:hint="default"/>
          <w:color w:val="auto"/>
          <w:lang w:val="en-US" w:eastAsia="zh-CN"/>
        </w:rPr>
      </w:pPr>
      <w:r>
        <w:rPr>
          <w:rFonts w:hint="default"/>
          <w:color w:val="auto"/>
          <w:lang w:val="en-US" w:eastAsia="zh-CN"/>
        </w:rPr>
        <w:t>待粘接胶完全固化（常温下养护24小时以上）后，进行石英砂及橡胶颗粒填充；填充前，检查草皮平整度，确认无脱胶、起翘现象后，按照设计图纸要求的填充重量进行填充，石英砂填充重量通常为每平方米20-25kg，填充时采用专用撒料机均匀撒布，确保石英砂分布均匀。</w:t>
      </w:r>
    </w:p>
    <w:p>
      <w:pPr>
        <w:pStyle w:val="22"/>
        <w:bidi w:val="0"/>
        <w:rPr>
          <w:rFonts w:hint="default"/>
          <w:color w:val="auto"/>
          <w:lang w:val="en-US" w:eastAsia="zh-CN"/>
        </w:rPr>
      </w:pPr>
      <w:r>
        <w:rPr>
          <w:rFonts w:hint="default"/>
          <w:color w:val="auto"/>
          <w:lang w:val="en-US" w:eastAsia="zh-CN"/>
        </w:rPr>
        <w:t>石英砂填充至设计要求后，进行橡胶颗粒填充</w:t>
      </w:r>
      <w:r>
        <w:rPr>
          <w:rFonts w:hint="eastAsia"/>
          <w:color w:val="auto"/>
          <w:lang w:val="en-US" w:eastAsia="zh-CN"/>
        </w:rPr>
        <w:t>，</w:t>
      </w:r>
      <w:r>
        <w:rPr>
          <w:rFonts w:hint="default"/>
          <w:color w:val="auto"/>
          <w:lang w:val="en-US" w:eastAsia="zh-CN"/>
        </w:rPr>
        <w:t>石英砂及橡胶颗粒铺设过程中，需使用带有锯齿状的刮板或硬刷进行来回梳理，梳理方向与草皮纹理一致，确保石英砂及橡胶颗粒均匀填充至草丝根部，无堆积、无遗漏，填充密实，草丝直立挺拔。</w:t>
      </w:r>
    </w:p>
    <w:p>
      <w:pPr>
        <w:pStyle w:val="22"/>
        <w:bidi w:val="0"/>
        <w:rPr>
          <w:rFonts w:hint="default"/>
          <w:color w:val="auto"/>
          <w:lang w:val="en-US" w:eastAsia="zh-CN"/>
        </w:rPr>
      </w:pPr>
      <w:r>
        <w:rPr>
          <w:rFonts w:hint="default"/>
          <w:color w:val="auto"/>
          <w:lang w:val="en-US" w:eastAsia="zh-CN"/>
        </w:rPr>
        <w:t>铺设过程中，需对场地内的下水口、检查井等设施进行保护，采用塑料薄膜或专用盖板覆盖，防止石英砂、橡胶颗粒堵塞下水管道；填充完成后，及时清理下水口周边的杂物、颗粒，确保排水顺畅。</w:t>
      </w:r>
    </w:p>
    <w:p>
      <w:pPr>
        <w:pStyle w:val="4"/>
        <w:bidi w:val="0"/>
        <w:rPr>
          <w:rFonts w:hint="default"/>
          <w:color w:val="auto"/>
          <w:lang w:val="en-US" w:eastAsia="zh-CN"/>
        </w:rPr>
      </w:pPr>
      <w:r>
        <w:rPr>
          <w:rFonts w:hint="default"/>
          <w:color w:val="auto"/>
          <w:lang w:val="en-US" w:eastAsia="zh-CN"/>
        </w:rPr>
        <w:t>丙烯酸施工</w:t>
      </w:r>
    </w:p>
    <w:p>
      <w:pPr>
        <w:pStyle w:val="5"/>
        <w:bidi w:val="0"/>
        <w:rPr>
          <w:rFonts w:hint="default"/>
          <w:color w:val="auto"/>
          <w:lang w:val="en-US" w:eastAsia="zh-CN"/>
        </w:rPr>
      </w:pPr>
      <w:r>
        <w:rPr>
          <w:rFonts w:hint="default"/>
          <w:color w:val="auto"/>
          <w:lang w:val="en-US" w:eastAsia="zh-CN"/>
        </w:rPr>
        <w:t>基底施工要求</w:t>
      </w:r>
    </w:p>
    <w:p>
      <w:pPr>
        <w:pStyle w:val="22"/>
        <w:bidi w:val="0"/>
        <w:rPr>
          <w:rFonts w:hint="default"/>
          <w:color w:val="auto"/>
          <w:lang w:val="en-US" w:eastAsia="zh-CN"/>
        </w:rPr>
      </w:pPr>
      <w:r>
        <w:rPr>
          <w:rFonts w:hint="default"/>
          <w:color w:val="auto"/>
          <w:lang w:val="en-US" w:eastAsia="zh-CN"/>
        </w:rPr>
        <w:t>彻底清除基底表面的水泥浮浆、旧漆层、垃圾杂物、油污等污染物，水泥浮浆采用铲刀铲除、砂纸打磨，旧漆层采用专用脱漆剂清除，油污采用专用除油剂擦拭，垃圾杂物采用人工清扫与吸尘器清理相结合的方式；清理完成后，用无尘清扫机和吸尘器再次彻底清洁，确保基底表面无任何污染物，无松散颗粒。</w:t>
      </w:r>
    </w:p>
    <w:p>
      <w:pPr>
        <w:pStyle w:val="22"/>
        <w:bidi w:val="0"/>
        <w:rPr>
          <w:rFonts w:hint="default"/>
          <w:color w:val="auto"/>
          <w:lang w:val="en-US" w:eastAsia="zh-CN"/>
        </w:rPr>
      </w:pPr>
      <w:r>
        <w:rPr>
          <w:rFonts w:hint="default"/>
          <w:color w:val="auto"/>
          <w:lang w:val="en-US" w:eastAsia="zh-CN"/>
        </w:rPr>
        <w:t>丙烯酸基层需进行裂缝修补、打磨、酸洗处理：对于宽度小于1mm的细微裂缝，采用专用密封胶灌注，灌注后用刮板刮平；对于宽度大于1mm的裂缝，需沿裂缝开槽（槽宽5-8mm，槽深3-5mm），清理槽内粉尘、杂物，然后用专用修补腻子填充，填充后打磨平整；打磨采用80目砂纸，对基底表面进行全面打磨，去除凸起部位、毛刺，确保基底表面平整；酸洗采用10%-15%的稀盐酸溶液，均匀涂刷在基底表面，停留10-15分钟，去除表面浮碱，酸洗完成后，用清水彻底冲洗基底，直至表面无酸性残留，然后自然晒干。</w:t>
      </w:r>
    </w:p>
    <w:p>
      <w:pPr>
        <w:pStyle w:val="22"/>
        <w:bidi w:val="0"/>
        <w:rPr>
          <w:rFonts w:hint="default"/>
          <w:color w:val="auto"/>
          <w:lang w:val="en-US" w:eastAsia="zh-CN"/>
        </w:rPr>
      </w:pPr>
      <w:r>
        <w:rPr>
          <w:rFonts w:hint="default"/>
          <w:color w:val="auto"/>
          <w:lang w:val="en-US" w:eastAsia="zh-CN"/>
        </w:rPr>
        <w:t>基底地面需保持干燥，水分含量≤6%，采用含水率检测仪检测，每100平方米检测不少于3个点，确保所有检测点含水率均符合要求；新浇筑的混凝土地面，需养护28天以上，确保混凝土强度达到设计要求（不低于C25），表面无起砂、起壳现象，方可进行丙烯酸施工。</w:t>
      </w:r>
    </w:p>
    <w:p>
      <w:pPr>
        <w:pStyle w:val="22"/>
        <w:bidi w:val="0"/>
        <w:rPr>
          <w:rFonts w:hint="default"/>
          <w:color w:val="auto"/>
          <w:lang w:val="en-US" w:eastAsia="zh-CN"/>
        </w:rPr>
      </w:pPr>
      <w:r>
        <w:rPr>
          <w:rFonts w:hint="default"/>
          <w:color w:val="auto"/>
          <w:lang w:val="en-US" w:eastAsia="zh-CN"/>
        </w:rPr>
        <w:t>基底表面允许存在2～2.5mm的空隙，空隙过大或过小均需处理；表面凹陷、裂缝（修补后仍有凹陷）需用专用丙烯酸腻子填补，填补时采用刮板刮平，待腻子干透后（常温下养护12小时以上），用砂纸打磨平整，确保基底表面平整、光滑，无明显凸起、凹陷。</w:t>
      </w:r>
    </w:p>
    <w:p>
      <w:pPr>
        <w:pStyle w:val="5"/>
        <w:bidi w:val="0"/>
        <w:rPr>
          <w:rFonts w:hint="default"/>
          <w:color w:val="auto"/>
          <w:lang w:val="en-US" w:eastAsia="zh-CN"/>
        </w:rPr>
      </w:pPr>
      <w:r>
        <w:rPr>
          <w:rFonts w:hint="default"/>
          <w:color w:val="auto"/>
          <w:lang w:val="en-US" w:eastAsia="zh-CN"/>
        </w:rPr>
        <w:t>丙烯酸施工要求</w:t>
      </w:r>
    </w:p>
    <w:p>
      <w:pPr>
        <w:pStyle w:val="22"/>
        <w:bidi w:val="0"/>
        <w:rPr>
          <w:rFonts w:hint="default"/>
          <w:color w:val="auto"/>
          <w:lang w:val="en-US" w:eastAsia="zh-CN"/>
        </w:rPr>
      </w:pPr>
      <w:r>
        <w:rPr>
          <w:rFonts w:hint="default"/>
          <w:color w:val="auto"/>
          <w:lang w:val="en-US" w:eastAsia="zh-CN"/>
        </w:rPr>
        <w:t>施工前，基底必须经过验收合格，裂缝修补、打磨、酸洗等工序全部完成，表面干净、干燥，含水率≤6%，无任何污染物、松散颗粒；验收合格后填写基底验收记录，经监理单位签字确认后，方可开展丙烯酸涂刮施工。</w:t>
      </w:r>
    </w:p>
    <w:p>
      <w:pPr>
        <w:pStyle w:val="22"/>
        <w:bidi w:val="0"/>
        <w:rPr>
          <w:rFonts w:hint="default"/>
          <w:color w:val="auto"/>
          <w:lang w:val="en-US" w:eastAsia="zh-CN"/>
        </w:rPr>
      </w:pPr>
      <w:r>
        <w:rPr>
          <w:rFonts w:hint="default"/>
          <w:color w:val="auto"/>
          <w:lang w:val="en-US" w:eastAsia="zh-CN"/>
        </w:rPr>
        <w:t>严禁在雨天、大雾天或大气湿度大于85%的天气施工，施工过程中需随时关注天气预报，遇突发降雨，立即停止施工，已涂刮未固化的面层需采用防雨布全覆盖，防止雨水冲刷面层，导致表面起砂、起皱、变色；施工现场需提前备好防雨覆盖材料，做好防雨措施。</w:t>
      </w:r>
    </w:p>
    <w:p>
      <w:pPr>
        <w:pStyle w:val="22"/>
        <w:bidi w:val="0"/>
        <w:rPr>
          <w:rFonts w:hint="default"/>
          <w:color w:val="auto"/>
          <w:lang w:val="en-US" w:eastAsia="zh-CN"/>
        </w:rPr>
      </w:pPr>
      <w:r>
        <w:rPr>
          <w:rFonts w:hint="default"/>
          <w:color w:val="auto"/>
          <w:lang w:val="en-US" w:eastAsia="zh-CN"/>
        </w:rPr>
        <w:t>丙烯酸面层施工分5次进行涂刮，具体流程如下：①首次涂刮底漆，采用专用丙烯酸底漆，对基底进行封闭，增强基底与中涂的粘接性，涂刮厚度控制在20-30um，采用专用刮板均匀涂刮，无漏涂、气泡、堆积现象，待底漆完全干透（常温下养护12小时以上）后，进行中涂涂刮；②中涂涂刮不少于2遍，中涂材料按照丙烯酸中涂、石英砂（40-80目）及水的配比（严格遵循材料说明书要求）混合均匀，采用齿形刮板均匀涂刮，涂刮厚度每遍30-50um，涂刮过程中及时排除气泡，确保中涂表面平整、无刮痕，前一遍中涂干透后（常温下养护6-8小时），再进行下一遍涂刮；③面涂涂刮分两次进行，面涂材料按照丙烯酸面涂、石英砂（80-120目）及水的配比（遵循材料说明书）混合均匀，待中涂完全干透后（常温下养护12小时以上），进行第一遍面涂涂刮，厚度30-50um，干透后进行第二遍面涂涂刮，第二遍面涂不加石英砂，采用纯面层料涂刮，确保面层光滑、色泽均匀。</w:t>
      </w:r>
    </w:p>
    <w:p>
      <w:pPr>
        <w:pStyle w:val="22"/>
        <w:bidi w:val="0"/>
        <w:rPr>
          <w:rFonts w:hint="default"/>
          <w:color w:val="auto"/>
          <w:lang w:val="en-US" w:eastAsia="zh-CN"/>
        </w:rPr>
      </w:pPr>
      <w:r>
        <w:rPr>
          <w:rFonts w:hint="default"/>
          <w:color w:val="auto"/>
          <w:lang w:val="en-US" w:eastAsia="zh-CN"/>
        </w:rPr>
        <w:t>涂刮过程中，需保持施工区域及面层表面干净，严禁在大风天气（风力大于3级）进行施工，避免大风将垃圾、灰尘吹到涂刮层中，造成面层起砂、麻点、色差等质量缺陷；施工人员需穿戴干净的工作服、鞋套，严禁在未干透的面层上行走、踩踏。</w:t>
      </w:r>
    </w:p>
    <w:p>
      <w:pPr>
        <w:pStyle w:val="22"/>
        <w:bidi w:val="0"/>
        <w:rPr>
          <w:rFonts w:hint="default"/>
          <w:color w:val="auto"/>
          <w:lang w:val="en-US" w:eastAsia="zh-CN"/>
        </w:rPr>
      </w:pPr>
      <w:r>
        <w:rPr>
          <w:rFonts w:hint="default"/>
          <w:color w:val="auto"/>
          <w:lang w:val="en-US" w:eastAsia="zh-CN"/>
        </w:rPr>
        <w:t>各层涂刮厚度需严格控制，底涂厚度约20-30um，中涂及面涂每遍厚度约30-50um，总厚度符合设计要求（通常为150-200um）；涂刮过程中，采用厚度检测仪随时检测涂刮厚度，确保厚度均匀，偏差不大于10um。</w:t>
      </w:r>
    </w:p>
    <w:p>
      <w:pPr>
        <w:pStyle w:val="22"/>
        <w:bidi w:val="0"/>
        <w:rPr>
          <w:rFonts w:hint="default"/>
          <w:color w:val="auto"/>
          <w:lang w:val="en-US" w:eastAsia="zh-CN"/>
        </w:rPr>
      </w:pPr>
      <w:r>
        <w:rPr>
          <w:rFonts w:hint="default"/>
          <w:color w:val="auto"/>
          <w:lang w:val="en-US" w:eastAsia="zh-CN"/>
        </w:rPr>
        <w:t>每层涂刮需均匀，不得有明显刮痕、气泡、堆积、漏涂等缺陷，涂刮后采用灯光照射检查，发现缺陷及时修补；面层涂刮完成后，表面需光滑、平整、色泽均匀，无明显色差、麻点、起砂现象，符合设计及规范要求。</w:t>
      </w:r>
    </w:p>
    <w:p>
      <w:pPr>
        <w:pStyle w:val="22"/>
        <w:bidi w:val="0"/>
        <w:rPr>
          <w:rFonts w:hint="default"/>
          <w:color w:val="auto"/>
          <w:lang w:val="en-US" w:eastAsia="zh-CN"/>
        </w:rPr>
      </w:pPr>
      <w:r>
        <w:rPr>
          <w:rFonts w:hint="default"/>
          <w:color w:val="auto"/>
          <w:lang w:val="en-US" w:eastAsia="zh-CN"/>
        </w:rPr>
        <w:t>施工完成后，需做好成品养护措施，常温下养护72小时以上，养护期间严禁人员、车辆进入施工区域，严禁在面层上堆放杂物、工具，避免面层受到污染、损坏；养护完成后，进行全面检测，合格后方可投入使用。</w:t>
      </w:r>
    </w:p>
    <w:p>
      <w:pPr>
        <w:pStyle w:val="2"/>
        <w:bidi w:val="0"/>
        <w:rPr>
          <w:rFonts w:hint="default"/>
          <w:color w:val="auto"/>
          <w:lang w:val="en-US" w:eastAsia="zh-CN"/>
        </w:rPr>
      </w:pPr>
      <w:r>
        <w:rPr>
          <w:rFonts w:hint="default"/>
          <w:color w:val="auto"/>
          <w:lang w:val="en-US" w:eastAsia="zh-CN"/>
        </w:rPr>
        <w:t>质量检测与验收要求</w:t>
      </w:r>
    </w:p>
    <w:p>
      <w:pPr>
        <w:pStyle w:val="4"/>
        <w:bidi w:val="0"/>
        <w:rPr>
          <w:rFonts w:hint="default"/>
          <w:color w:val="auto"/>
          <w:lang w:val="en-US" w:eastAsia="zh-CN"/>
        </w:rPr>
      </w:pPr>
      <w:r>
        <w:rPr>
          <w:rFonts w:hint="default"/>
          <w:color w:val="auto"/>
          <w:lang w:val="en-US" w:eastAsia="zh-CN"/>
        </w:rPr>
        <w:t>检测要求</w:t>
      </w:r>
    </w:p>
    <w:p>
      <w:pPr>
        <w:bidi w:val="0"/>
        <w:rPr>
          <w:rFonts w:hint="default"/>
          <w:lang w:val="en-US" w:eastAsia="zh-CN"/>
        </w:rPr>
      </w:pPr>
      <w:r>
        <w:rPr>
          <w:rFonts w:hint="default"/>
          <w:lang w:val="en-US" w:eastAsia="zh-CN"/>
        </w:rPr>
        <w:t>注明：所有检测工作须根据国家现行相关规范要求，结合质监站具体要求编制检测方案，经相关方确认后再开展，确保检测结果满足国家现行相关规范及设计图纸要求。</w:t>
      </w:r>
    </w:p>
    <w:p>
      <w:pPr>
        <w:pStyle w:val="22"/>
        <w:bidi w:val="0"/>
        <w:rPr>
          <w:rFonts w:hint="default"/>
          <w:lang w:val="en-US" w:eastAsia="zh-CN"/>
        </w:rPr>
      </w:pPr>
      <w:r>
        <w:rPr>
          <w:rFonts w:hint="default"/>
          <w:lang w:val="en-US" w:eastAsia="zh-CN"/>
        </w:rPr>
        <w:t>原材料取样要求：所有进场材料须按国家现行相关规范及本技术要求进行见证取样复检，检测合格后方可投入使用，所有检测报告须按规定报监理单位、建设单位及校方备案。</w:t>
      </w:r>
    </w:p>
    <w:p>
      <w:pPr>
        <w:pStyle w:val="22"/>
        <w:bidi w:val="0"/>
        <w:rPr>
          <w:rFonts w:hint="default"/>
          <w:lang w:val="en-US" w:eastAsia="zh-CN"/>
        </w:rPr>
      </w:pPr>
      <w:r>
        <w:rPr>
          <w:rFonts w:hint="default"/>
          <w:lang w:val="en-US" w:eastAsia="zh-CN"/>
        </w:rPr>
        <w:t>各材料检测项要求：现浇橡胶面层、预制橡胶卷材、人造草、颗粒等固体原料及非固体原料的各项有害物质含量、有害物质释放量及相关性能检测，均须严格遵循国家现行相关规范、设计图纸要求及本技术要求，具体检测项目及标准详见规范及设计图纸。</w:t>
      </w:r>
    </w:p>
    <w:p>
      <w:pPr>
        <w:pStyle w:val="22"/>
        <w:bidi w:val="0"/>
        <w:rPr>
          <w:rFonts w:hint="default"/>
          <w:lang w:val="en-US" w:eastAsia="zh-CN"/>
        </w:rPr>
      </w:pPr>
      <w:r>
        <w:rPr>
          <w:rFonts w:hint="default"/>
          <w:lang w:val="en-US" w:eastAsia="zh-CN"/>
        </w:rPr>
        <w:t>施工过程检测：施工过程中须按国家现行相关规范及设计图纸要求开展实时检测工作，重点检测内容如下：</w:t>
      </w:r>
    </w:p>
    <w:p>
      <w:pPr>
        <w:pStyle w:val="31"/>
        <w:bidi w:val="0"/>
        <w:rPr>
          <w:rFonts w:hint="default"/>
          <w:lang w:val="en-US" w:eastAsia="zh-CN"/>
        </w:rPr>
      </w:pPr>
      <w:r>
        <w:rPr>
          <w:rFonts w:hint="default"/>
          <w:lang w:val="en-US" w:eastAsia="zh-CN"/>
        </w:rPr>
        <w:t>进场材料的规格、厚度及各项性能，须与设计图纸要求及国家现行相关规范一致；</w:t>
      </w:r>
    </w:p>
    <w:p>
      <w:pPr>
        <w:pStyle w:val="31"/>
        <w:bidi w:val="0"/>
        <w:rPr>
          <w:rFonts w:hint="default"/>
          <w:lang w:val="en-US" w:eastAsia="zh-CN"/>
        </w:rPr>
      </w:pPr>
      <w:r>
        <w:rPr>
          <w:rFonts w:hint="default"/>
          <w:lang w:val="en-US" w:eastAsia="zh-CN"/>
        </w:rPr>
        <w:t>场地施工过程中的平整度、排水坡度，须符合设计图纸及国家现行相关规范要求；</w:t>
      </w:r>
    </w:p>
    <w:p>
      <w:pPr>
        <w:pStyle w:val="31"/>
        <w:bidi w:val="0"/>
        <w:rPr>
          <w:rFonts w:hint="default"/>
          <w:lang w:val="en-US" w:eastAsia="zh-CN"/>
        </w:rPr>
      </w:pPr>
      <w:r>
        <w:rPr>
          <w:rFonts w:hint="default"/>
          <w:lang w:val="en-US" w:eastAsia="zh-CN"/>
        </w:rPr>
        <w:t>工程施工质量及各部位拼接质量，须满足规范及设计要求，确保拼接严密牢固、接口顺直，无明显质量缺陷；</w:t>
      </w:r>
    </w:p>
    <w:p>
      <w:pPr>
        <w:pStyle w:val="31"/>
        <w:bidi w:val="0"/>
        <w:rPr>
          <w:rFonts w:hint="default"/>
          <w:lang w:val="en-US" w:eastAsia="zh-CN"/>
        </w:rPr>
      </w:pPr>
      <w:r>
        <w:rPr>
          <w:rFonts w:hint="default"/>
          <w:lang w:val="en-US" w:eastAsia="zh-CN"/>
        </w:rPr>
        <w:t>平整度检测须按规范规定的方法及频率执行，确保符合设计及规范要求；</w:t>
      </w:r>
    </w:p>
    <w:p>
      <w:pPr>
        <w:pStyle w:val="31"/>
        <w:bidi w:val="0"/>
        <w:rPr>
          <w:rFonts w:hint="default"/>
          <w:lang w:val="en-US" w:eastAsia="zh-CN"/>
        </w:rPr>
      </w:pPr>
      <w:r>
        <w:rPr>
          <w:rFonts w:hint="default"/>
          <w:lang w:val="en-US" w:eastAsia="zh-CN"/>
        </w:rPr>
        <w:t>坡度检测须按设计要求控制，施工过程中按规范频率进行高程与坡度校核，确保符合相关要求；</w:t>
      </w:r>
    </w:p>
    <w:p>
      <w:pPr>
        <w:pStyle w:val="31"/>
        <w:bidi w:val="0"/>
        <w:rPr>
          <w:rFonts w:hint="default"/>
          <w:lang w:val="en-US" w:eastAsia="zh-CN"/>
        </w:rPr>
      </w:pPr>
      <w:r>
        <w:rPr>
          <w:rFonts w:hint="default"/>
          <w:lang w:val="en-US" w:eastAsia="zh-CN"/>
        </w:rPr>
        <w:t>各施工段须进行验收检测，验收合格后方可开展大面积施工，各施工段验收按相关规范及施工段验收标准执行。</w:t>
      </w:r>
    </w:p>
    <w:p>
      <w:pPr>
        <w:pStyle w:val="4"/>
        <w:bidi w:val="0"/>
        <w:rPr>
          <w:rFonts w:hint="default"/>
          <w:color w:val="auto"/>
          <w:lang w:val="en-US" w:eastAsia="zh-CN"/>
        </w:rPr>
      </w:pPr>
      <w:r>
        <w:rPr>
          <w:rFonts w:hint="default"/>
          <w:color w:val="auto"/>
          <w:lang w:val="en-US" w:eastAsia="zh-CN"/>
        </w:rPr>
        <w:t>验收要求</w:t>
      </w:r>
    </w:p>
    <w:p>
      <w:pPr>
        <w:pStyle w:val="22"/>
        <w:bidi w:val="0"/>
        <w:rPr>
          <w:rFonts w:hint="default"/>
          <w:color w:val="auto"/>
          <w:lang w:val="en-US" w:eastAsia="zh-CN"/>
        </w:rPr>
      </w:pPr>
      <w:r>
        <w:rPr>
          <w:rFonts w:hint="default"/>
          <w:color w:val="auto"/>
          <w:lang w:val="en-US" w:eastAsia="zh-CN"/>
        </w:rPr>
        <w:t>验收标准：严格按照本技术要求、设计文件及相关规范标准验收，重点核查以下内容：</w:t>
      </w:r>
    </w:p>
    <w:p>
      <w:pPr>
        <w:pStyle w:val="31"/>
        <w:bidi w:val="0"/>
        <w:rPr>
          <w:rFonts w:hint="default"/>
          <w:color w:val="auto"/>
          <w:lang w:val="en-US" w:eastAsia="zh-CN"/>
        </w:rPr>
      </w:pPr>
      <w:r>
        <w:rPr>
          <w:rFonts w:hint="default"/>
          <w:color w:val="auto"/>
          <w:lang w:val="en-US" w:eastAsia="zh-CN"/>
        </w:rPr>
        <w:t>材料规格、品牌、质量符合本技术要求及投标文件承诺，无擅自更换、混用情况；</w:t>
      </w:r>
    </w:p>
    <w:p>
      <w:pPr>
        <w:pStyle w:val="31"/>
        <w:bidi w:val="0"/>
        <w:rPr>
          <w:rFonts w:hint="default"/>
          <w:color w:val="auto"/>
          <w:lang w:val="en-US" w:eastAsia="zh-CN"/>
        </w:rPr>
      </w:pPr>
      <w:r>
        <w:rPr>
          <w:rFonts w:hint="eastAsia"/>
          <w:color w:val="auto"/>
          <w:lang w:val="en-US" w:eastAsia="zh-CN"/>
        </w:rPr>
        <w:t>施工前需根据各学校要求进行定版定样，一旦签字确认后，需严格按照样板材料进行施工，进场材料与样板对比，一致方可进行材料验收</w:t>
      </w:r>
      <w:r>
        <w:rPr>
          <w:rFonts w:hint="default"/>
          <w:color w:val="auto"/>
          <w:lang w:val="en-US" w:eastAsia="zh-CN"/>
        </w:rPr>
        <w:t>；</w:t>
      </w:r>
    </w:p>
    <w:p>
      <w:pPr>
        <w:pStyle w:val="31"/>
        <w:bidi w:val="0"/>
        <w:rPr>
          <w:rFonts w:hint="default"/>
          <w:color w:val="auto"/>
          <w:lang w:val="en-US" w:eastAsia="zh-CN"/>
        </w:rPr>
      </w:pPr>
      <w:r>
        <w:rPr>
          <w:rFonts w:hint="default"/>
          <w:color w:val="auto"/>
          <w:lang w:val="en-US" w:eastAsia="zh-CN"/>
        </w:rPr>
        <w:t>施工</w:t>
      </w:r>
      <w:r>
        <w:rPr>
          <w:rFonts w:hint="eastAsia"/>
          <w:color w:val="auto"/>
          <w:lang w:val="en-US" w:eastAsia="zh-CN"/>
        </w:rPr>
        <w:t>接</w:t>
      </w:r>
      <w:r>
        <w:rPr>
          <w:rFonts w:hint="default"/>
          <w:color w:val="auto"/>
          <w:lang w:val="en-US" w:eastAsia="zh-CN"/>
        </w:rPr>
        <w:t>缝处理平顺，无明显高差，粘结紧密，无分层、空鼓现象；</w:t>
      </w:r>
    </w:p>
    <w:p>
      <w:pPr>
        <w:pStyle w:val="31"/>
        <w:bidi w:val="0"/>
        <w:rPr>
          <w:rFonts w:hint="default"/>
          <w:color w:val="auto"/>
          <w:lang w:val="en-US" w:eastAsia="zh-CN"/>
        </w:rPr>
      </w:pPr>
      <w:r>
        <w:rPr>
          <w:rFonts w:hint="default"/>
          <w:color w:val="auto"/>
          <w:lang w:val="en-US" w:eastAsia="zh-CN"/>
        </w:rPr>
        <w:t>施工资料完整、规范，检测报告齐全，符合验收要求；</w:t>
      </w:r>
    </w:p>
    <w:p>
      <w:pPr>
        <w:pStyle w:val="31"/>
        <w:bidi w:val="0"/>
        <w:rPr>
          <w:rFonts w:hint="default"/>
          <w:color w:val="auto"/>
          <w:lang w:val="en-US" w:eastAsia="zh-CN"/>
        </w:rPr>
      </w:pPr>
      <w:r>
        <w:rPr>
          <w:rFonts w:hint="default"/>
          <w:color w:val="auto"/>
          <w:lang w:val="en-US" w:eastAsia="zh-CN"/>
        </w:rPr>
        <w:t>作业面清理干净，无废料、垃圾残留，临时设施已拆除，场地恢复至校方要求标准</w:t>
      </w:r>
      <w:r>
        <w:rPr>
          <w:rFonts w:hint="eastAsia"/>
          <w:color w:val="auto"/>
          <w:lang w:val="en-US" w:eastAsia="zh-CN"/>
        </w:rPr>
        <w:t>；运动场地在雨后30min后无积水，排水顺畅，无空鼓；</w:t>
      </w:r>
    </w:p>
    <w:p>
      <w:pPr>
        <w:pStyle w:val="31"/>
        <w:bidi w:val="0"/>
        <w:rPr>
          <w:rFonts w:hint="default"/>
          <w:color w:val="auto"/>
          <w:lang w:val="en-US" w:eastAsia="zh-CN"/>
        </w:rPr>
      </w:pPr>
      <w:r>
        <w:rPr>
          <w:rFonts w:hint="eastAsia"/>
          <w:color w:val="auto"/>
          <w:lang w:val="en-US" w:eastAsia="zh-CN"/>
        </w:rPr>
        <w:t>画线顺直，无毛刺，无堆积，线条宽度一致。</w:t>
      </w:r>
    </w:p>
    <w:p>
      <w:pPr>
        <w:pStyle w:val="22"/>
        <w:bidi w:val="0"/>
        <w:rPr>
          <w:rFonts w:hint="default"/>
          <w:color w:val="auto"/>
          <w:lang w:val="en-US" w:eastAsia="zh-CN"/>
        </w:rPr>
      </w:pPr>
      <w:r>
        <w:rPr>
          <w:rFonts w:hint="default"/>
          <w:color w:val="auto"/>
          <w:lang w:val="en-US" w:eastAsia="zh-CN"/>
        </w:rPr>
        <w:t>验收异议处理：验收过程中，各方对验收结果有异议的，须委托第三方检测机构进行复检，复检费用由责任方承担；复检合格的，视为验收通过；复检不合格的，中标方须无条件返工，直至验收合格，承担由此造成的全部损失及工期延误责任。</w:t>
      </w:r>
    </w:p>
    <w:p>
      <w:pPr>
        <w:pStyle w:val="22"/>
        <w:bidi w:val="0"/>
        <w:rPr>
          <w:rFonts w:hint="default"/>
          <w:color w:val="auto"/>
          <w:lang w:val="en-US" w:eastAsia="zh-CN"/>
        </w:rPr>
      </w:pPr>
      <w:r>
        <w:rPr>
          <w:rFonts w:hint="eastAsia"/>
          <w:color w:val="auto"/>
          <w:lang w:val="en-US" w:eastAsia="zh-CN"/>
        </w:rPr>
        <w:t>坡度验收要求详下表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3809"/>
        <w:gridCol w:w="2365"/>
        <w:gridCol w:w="2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Borders>
              <w:top w:val="single" w:color="000000" w:themeColor="dark1"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pPr>
              <w:pStyle w:val="32"/>
              <w:bidi w:val="0"/>
              <w:rPr>
                <w:rFonts w:hint="default"/>
                <w:b/>
                <w:i w:val="0"/>
                <w:color w:val="000000" w:themeColor="dark1"/>
                <w:lang w:val="en-US" w:eastAsia="zh-CN"/>
                <w14:textFill>
                  <w14:solidFill>
                    <w14:schemeClr w14:val="dk1"/>
                  </w14:solidFill>
                </w14:textFill>
              </w:rPr>
            </w:pPr>
            <w:r>
              <w:rPr>
                <w:rFonts w:hint="eastAsia"/>
                <w:b/>
                <w:i w:val="0"/>
                <w:color w:val="000000" w:themeColor="dark1"/>
                <w:lang w:val="en-US" w:eastAsia="zh-CN"/>
                <w14:textFill>
                  <w14:solidFill>
                    <w14:schemeClr w14:val="dk1"/>
                  </w14:solidFill>
                </w14:textFill>
              </w:rPr>
              <w:t>序号</w:t>
            </w:r>
          </w:p>
        </w:tc>
        <w:tc>
          <w:tcPr>
            <w:tcW w:w="3809" w:type="dxa"/>
            <w:tcBorders>
              <w:top w:val="single" w:color="000000" w:themeColor="dark1"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pPr>
              <w:pStyle w:val="32"/>
              <w:bidi w:val="0"/>
              <w:rPr>
                <w:rFonts w:hint="default"/>
                <w:b/>
                <w:i w:val="0"/>
                <w:color w:val="000000" w:themeColor="dark1"/>
                <w:lang w:val="en-US" w:eastAsia="zh-CN"/>
                <w14:textFill>
                  <w14:solidFill>
                    <w14:schemeClr w14:val="dk1"/>
                  </w14:solidFill>
                </w14:textFill>
              </w:rPr>
            </w:pPr>
            <w:r>
              <w:rPr>
                <w:rFonts w:hint="eastAsia"/>
                <w:b/>
                <w:i w:val="0"/>
                <w:color w:val="000000" w:themeColor="dark1"/>
                <w:lang w:val="en-US" w:eastAsia="zh-CN"/>
                <w14:textFill>
                  <w14:solidFill>
                    <w14:schemeClr w14:val="dk1"/>
                  </w14:solidFill>
                </w14:textFill>
              </w:rPr>
              <w:t>场地名称</w:t>
            </w:r>
          </w:p>
        </w:tc>
        <w:tc>
          <w:tcPr>
            <w:tcW w:w="2365" w:type="dxa"/>
            <w:tcBorders>
              <w:top w:val="single" w:color="000000" w:themeColor="dark1"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pPr>
              <w:pStyle w:val="32"/>
              <w:bidi w:val="0"/>
              <w:rPr>
                <w:rFonts w:hint="default"/>
                <w:b/>
                <w:i w:val="0"/>
                <w:color w:val="000000" w:themeColor="dark1"/>
                <w:lang w:val="en-US" w:eastAsia="zh-CN"/>
                <w14:textFill>
                  <w14:solidFill>
                    <w14:schemeClr w14:val="dk1"/>
                  </w14:solidFill>
                </w14:textFill>
              </w:rPr>
            </w:pPr>
            <w:r>
              <w:rPr>
                <w:rFonts w:hint="eastAsia"/>
                <w:b/>
                <w:i w:val="0"/>
                <w:color w:val="000000" w:themeColor="dark1"/>
                <w:lang w:val="en-US" w:eastAsia="zh-CN"/>
                <w14:textFill>
                  <w14:solidFill>
                    <w14:schemeClr w14:val="dk1"/>
                  </w14:solidFill>
                </w14:textFill>
              </w:rPr>
              <w:t>横向（短边）坡度</w:t>
            </w:r>
          </w:p>
        </w:tc>
        <w:tc>
          <w:tcPr>
            <w:tcW w:w="2365" w:type="dxa"/>
            <w:tcBorders>
              <w:top w:val="single" w:color="000000" w:themeColor="dark1"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center"/>
          </w:tcPr>
          <w:p>
            <w:pPr>
              <w:pStyle w:val="32"/>
              <w:bidi w:val="0"/>
              <w:rPr>
                <w:rFonts w:hint="default"/>
                <w:b/>
                <w:i w:val="0"/>
                <w:color w:val="000000" w:themeColor="dark1"/>
                <w:lang w:val="en-US" w:eastAsia="zh-CN"/>
                <w14:textFill>
                  <w14:solidFill>
                    <w14:schemeClr w14:val="dk1"/>
                  </w14:solidFill>
                </w14:textFill>
              </w:rPr>
            </w:pPr>
            <w:r>
              <w:rPr>
                <w:rFonts w:hint="eastAsia"/>
                <w:b/>
                <w:i w:val="0"/>
                <w:color w:val="000000" w:themeColor="dark1"/>
                <w:lang w:val="en-US" w:eastAsia="zh-CN"/>
                <w14:textFill>
                  <w14:solidFill>
                    <w14:schemeClr w14:val="dk1"/>
                  </w14:solidFill>
                </w14:textFill>
              </w:rPr>
              <w:t>纵向（长边）坡度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pPr>
              <w:pStyle w:val="32"/>
              <w:bidi w:val="0"/>
              <w:rPr>
                <w:rFonts w:hint="default"/>
                <w:b w:val="0"/>
                <w:i w:val="0"/>
                <w:color w:val="000000"/>
                <w:lang w:val="en-US" w:eastAsia="zh-CN"/>
              </w:rPr>
            </w:pPr>
            <w:r>
              <w:rPr>
                <w:rFonts w:hint="eastAsia"/>
                <w:b w:val="0"/>
                <w:i w:val="0"/>
                <w:color w:val="000000"/>
                <w:lang w:val="en-US" w:eastAsia="zh-CN"/>
              </w:rPr>
              <w:t>1</w:t>
            </w:r>
          </w:p>
        </w:tc>
        <w:tc>
          <w:tcPr>
            <w:tcW w:w="380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pPr>
              <w:pStyle w:val="32"/>
              <w:bidi w:val="0"/>
              <w:rPr>
                <w:rFonts w:hint="default"/>
                <w:b w:val="0"/>
                <w:i w:val="0"/>
                <w:color w:val="000000"/>
                <w:lang w:val="en-US" w:eastAsia="zh-CN"/>
              </w:rPr>
            </w:pPr>
            <w:r>
              <w:rPr>
                <w:rFonts w:hint="default"/>
                <w:b w:val="0"/>
                <w:i w:val="0"/>
                <w:color w:val="000000"/>
                <w:lang w:val="en-US" w:eastAsia="zh-CN"/>
              </w:rPr>
              <w:t>足球场（人工草坪，无渗水功能）</w:t>
            </w:r>
          </w:p>
        </w:tc>
        <w:tc>
          <w:tcPr>
            <w:tcW w:w="236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pPr>
              <w:pStyle w:val="32"/>
              <w:bidi w:val="0"/>
              <w:rPr>
                <w:rFonts w:hint="default"/>
                <w:b w:val="0"/>
                <w:i w:val="0"/>
                <w:color w:val="000000"/>
                <w:lang w:val="en-US" w:eastAsia="zh-CN"/>
              </w:rPr>
            </w:pPr>
            <w:r>
              <w:rPr>
                <w:rFonts w:hint="default"/>
                <w:b w:val="0"/>
                <w:i w:val="0"/>
                <w:color w:val="000000"/>
                <w:lang w:val="en-US" w:eastAsia="zh-CN"/>
              </w:rPr>
              <w:t>≤0.8%</w:t>
            </w:r>
          </w:p>
        </w:tc>
        <w:tc>
          <w:tcPr>
            <w:tcW w:w="2365"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center"/>
          </w:tcPr>
          <w:p>
            <w:pPr>
              <w:pStyle w:val="32"/>
              <w:bidi w:val="0"/>
              <w:rPr>
                <w:rFonts w:hint="default"/>
                <w:b w:val="0"/>
                <w:i w:val="0"/>
                <w:color w:val="000000"/>
                <w:lang w:val="en-US" w:eastAsia="zh-CN"/>
              </w:rPr>
            </w:pPr>
            <w:r>
              <w:rPr>
                <w:rFonts w:hint="default"/>
                <w:b w:val="0"/>
                <w:i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pPr>
              <w:pStyle w:val="32"/>
              <w:bidi w:val="0"/>
              <w:rPr>
                <w:rFonts w:hint="default"/>
                <w:b w:val="0"/>
                <w:i w:val="0"/>
                <w:color w:val="000000"/>
                <w:lang w:val="en-US" w:eastAsia="zh-CN"/>
              </w:rPr>
            </w:pPr>
            <w:r>
              <w:rPr>
                <w:rFonts w:hint="eastAsia"/>
                <w:b w:val="0"/>
                <w:i w:val="0"/>
                <w:color w:val="000000"/>
                <w:lang w:val="en-US" w:eastAsia="zh-CN"/>
              </w:rPr>
              <w:t>2</w:t>
            </w:r>
          </w:p>
        </w:tc>
        <w:tc>
          <w:tcPr>
            <w:tcW w:w="380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pPr>
              <w:pStyle w:val="32"/>
              <w:bidi w:val="0"/>
              <w:rPr>
                <w:rFonts w:hint="default"/>
                <w:b w:val="0"/>
                <w:i w:val="0"/>
                <w:color w:val="000000"/>
                <w:lang w:val="en-US" w:eastAsia="zh-CN"/>
              </w:rPr>
            </w:pPr>
            <w:r>
              <w:rPr>
                <w:rFonts w:hint="default"/>
                <w:b w:val="0"/>
                <w:i w:val="0"/>
                <w:color w:val="000000"/>
                <w:lang w:val="en-US" w:eastAsia="zh-CN"/>
              </w:rPr>
              <w:t>足球场（人工草坪，有渗水功能）</w:t>
            </w:r>
          </w:p>
        </w:tc>
        <w:tc>
          <w:tcPr>
            <w:tcW w:w="236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pPr>
              <w:pStyle w:val="32"/>
              <w:bidi w:val="0"/>
              <w:rPr>
                <w:rFonts w:hint="default"/>
                <w:b w:val="0"/>
                <w:i w:val="0"/>
                <w:color w:val="000000"/>
                <w:lang w:val="en-US" w:eastAsia="zh-CN"/>
              </w:rPr>
            </w:pPr>
            <w:r>
              <w:rPr>
                <w:rFonts w:hint="default"/>
                <w:b w:val="0"/>
                <w:i w:val="0"/>
                <w:color w:val="000000"/>
                <w:lang w:val="en-US" w:eastAsia="zh-CN"/>
              </w:rPr>
              <w:t>0.30%</w:t>
            </w:r>
          </w:p>
        </w:tc>
        <w:tc>
          <w:tcPr>
            <w:tcW w:w="2365"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center"/>
          </w:tcPr>
          <w:p>
            <w:pPr>
              <w:pStyle w:val="32"/>
              <w:bidi w:val="0"/>
              <w:rPr>
                <w:rFonts w:hint="default"/>
                <w:b w:val="0"/>
                <w:i w:val="0"/>
                <w:color w:val="000000"/>
                <w:lang w:val="en-US" w:eastAsia="zh-CN"/>
              </w:rPr>
            </w:pPr>
            <w:r>
              <w:rPr>
                <w:rFonts w:hint="default"/>
                <w:b w:val="0"/>
                <w:i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pPr>
              <w:pStyle w:val="32"/>
              <w:bidi w:val="0"/>
              <w:rPr>
                <w:rFonts w:hint="default"/>
                <w:b w:val="0"/>
                <w:i w:val="0"/>
                <w:color w:val="000000"/>
                <w:lang w:val="en-US" w:eastAsia="zh-CN"/>
              </w:rPr>
            </w:pPr>
            <w:r>
              <w:rPr>
                <w:rFonts w:hint="eastAsia"/>
                <w:b w:val="0"/>
                <w:i w:val="0"/>
                <w:color w:val="000000"/>
                <w:lang w:val="en-US" w:eastAsia="zh-CN"/>
              </w:rPr>
              <w:t>3</w:t>
            </w:r>
          </w:p>
        </w:tc>
        <w:tc>
          <w:tcPr>
            <w:tcW w:w="380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pPr>
              <w:pStyle w:val="32"/>
              <w:bidi w:val="0"/>
              <w:rPr>
                <w:rFonts w:hint="default"/>
                <w:b w:val="0"/>
                <w:i w:val="0"/>
                <w:color w:val="000000"/>
                <w:lang w:val="en-US" w:eastAsia="zh-CN"/>
              </w:rPr>
            </w:pPr>
            <w:r>
              <w:rPr>
                <w:rFonts w:hint="default"/>
                <w:b w:val="0"/>
                <w:i w:val="0"/>
                <w:color w:val="000000"/>
                <w:lang w:val="en-US" w:eastAsia="zh-CN"/>
              </w:rPr>
              <w:t>排球场、篮球场</w:t>
            </w:r>
          </w:p>
        </w:tc>
        <w:tc>
          <w:tcPr>
            <w:tcW w:w="236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pPr>
              <w:pStyle w:val="32"/>
              <w:bidi w:val="0"/>
              <w:rPr>
                <w:rFonts w:hint="default"/>
                <w:b w:val="0"/>
                <w:i w:val="0"/>
                <w:color w:val="000000"/>
                <w:lang w:val="en-US" w:eastAsia="zh-CN"/>
              </w:rPr>
            </w:pPr>
            <w:r>
              <w:rPr>
                <w:rFonts w:hint="default"/>
                <w:b w:val="0"/>
                <w:i w:val="0"/>
                <w:color w:val="000000"/>
                <w:lang w:val="en-US" w:eastAsia="zh-CN"/>
              </w:rPr>
              <w:t>0.3%∼0.5%</w:t>
            </w:r>
          </w:p>
        </w:tc>
        <w:tc>
          <w:tcPr>
            <w:tcW w:w="2365"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center"/>
          </w:tcPr>
          <w:p>
            <w:pPr>
              <w:pStyle w:val="32"/>
              <w:bidi w:val="0"/>
              <w:rPr>
                <w:rFonts w:hint="default"/>
                <w:b w:val="0"/>
                <w:i w:val="0"/>
                <w:color w:val="000000"/>
                <w:lang w:val="en-US" w:eastAsia="zh-CN"/>
              </w:rPr>
            </w:pPr>
            <w:r>
              <w:rPr>
                <w:rFonts w:hint="default"/>
                <w:b w:val="0"/>
                <w:i w:val="0"/>
                <w:color w:val="000000"/>
                <w:lang w:val="en-US" w:eastAsia="zh-CN"/>
              </w:rPr>
              <w:t>0.3%∼0.5%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Borders>
              <w:top w:val="single" w:color="999999" w:themeColor="dark1" w:themeTint="66" w:sz="6" w:space="0"/>
              <w:left w:val="single" w:color="000000" w:themeColor="dark1" w:sz="6" w:space="0"/>
              <w:bottom w:val="single" w:color="000000" w:themeColor="dark1" w:sz="6" w:space="0"/>
              <w:right w:val="single" w:color="999999" w:themeColor="dark1" w:themeTint="66" w:sz="6" w:space="0"/>
            </w:tcBorders>
            <w:shd w:val="clear" w:color="auto" w:fill="FFFFFF"/>
            <w:vAlign w:val="center"/>
          </w:tcPr>
          <w:p>
            <w:pPr>
              <w:pStyle w:val="32"/>
              <w:bidi w:val="0"/>
              <w:rPr>
                <w:rFonts w:hint="default"/>
                <w:b w:val="0"/>
                <w:i w:val="0"/>
                <w:color w:val="000000"/>
                <w:lang w:val="en-US" w:eastAsia="zh-CN"/>
              </w:rPr>
            </w:pPr>
            <w:r>
              <w:rPr>
                <w:rFonts w:hint="eastAsia"/>
                <w:b w:val="0"/>
                <w:i w:val="0"/>
                <w:color w:val="000000"/>
                <w:lang w:val="en-US" w:eastAsia="zh-CN"/>
              </w:rPr>
              <w:t>4</w:t>
            </w:r>
          </w:p>
        </w:tc>
        <w:tc>
          <w:tcPr>
            <w:tcW w:w="3809" w:type="dxa"/>
            <w:tcBorders>
              <w:top w:val="single" w:color="999999" w:themeColor="dark1" w:themeTint="66" w:sz="6" w:space="0"/>
              <w:left w:val="single" w:color="999999" w:themeColor="dark1" w:themeTint="66" w:sz="6" w:space="0"/>
              <w:bottom w:val="single" w:color="000000" w:themeColor="dark1" w:sz="6" w:space="0"/>
              <w:right w:val="single" w:color="999999" w:themeColor="dark1" w:themeTint="66" w:sz="6" w:space="0"/>
            </w:tcBorders>
            <w:shd w:val="clear" w:color="auto" w:fill="FFFFFF"/>
            <w:vAlign w:val="center"/>
          </w:tcPr>
          <w:p>
            <w:pPr>
              <w:pStyle w:val="32"/>
              <w:bidi w:val="0"/>
              <w:rPr>
                <w:rFonts w:hint="default"/>
                <w:b w:val="0"/>
                <w:i w:val="0"/>
                <w:color w:val="000000"/>
                <w:lang w:val="en-US" w:eastAsia="zh-CN"/>
              </w:rPr>
            </w:pPr>
            <w:r>
              <w:rPr>
                <w:rFonts w:hint="eastAsia"/>
                <w:b w:val="0"/>
                <w:i w:val="0"/>
                <w:color w:val="000000"/>
                <w:lang w:val="en-US" w:eastAsia="zh-CN"/>
              </w:rPr>
              <w:t>田径场（跑道）</w:t>
            </w:r>
          </w:p>
        </w:tc>
        <w:tc>
          <w:tcPr>
            <w:tcW w:w="2365" w:type="dxa"/>
            <w:tcBorders>
              <w:top w:val="single" w:color="999999" w:themeColor="dark1" w:themeTint="66" w:sz="6" w:space="0"/>
              <w:left w:val="single" w:color="999999" w:themeColor="dark1" w:themeTint="66" w:sz="6" w:space="0"/>
              <w:bottom w:val="single" w:color="000000" w:themeColor="dark1" w:sz="6" w:space="0"/>
              <w:right w:val="single" w:color="999999" w:themeColor="dark1" w:themeTint="66" w:sz="6" w:space="0"/>
            </w:tcBorders>
            <w:shd w:val="clear" w:color="auto" w:fill="FFFFFF"/>
            <w:vAlign w:val="center"/>
          </w:tcPr>
          <w:p>
            <w:pPr>
              <w:pStyle w:val="32"/>
              <w:bidi w:val="0"/>
              <w:rPr>
                <w:rFonts w:hint="default"/>
                <w:b w:val="0"/>
                <w:i w:val="0"/>
                <w:color w:val="000000"/>
                <w:lang w:val="en-US" w:eastAsia="zh-CN"/>
              </w:rPr>
            </w:pPr>
            <w:r>
              <w:rPr>
                <w:rFonts w:hint="eastAsia"/>
                <w:b w:val="0"/>
                <w:i w:val="0"/>
                <w:color w:val="000000"/>
                <w:lang w:val="en-US" w:eastAsia="zh-CN"/>
              </w:rPr>
              <w:t>≤1%（内低外高）</w:t>
            </w:r>
          </w:p>
        </w:tc>
        <w:tc>
          <w:tcPr>
            <w:tcW w:w="2365" w:type="dxa"/>
            <w:tcBorders>
              <w:top w:val="single" w:color="999999" w:themeColor="dark1" w:themeTint="66" w:sz="6" w:space="0"/>
              <w:left w:val="single" w:color="999999" w:themeColor="dark1" w:themeTint="66" w:sz="6" w:space="0"/>
              <w:bottom w:val="single" w:color="000000" w:themeColor="dark1" w:sz="6" w:space="0"/>
              <w:right w:val="single" w:color="000000" w:themeColor="dark1" w:sz="6" w:space="0"/>
            </w:tcBorders>
            <w:shd w:val="clear" w:color="auto" w:fill="FFFFFF"/>
            <w:vAlign w:val="center"/>
          </w:tcPr>
          <w:p>
            <w:pPr>
              <w:pStyle w:val="32"/>
              <w:bidi w:val="0"/>
              <w:rPr>
                <w:rFonts w:hint="default"/>
                <w:b w:val="0"/>
                <w:i w:val="0"/>
                <w:color w:val="000000"/>
                <w:lang w:val="en-US" w:eastAsia="zh-CN"/>
              </w:rPr>
            </w:pPr>
            <w:r>
              <w:rPr>
                <w:rFonts w:hint="eastAsia"/>
                <w:b w:val="0"/>
                <w:i w:val="0"/>
                <w:color w:val="000000"/>
                <w:lang w:val="en-US" w:eastAsia="zh-CN"/>
              </w:rPr>
              <w:t>≤1%（跑进方向）</w:t>
            </w:r>
          </w:p>
        </w:tc>
      </w:tr>
    </w:tbl>
    <w:p>
      <w:pPr>
        <w:pStyle w:val="22"/>
        <w:numPr>
          <w:ilvl w:val="5"/>
          <w:numId w:val="0"/>
        </w:numPr>
        <w:bidi w:val="0"/>
        <w:ind w:leftChars="200"/>
        <w:rPr>
          <w:rFonts w:hint="default"/>
          <w:color w:val="auto"/>
          <w:lang w:val="en-US" w:eastAsia="zh-CN"/>
        </w:rPr>
      </w:pPr>
    </w:p>
    <w:p>
      <w:pPr>
        <w:pStyle w:val="2"/>
        <w:numPr>
          <w:ilvl w:val="1"/>
          <w:numId w:val="0"/>
        </w:numPr>
        <w:jc w:val="both"/>
        <w:rPr>
          <w:rFonts w:hint="default"/>
          <w:color w:val="auto"/>
          <w:lang w:val="en-US" w:eastAsia="zh-CN"/>
        </w:rPr>
      </w:pPr>
    </w:p>
    <w:sectPr>
      <w:headerReference r:id="rId5" w:type="default"/>
      <w:footerReference r:id="rId6" w:type="default"/>
      <w:pgSz w:w="11906" w:h="16838"/>
      <w:pgMar w:top="1247" w:right="1247" w:bottom="1247" w:left="1247" w:header="680" w:footer="680" w:gutter="170"/>
      <w:pgNumType w:fmt="numberInDash"/>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3635057"/>
      <w:docPartObj>
        <w:docPartGallery w:val="autotext"/>
      </w:docPartObj>
    </w:sdtPr>
    <w:sdtContent>
      <w:p>
        <w:pPr>
          <w:tabs>
            <w:tab w:val="center" w:pos="4153"/>
            <w:tab w:val="right" w:pos="8306"/>
          </w:tabs>
          <w:ind w:firstLine="360"/>
          <w:jc w:val="center"/>
        </w:pPr>
        <w:r>
          <w:fldChar w:fldCharType="begin"/>
        </w:r>
        <w:r>
          <w:instrText xml:space="preserve">PAGE   \* MERGEFORMAT</w:instrText>
        </w:r>
        <w:r>
          <w:fldChar w:fldCharType="separate"/>
        </w:r>
        <w:r>
          <w:rPr>
            <w:lang w:val="zh-CN"/>
          </w:rPr>
          <w:t>-</w:t>
        </w:r>
        <w:r>
          <w:t xml:space="preserve"> 533 -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val="0"/>
      <w:keepLines w:val="0"/>
      <w:pageBreakBefore w:val="0"/>
      <w:widowControl w:val="0"/>
      <w:pBdr>
        <w:bottom w:val="single" w:color="auto" w:sz="4" w:space="0"/>
      </w:pBdr>
      <w:kinsoku/>
      <w:wordWrap/>
      <w:overflowPunct/>
      <w:topLinePunct w:val="0"/>
      <w:bidi w:val="0"/>
      <w:adjustRightInd/>
      <w:snapToGrid w:val="0"/>
      <w:spacing w:line="240" w:lineRule="auto"/>
      <w:ind w:left="0" w:leftChars="0" w:firstLine="0" w:firstLineChars="0"/>
      <w:jc w:val="left"/>
      <w:textAlignment w:val="auto"/>
      <w:rPr>
        <w:rFonts w:hint="default"/>
        <w:lang w:val="en-US"/>
      </w:rPr>
    </w:pPr>
    <w:r>
      <w:rPr>
        <w:rFonts w:hint="eastAsia"/>
        <w:b/>
        <w:bCs/>
        <w:sz w:val="44"/>
        <w:szCs w:val="52"/>
      </w:rPr>
      <w:drawing>
        <wp:inline distT="0" distB="0" distL="114300" distR="114300">
          <wp:extent cx="965835" cy="219710"/>
          <wp:effectExtent l="0" t="0" r="5715" b="8890"/>
          <wp:docPr id="112" name="图片 2" descr="南粤建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2" descr="南粤建筑"/>
                  <pic:cNvPicPr>
                    <a:picLocks noChangeAspect="1"/>
                  </pic:cNvPicPr>
                </pic:nvPicPr>
                <pic:blipFill>
                  <a:blip r:embed="rId1"/>
                  <a:stretch>
                    <a:fillRect/>
                  </a:stretch>
                </pic:blipFill>
                <pic:spPr>
                  <a:xfrm>
                    <a:off x="0" y="0"/>
                    <a:ext cx="965835" cy="219710"/>
                  </a:xfrm>
                  <a:prstGeom prst="rect">
                    <a:avLst/>
                  </a:prstGeom>
                  <a:noFill/>
                  <a:ln>
                    <a:noFill/>
                  </a:ln>
                </pic:spPr>
              </pic:pic>
            </a:graphicData>
          </a:graphic>
        </wp:inline>
      </w:drawing>
    </w:r>
    <w:r>
      <w:rPr>
        <w:rFonts w:hint="eastAsia"/>
        <w:b/>
        <w:bCs/>
        <w:sz w:val="44"/>
        <w:szCs w:val="52"/>
        <w:lang w:val="en-US" w:eastAsia="zh-CN"/>
      </w:rPr>
      <w:t xml:space="preserve">             </w:t>
    </w:r>
    <w:r>
      <w:rPr>
        <w:rFonts w:hint="eastAsia"/>
      </w:rPr>
      <w:t>珠海市香洲区中小学、幼儿园办学场所及停车场改造提升工程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620CDA"/>
    <w:multiLevelType w:val="multilevel"/>
    <w:tmpl w:val="24620CDA"/>
    <w:lvl w:ilvl="0" w:tentative="0">
      <w:start w:val="1"/>
      <w:numFmt w:val="chineseCountingThousand"/>
      <w:pStyle w:val="3"/>
      <w:suff w:val="space"/>
      <w:lvlText w:val="第 %1 章"/>
      <w:lvlJc w:val="left"/>
      <w:pPr>
        <w:ind w:left="0" w:firstLine="0"/>
      </w:pPr>
      <w:rPr>
        <w:rFonts w:hint="default" w:ascii="Times New Roman" w:hAnsi="Times New Roman" w:eastAsia="宋体"/>
        <w:b/>
        <w:i w:val="0"/>
        <w:color w:val="auto"/>
        <w:sz w:val="32"/>
        <w:u w:val="none"/>
      </w:rPr>
    </w:lvl>
    <w:lvl w:ilvl="1" w:tentative="0">
      <w:start w:val="1"/>
      <w:numFmt w:val="decimal"/>
      <w:pStyle w:val="2"/>
      <w:suff w:val="space"/>
      <w:lvlText w:val="第 %2 节"/>
      <w:lvlJc w:val="left"/>
      <w:pPr>
        <w:ind w:left="0" w:firstLine="57"/>
      </w:pPr>
      <w:rPr>
        <w:rFonts w:hint="default" w:ascii="Times New Roman" w:hAnsi="Times New Roman" w:eastAsia="宋体"/>
        <w:b/>
        <w:bCs w:val="0"/>
        <w:i w:val="0"/>
        <w:iCs w:val="0"/>
        <w:caps w:val="0"/>
        <w:smallCaps w:val="0"/>
        <w:strike w:val="0"/>
        <w:dstrike w:val="0"/>
        <w:outline w:val="0"/>
        <w:shadow w:val="0"/>
        <w:emboss w:val="0"/>
        <w:imprint w:val="0"/>
        <w:vanish w:val="0"/>
        <w:spacing w:val="0"/>
        <w:position w:val="0"/>
        <w:sz w:val="30"/>
        <w:u w:val="none"/>
        <w:vertAlign w:val="baseline"/>
        <w:lang w:val="en-US"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2" w:tentative="0">
      <w:start w:val="1"/>
      <w:numFmt w:val="decimal"/>
      <w:pStyle w:val="4"/>
      <w:suff w:val="space"/>
      <w:lvlText w:val="%2.%3"/>
      <w:lvlJc w:val="left"/>
      <w:pPr>
        <w:ind w:left="0" w:firstLine="0"/>
      </w:pPr>
      <w:rPr>
        <w:rFonts w:hint="default" w:ascii="Times New Roman" w:hAnsi="Times New Roman" w:eastAsia="宋体"/>
        <w:b/>
        <w:i w:val="0"/>
        <w:sz w:val="28"/>
        <w:u w:val="none"/>
      </w:rPr>
    </w:lvl>
    <w:lvl w:ilvl="3" w:tentative="0">
      <w:start w:val="1"/>
      <w:numFmt w:val="decimal"/>
      <w:pStyle w:val="5"/>
      <w:suff w:val="space"/>
      <w:lvlText w:val="%2.%3.%4"/>
      <w:lvlJc w:val="left"/>
      <w:pPr>
        <w:ind w:left="1135" w:firstLine="0"/>
      </w:pPr>
      <w:rPr>
        <w:rFonts w:hint="default" w:ascii="Times New Roman" w:hAnsi="Times New Roman" w:eastAsia="宋体"/>
        <w:b w:val="0"/>
        <w:i w:val="0"/>
        <w:sz w:val="24"/>
        <w:u w:val="none"/>
      </w:rPr>
    </w:lvl>
    <w:lvl w:ilvl="4" w:tentative="0">
      <w:start w:val="1"/>
      <w:numFmt w:val="decimal"/>
      <w:pStyle w:val="6"/>
      <w:suff w:val="space"/>
      <w:lvlText w:val="%2.%3.%4.%5"/>
      <w:lvlJc w:val="left"/>
      <w:pPr>
        <w:ind w:left="710" w:firstLine="0"/>
      </w:pPr>
      <w:rPr>
        <w:rFonts w:hint="default" w:ascii="Times New Roman" w:hAnsi="Times New Roman" w:eastAsia="宋体"/>
        <w:b w:val="0"/>
        <w:i w:val="0"/>
        <w:sz w:val="24"/>
        <w:u w:val="none"/>
      </w:rPr>
    </w:lvl>
    <w:lvl w:ilvl="5" w:tentative="0">
      <w:start w:val="1"/>
      <w:numFmt w:val="decimal"/>
      <w:pStyle w:val="22"/>
      <w:suff w:val="space"/>
      <w:lvlText w:val="(%6)"/>
      <w:lvlJc w:val="left"/>
      <w:pPr>
        <w:ind w:left="425" w:firstLine="284"/>
      </w:pPr>
      <w:rPr>
        <w:rFonts w:hint="default" w:ascii="Times New Roman" w:hAnsi="Times New Roman" w:eastAsia="宋体"/>
        <w:b w:val="0"/>
        <w:i w:val="0"/>
        <w:color w:val="auto"/>
        <w:sz w:val="24"/>
        <w:u w:val="none"/>
      </w:rPr>
    </w:lvl>
    <w:lvl w:ilvl="6" w:tentative="0">
      <w:start w:val="1"/>
      <w:numFmt w:val="decimal"/>
      <w:pStyle w:val="31"/>
      <w:suff w:val="space"/>
      <w:lvlText w:val="%7)"/>
      <w:lvlJc w:val="left"/>
      <w:pPr>
        <w:ind w:left="0" w:firstLine="454"/>
      </w:pPr>
      <w:rPr>
        <w:rFonts w:hint="default" w:ascii="Times New Roman" w:hAnsi="Times New Roman" w:eastAsia="宋体"/>
        <w:b w:val="0"/>
        <w:i w:val="0"/>
        <w:color w:val="auto"/>
        <w:sz w:val="24"/>
        <w:u w:val="none"/>
      </w:rPr>
    </w:lvl>
    <w:lvl w:ilvl="7" w:tentative="0">
      <w:start w:val="1"/>
      <w:numFmt w:val="decimal"/>
      <w:lvlRestart w:val="5"/>
      <w:pStyle w:val="27"/>
      <w:suff w:val="space"/>
      <w:lvlText w:val="表%1.%2.%3.%4-%8"/>
      <w:lvlJc w:val="left"/>
      <w:pPr>
        <w:ind w:left="0" w:firstLine="0"/>
      </w:pPr>
      <w:rPr>
        <w:rFonts w:hint="default" w:ascii="Times New Roman" w:hAnsi="Times New Roman" w:eastAsia="黑体"/>
        <w:b w:val="0"/>
        <w:i w:val="0"/>
        <w:sz w:val="24"/>
        <w:u w:val="none"/>
      </w:rPr>
    </w:lvl>
    <w:lvl w:ilvl="8" w:tentative="0">
      <w:start w:val="1"/>
      <w:numFmt w:val="decimal"/>
      <w:pStyle w:val="29"/>
      <w:suff w:val="space"/>
      <w:lvlText w:val="图%1.%2.%3.%4-%9"/>
      <w:lvlJc w:val="left"/>
      <w:pPr>
        <w:ind w:left="3686" w:firstLine="0"/>
      </w:pPr>
      <w:rPr>
        <w:rFonts w:hint="eastAsia"/>
        <w:b w:val="0"/>
        <w:bCs w:val="0"/>
        <w:i w:val="0"/>
        <w:iCs w:val="0"/>
        <w:caps w:val="0"/>
        <w:smallCaps w:val="0"/>
        <w:strike w:val="0"/>
        <w:dstrike w:val="0"/>
        <w:outline w:val="0"/>
        <w:shadow w:val="0"/>
        <w:emboss w:val="0"/>
        <w:imprint w:val="0"/>
        <w:vanish w:val="0"/>
        <w:color w:val="auto"/>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6A6"/>
    <w:rsid w:val="0000066D"/>
    <w:rsid w:val="000006BD"/>
    <w:rsid w:val="00000924"/>
    <w:rsid w:val="0000407C"/>
    <w:rsid w:val="00004DFE"/>
    <w:rsid w:val="00005E7D"/>
    <w:rsid w:val="00006D19"/>
    <w:rsid w:val="000102E2"/>
    <w:rsid w:val="00010DC8"/>
    <w:rsid w:val="000118AA"/>
    <w:rsid w:val="00013496"/>
    <w:rsid w:val="00013B6E"/>
    <w:rsid w:val="00015829"/>
    <w:rsid w:val="00015F96"/>
    <w:rsid w:val="000174E3"/>
    <w:rsid w:val="00017B92"/>
    <w:rsid w:val="00020A29"/>
    <w:rsid w:val="00021890"/>
    <w:rsid w:val="00021B13"/>
    <w:rsid w:val="00022B2F"/>
    <w:rsid w:val="000241E0"/>
    <w:rsid w:val="0003011C"/>
    <w:rsid w:val="00030351"/>
    <w:rsid w:val="000306BC"/>
    <w:rsid w:val="0003276C"/>
    <w:rsid w:val="00032968"/>
    <w:rsid w:val="0003332E"/>
    <w:rsid w:val="00033FDA"/>
    <w:rsid w:val="00034227"/>
    <w:rsid w:val="000346CC"/>
    <w:rsid w:val="00034E4F"/>
    <w:rsid w:val="00034EE4"/>
    <w:rsid w:val="00035F71"/>
    <w:rsid w:val="000362FF"/>
    <w:rsid w:val="0003697F"/>
    <w:rsid w:val="00037148"/>
    <w:rsid w:val="0004145D"/>
    <w:rsid w:val="00042154"/>
    <w:rsid w:val="00047500"/>
    <w:rsid w:val="0005050A"/>
    <w:rsid w:val="00050C87"/>
    <w:rsid w:val="00052B0D"/>
    <w:rsid w:val="000544ED"/>
    <w:rsid w:val="000549AE"/>
    <w:rsid w:val="00055F4D"/>
    <w:rsid w:val="00056972"/>
    <w:rsid w:val="00056EB2"/>
    <w:rsid w:val="000579EB"/>
    <w:rsid w:val="00057DCC"/>
    <w:rsid w:val="00061C06"/>
    <w:rsid w:val="00062C39"/>
    <w:rsid w:val="00063D65"/>
    <w:rsid w:val="000654C0"/>
    <w:rsid w:val="00065F5A"/>
    <w:rsid w:val="0006601A"/>
    <w:rsid w:val="0006651E"/>
    <w:rsid w:val="00066CCD"/>
    <w:rsid w:val="00067CC4"/>
    <w:rsid w:val="00070DC2"/>
    <w:rsid w:val="00071804"/>
    <w:rsid w:val="00071A43"/>
    <w:rsid w:val="00074808"/>
    <w:rsid w:val="0007498B"/>
    <w:rsid w:val="00077632"/>
    <w:rsid w:val="00077A0C"/>
    <w:rsid w:val="00077C81"/>
    <w:rsid w:val="00082A45"/>
    <w:rsid w:val="00083706"/>
    <w:rsid w:val="00085386"/>
    <w:rsid w:val="0008754E"/>
    <w:rsid w:val="00087D71"/>
    <w:rsid w:val="00090B88"/>
    <w:rsid w:val="00090D6D"/>
    <w:rsid w:val="00091112"/>
    <w:rsid w:val="00095810"/>
    <w:rsid w:val="00096A2D"/>
    <w:rsid w:val="000A1F97"/>
    <w:rsid w:val="000A2917"/>
    <w:rsid w:val="000A2C24"/>
    <w:rsid w:val="000A327A"/>
    <w:rsid w:val="000A35D9"/>
    <w:rsid w:val="000A5867"/>
    <w:rsid w:val="000A7293"/>
    <w:rsid w:val="000A7A3D"/>
    <w:rsid w:val="000B0460"/>
    <w:rsid w:val="000B11FA"/>
    <w:rsid w:val="000B1708"/>
    <w:rsid w:val="000B4659"/>
    <w:rsid w:val="000B492D"/>
    <w:rsid w:val="000B57E1"/>
    <w:rsid w:val="000B7C84"/>
    <w:rsid w:val="000C033D"/>
    <w:rsid w:val="000C18F7"/>
    <w:rsid w:val="000C1B5D"/>
    <w:rsid w:val="000C299B"/>
    <w:rsid w:val="000C3C0C"/>
    <w:rsid w:val="000C3DC0"/>
    <w:rsid w:val="000C4133"/>
    <w:rsid w:val="000C4EC0"/>
    <w:rsid w:val="000D0850"/>
    <w:rsid w:val="000D0B77"/>
    <w:rsid w:val="000D1DB1"/>
    <w:rsid w:val="000D2949"/>
    <w:rsid w:val="000D3630"/>
    <w:rsid w:val="000D4870"/>
    <w:rsid w:val="000D568C"/>
    <w:rsid w:val="000D5C1F"/>
    <w:rsid w:val="000D5CD9"/>
    <w:rsid w:val="000D67DA"/>
    <w:rsid w:val="000D6EE1"/>
    <w:rsid w:val="000D7743"/>
    <w:rsid w:val="000E04DD"/>
    <w:rsid w:val="000E0929"/>
    <w:rsid w:val="000E0980"/>
    <w:rsid w:val="000E26D0"/>
    <w:rsid w:val="000E34DF"/>
    <w:rsid w:val="000E3AE7"/>
    <w:rsid w:val="000E3FB7"/>
    <w:rsid w:val="000E40B6"/>
    <w:rsid w:val="000E4787"/>
    <w:rsid w:val="000E5A00"/>
    <w:rsid w:val="000E5EF6"/>
    <w:rsid w:val="000F0AF9"/>
    <w:rsid w:val="000F77CC"/>
    <w:rsid w:val="000F7EFD"/>
    <w:rsid w:val="0010015F"/>
    <w:rsid w:val="00102CF6"/>
    <w:rsid w:val="00103FE9"/>
    <w:rsid w:val="00104CBC"/>
    <w:rsid w:val="00105415"/>
    <w:rsid w:val="001064A8"/>
    <w:rsid w:val="0011009E"/>
    <w:rsid w:val="00110DBC"/>
    <w:rsid w:val="00111DFB"/>
    <w:rsid w:val="00112AE9"/>
    <w:rsid w:val="00113099"/>
    <w:rsid w:val="00113F44"/>
    <w:rsid w:val="001171FC"/>
    <w:rsid w:val="00117F5F"/>
    <w:rsid w:val="001224A1"/>
    <w:rsid w:val="00123657"/>
    <w:rsid w:val="001252BE"/>
    <w:rsid w:val="001252F6"/>
    <w:rsid w:val="00125E19"/>
    <w:rsid w:val="00125F3C"/>
    <w:rsid w:val="00126742"/>
    <w:rsid w:val="00126F77"/>
    <w:rsid w:val="0012719D"/>
    <w:rsid w:val="00130333"/>
    <w:rsid w:val="00131556"/>
    <w:rsid w:val="0013197E"/>
    <w:rsid w:val="001319AC"/>
    <w:rsid w:val="00132AB1"/>
    <w:rsid w:val="00132FF3"/>
    <w:rsid w:val="00137B4F"/>
    <w:rsid w:val="00140900"/>
    <w:rsid w:val="00141214"/>
    <w:rsid w:val="0014180E"/>
    <w:rsid w:val="00142DE0"/>
    <w:rsid w:val="00144E89"/>
    <w:rsid w:val="001456DD"/>
    <w:rsid w:val="00145B98"/>
    <w:rsid w:val="00146A0C"/>
    <w:rsid w:val="00146DBB"/>
    <w:rsid w:val="0015026C"/>
    <w:rsid w:val="00150801"/>
    <w:rsid w:val="00150B9B"/>
    <w:rsid w:val="00150D76"/>
    <w:rsid w:val="0015150E"/>
    <w:rsid w:val="00152A5F"/>
    <w:rsid w:val="0015373F"/>
    <w:rsid w:val="00153E42"/>
    <w:rsid w:val="001571AA"/>
    <w:rsid w:val="00157F50"/>
    <w:rsid w:val="001618CB"/>
    <w:rsid w:val="00162CFD"/>
    <w:rsid w:val="00164B60"/>
    <w:rsid w:val="001650CB"/>
    <w:rsid w:val="00165C34"/>
    <w:rsid w:val="00167DD1"/>
    <w:rsid w:val="00170D6E"/>
    <w:rsid w:val="001717D9"/>
    <w:rsid w:val="00174CAF"/>
    <w:rsid w:val="00174ECD"/>
    <w:rsid w:val="00175307"/>
    <w:rsid w:val="00175D61"/>
    <w:rsid w:val="00176BC6"/>
    <w:rsid w:val="00180670"/>
    <w:rsid w:val="0018128A"/>
    <w:rsid w:val="00182B57"/>
    <w:rsid w:val="00182B66"/>
    <w:rsid w:val="001833F3"/>
    <w:rsid w:val="00185121"/>
    <w:rsid w:val="00185D4C"/>
    <w:rsid w:val="001863C7"/>
    <w:rsid w:val="0018724B"/>
    <w:rsid w:val="00190908"/>
    <w:rsid w:val="0019230E"/>
    <w:rsid w:val="00192B3F"/>
    <w:rsid w:val="00194452"/>
    <w:rsid w:val="00196168"/>
    <w:rsid w:val="001A034C"/>
    <w:rsid w:val="001A0F46"/>
    <w:rsid w:val="001A1287"/>
    <w:rsid w:val="001A1894"/>
    <w:rsid w:val="001A1D80"/>
    <w:rsid w:val="001A391B"/>
    <w:rsid w:val="001A408F"/>
    <w:rsid w:val="001A5FFF"/>
    <w:rsid w:val="001A6A0E"/>
    <w:rsid w:val="001A6C33"/>
    <w:rsid w:val="001A7849"/>
    <w:rsid w:val="001B22FE"/>
    <w:rsid w:val="001B27FC"/>
    <w:rsid w:val="001B3183"/>
    <w:rsid w:val="001B3F8F"/>
    <w:rsid w:val="001B46DE"/>
    <w:rsid w:val="001B5BE4"/>
    <w:rsid w:val="001B5DED"/>
    <w:rsid w:val="001B74E2"/>
    <w:rsid w:val="001C0C7C"/>
    <w:rsid w:val="001C12B9"/>
    <w:rsid w:val="001C2307"/>
    <w:rsid w:val="001C33AD"/>
    <w:rsid w:val="001C3F6F"/>
    <w:rsid w:val="001C43F2"/>
    <w:rsid w:val="001C5780"/>
    <w:rsid w:val="001C5E35"/>
    <w:rsid w:val="001C6197"/>
    <w:rsid w:val="001C67C0"/>
    <w:rsid w:val="001D02BB"/>
    <w:rsid w:val="001D11CB"/>
    <w:rsid w:val="001D2A54"/>
    <w:rsid w:val="001D3037"/>
    <w:rsid w:val="001D3465"/>
    <w:rsid w:val="001D475E"/>
    <w:rsid w:val="001D5633"/>
    <w:rsid w:val="001D74C4"/>
    <w:rsid w:val="001E0814"/>
    <w:rsid w:val="001E0833"/>
    <w:rsid w:val="001E0BE1"/>
    <w:rsid w:val="001E1473"/>
    <w:rsid w:val="001E14CB"/>
    <w:rsid w:val="001E1A69"/>
    <w:rsid w:val="001E2C03"/>
    <w:rsid w:val="001E2C9B"/>
    <w:rsid w:val="001E46A4"/>
    <w:rsid w:val="001E5EA7"/>
    <w:rsid w:val="001E611A"/>
    <w:rsid w:val="001E6257"/>
    <w:rsid w:val="001E729E"/>
    <w:rsid w:val="001F02D0"/>
    <w:rsid w:val="001F12B1"/>
    <w:rsid w:val="001F2758"/>
    <w:rsid w:val="001F4D89"/>
    <w:rsid w:val="001F72E7"/>
    <w:rsid w:val="00200144"/>
    <w:rsid w:val="002005F1"/>
    <w:rsid w:val="0020140A"/>
    <w:rsid w:val="002016A4"/>
    <w:rsid w:val="00201D90"/>
    <w:rsid w:val="0020350A"/>
    <w:rsid w:val="00203BEC"/>
    <w:rsid w:val="00203CEC"/>
    <w:rsid w:val="00203F34"/>
    <w:rsid w:val="00204E3B"/>
    <w:rsid w:val="002079EB"/>
    <w:rsid w:val="00211CEA"/>
    <w:rsid w:val="002123B7"/>
    <w:rsid w:val="0021293E"/>
    <w:rsid w:val="0021346F"/>
    <w:rsid w:val="00214F75"/>
    <w:rsid w:val="00216CFB"/>
    <w:rsid w:val="00220BE9"/>
    <w:rsid w:val="00221D55"/>
    <w:rsid w:val="0022205E"/>
    <w:rsid w:val="00223668"/>
    <w:rsid w:val="002244B9"/>
    <w:rsid w:val="00225058"/>
    <w:rsid w:val="00225736"/>
    <w:rsid w:val="002267D9"/>
    <w:rsid w:val="002268E7"/>
    <w:rsid w:val="0022744C"/>
    <w:rsid w:val="002278F9"/>
    <w:rsid w:val="00227F6E"/>
    <w:rsid w:val="00230435"/>
    <w:rsid w:val="00230F10"/>
    <w:rsid w:val="00231508"/>
    <w:rsid w:val="002320C1"/>
    <w:rsid w:val="00232E44"/>
    <w:rsid w:val="002334B0"/>
    <w:rsid w:val="002334DF"/>
    <w:rsid w:val="00234AE1"/>
    <w:rsid w:val="0023586F"/>
    <w:rsid w:val="00236356"/>
    <w:rsid w:val="002367E6"/>
    <w:rsid w:val="00240E62"/>
    <w:rsid w:val="0024153E"/>
    <w:rsid w:val="00242F40"/>
    <w:rsid w:val="002434D1"/>
    <w:rsid w:val="00246191"/>
    <w:rsid w:val="00252133"/>
    <w:rsid w:val="00252C04"/>
    <w:rsid w:val="00253F7E"/>
    <w:rsid w:val="00254C4E"/>
    <w:rsid w:val="00260836"/>
    <w:rsid w:val="00261C4A"/>
    <w:rsid w:val="00262182"/>
    <w:rsid w:val="00262B4E"/>
    <w:rsid w:val="002631D3"/>
    <w:rsid w:val="00265B4D"/>
    <w:rsid w:val="002667A8"/>
    <w:rsid w:val="00266BC9"/>
    <w:rsid w:val="00267060"/>
    <w:rsid w:val="00272C13"/>
    <w:rsid w:val="002744F0"/>
    <w:rsid w:val="0027564A"/>
    <w:rsid w:val="00276752"/>
    <w:rsid w:val="002774FE"/>
    <w:rsid w:val="002807AC"/>
    <w:rsid w:val="00282473"/>
    <w:rsid w:val="0028521D"/>
    <w:rsid w:val="00287241"/>
    <w:rsid w:val="00291DC1"/>
    <w:rsid w:val="00291ED9"/>
    <w:rsid w:val="002939BF"/>
    <w:rsid w:val="002950DC"/>
    <w:rsid w:val="00295897"/>
    <w:rsid w:val="00295A77"/>
    <w:rsid w:val="00296C52"/>
    <w:rsid w:val="00296C8C"/>
    <w:rsid w:val="00296CF9"/>
    <w:rsid w:val="00297261"/>
    <w:rsid w:val="00297E42"/>
    <w:rsid w:val="002A2C45"/>
    <w:rsid w:val="002A2C95"/>
    <w:rsid w:val="002A31A6"/>
    <w:rsid w:val="002A351A"/>
    <w:rsid w:val="002A48BC"/>
    <w:rsid w:val="002A521E"/>
    <w:rsid w:val="002A544C"/>
    <w:rsid w:val="002A612B"/>
    <w:rsid w:val="002A67FE"/>
    <w:rsid w:val="002A784F"/>
    <w:rsid w:val="002B2352"/>
    <w:rsid w:val="002B324C"/>
    <w:rsid w:val="002B419D"/>
    <w:rsid w:val="002B5B62"/>
    <w:rsid w:val="002B5DB6"/>
    <w:rsid w:val="002B72B0"/>
    <w:rsid w:val="002C0CC3"/>
    <w:rsid w:val="002C218E"/>
    <w:rsid w:val="002C2893"/>
    <w:rsid w:val="002C3D41"/>
    <w:rsid w:val="002C49DB"/>
    <w:rsid w:val="002C56AD"/>
    <w:rsid w:val="002C5F0A"/>
    <w:rsid w:val="002C69F1"/>
    <w:rsid w:val="002C6D1A"/>
    <w:rsid w:val="002C75CB"/>
    <w:rsid w:val="002C75CF"/>
    <w:rsid w:val="002D0440"/>
    <w:rsid w:val="002D0458"/>
    <w:rsid w:val="002D2538"/>
    <w:rsid w:val="002D3F4D"/>
    <w:rsid w:val="002D4B39"/>
    <w:rsid w:val="002D5214"/>
    <w:rsid w:val="002D5987"/>
    <w:rsid w:val="002D5C31"/>
    <w:rsid w:val="002D77E4"/>
    <w:rsid w:val="002E07F0"/>
    <w:rsid w:val="002E0D40"/>
    <w:rsid w:val="002E1120"/>
    <w:rsid w:val="002E128B"/>
    <w:rsid w:val="002E1B33"/>
    <w:rsid w:val="002E23FE"/>
    <w:rsid w:val="002E2429"/>
    <w:rsid w:val="002E3925"/>
    <w:rsid w:val="002E39E1"/>
    <w:rsid w:val="002E4F26"/>
    <w:rsid w:val="002E5D0F"/>
    <w:rsid w:val="002E6DAC"/>
    <w:rsid w:val="002E79DB"/>
    <w:rsid w:val="002E7E46"/>
    <w:rsid w:val="002E7F9E"/>
    <w:rsid w:val="002F0F86"/>
    <w:rsid w:val="002F1245"/>
    <w:rsid w:val="002F5DA4"/>
    <w:rsid w:val="002F6BBF"/>
    <w:rsid w:val="002F7F66"/>
    <w:rsid w:val="0030129C"/>
    <w:rsid w:val="00303A3D"/>
    <w:rsid w:val="00304E58"/>
    <w:rsid w:val="0030627B"/>
    <w:rsid w:val="003117E9"/>
    <w:rsid w:val="00312B0F"/>
    <w:rsid w:val="00312EB6"/>
    <w:rsid w:val="003140DE"/>
    <w:rsid w:val="00314AF0"/>
    <w:rsid w:val="00315D83"/>
    <w:rsid w:val="00316D63"/>
    <w:rsid w:val="00317DD6"/>
    <w:rsid w:val="00322B2C"/>
    <w:rsid w:val="0032350A"/>
    <w:rsid w:val="00324C5C"/>
    <w:rsid w:val="003251CC"/>
    <w:rsid w:val="00325F8B"/>
    <w:rsid w:val="00327E0C"/>
    <w:rsid w:val="0033050F"/>
    <w:rsid w:val="003317D1"/>
    <w:rsid w:val="0033397F"/>
    <w:rsid w:val="00333B1C"/>
    <w:rsid w:val="00333CF8"/>
    <w:rsid w:val="003353BB"/>
    <w:rsid w:val="0033618D"/>
    <w:rsid w:val="0033680B"/>
    <w:rsid w:val="00336921"/>
    <w:rsid w:val="00336AEA"/>
    <w:rsid w:val="0033761B"/>
    <w:rsid w:val="00337B09"/>
    <w:rsid w:val="00337DC8"/>
    <w:rsid w:val="00340F9A"/>
    <w:rsid w:val="00341D47"/>
    <w:rsid w:val="00345615"/>
    <w:rsid w:val="003457C6"/>
    <w:rsid w:val="0034624C"/>
    <w:rsid w:val="00350027"/>
    <w:rsid w:val="00350F03"/>
    <w:rsid w:val="00351CB2"/>
    <w:rsid w:val="00353AE8"/>
    <w:rsid w:val="00353D16"/>
    <w:rsid w:val="00353F49"/>
    <w:rsid w:val="003548E2"/>
    <w:rsid w:val="0035752C"/>
    <w:rsid w:val="00361DBF"/>
    <w:rsid w:val="003634C2"/>
    <w:rsid w:val="00363752"/>
    <w:rsid w:val="003659BD"/>
    <w:rsid w:val="00366435"/>
    <w:rsid w:val="00367F23"/>
    <w:rsid w:val="00371398"/>
    <w:rsid w:val="00371663"/>
    <w:rsid w:val="00371C8E"/>
    <w:rsid w:val="00373D17"/>
    <w:rsid w:val="0037483D"/>
    <w:rsid w:val="00374930"/>
    <w:rsid w:val="00374D25"/>
    <w:rsid w:val="00375A67"/>
    <w:rsid w:val="00375FB1"/>
    <w:rsid w:val="0037654D"/>
    <w:rsid w:val="003875B7"/>
    <w:rsid w:val="00390817"/>
    <w:rsid w:val="0039110D"/>
    <w:rsid w:val="00391AD2"/>
    <w:rsid w:val="003929BC"/>
    <w:rsid w:val="00393064"/>
    <w:rsid w:val="00394595"/>
    <w:rsid w:val="003951DA"/>
    <w:rsid w:val="0039587D"/>
    <w:rsid w:val="003959BB"/>
    <w:rsid w:val="00397528"/>
    <w:rsid w:val="0039779A"/>
    <w:rsid w:val="003A17FA"/>
    <w:rsid w:val="003A29AF"/>
    <w:rsid w:val="003A2E6B"/>
    <w:rsid w:val="003A34A7"/>
    <w:rsid w:val="003A3860"/>
    <w:rsid w:val="003A3F3D"/>
    <w:rsid w:val="003A52E1"/>
    <w:rsid w:val="003A5B66"/>
    <w:rsid w:val="003A5D86"/>
    <w:rsid w:val="003B0034"/>
    <w:rsid w:val="003B11D7"/>
    <w:rsid w:val="003B11FA"/>
    <w:rsid w:val="003B15DE"/>
    <w:rsid w:val="003B2CEE"/>
    <w:rsid w:val="003B2E94"/>
    <w:rsid w:val="003B757D"/>
    <w:rsid w:val="003B7BBF"/>
    <w:rsid w:val="003C2BD8"/>
    <w:rsid w:val="003C5D95"/>
    <w:rsid w:val="003D00EE"/>
    <w:rsid w:val="003D1E2D"/>
    <w:rsid w:val="003D246C"/>
    <w:rsid w:val="003D4235"/>
    <w:rsid w:val="003D45B8"/>
    <w:rsid w:val="003D4A87"/>
    <w:rsid w:val="003D51C6"/>
    <w:rsid w:val="003D51CC"/>
    <w:rsid w:val="003D5532"/>
    <w:rsid w:val="003D6E7A"/>
    <w:rsid w:val="003E10BC"/>
    <w:rsid w:val="003E1B87"/>
    <w:rsid w:val="003E2022"/>
    <w:rsid w:val="003E2569"/>
    <w:rsid w:val="003E3D0B"/>
    <w:rsid w:val="003E4A60"/>
    <w:rsid w:val="003E5262"/>
    <w:rsid w:val="003E5DFE"/>
    <w:rsid w:val="003E5E39"/>
    <w:rsid w:val="003E6CF1"/>
    <w:rsid w:val="003E7E25"/>
    <w:rsid w:val="003F0CC7"/>
    <w:rsid w:val="003F1CA4"/>
    <w:rsid w:val="003F2609"/>
    <w:rsid w:val="003F33CE"/>
    <w:rsid w:val="003F3C3F"/>
    <w:rsid w:val="003F4385"/>
    <w:rsid w:val="003F4BAA"/>
    <w:rsid w:val="003F598E"/>
    <w:rsid w:val="003F59AC"/>
    <w:rsid w:val="003F6040"/>
    <w:rsid w:val="003F61AF"/>
    <w:rsid w:val="003F711B"/>
    <w:rsid w:val="003F7F34"/>
    <w:rsid w:val="004002DC"/>
    <w:rsid w:val="00404A2C"/>
    <w:rsid w:val="004072A7"/>
    <w:rsid w:val="0041045A"/>
    <w:rsid w:val="00411F5C"/>
    <w:rsid w:val="00415232"/>
    <w:rsid w:val="00415786"/>
    <w:rsid w:val="00420D6B"/>
    <w:rsid w:val="004224C2"/>
    <w:rsid w:val="00425CB0"/>
    <w:rsid w:val="00426036"/>
    <w:rsid w:val="00426862"/>
    <w:rsid w:val="00430A79"/>
    <w:rsid w:val="00431E2B"/>
    <w:rsid w:val="00433529"/>
    <w:rsid w:val="00435AC4"/>
    <w:rsid w:val="004367C9"/>
    <w:rsid w:val="00440AFF"/>
    <w:rsid w:val="00442CE8"/>
    <w:rsid w:val="00443735"/>
    <w:rsid w:val="00443983"/>
    <w:rsid w:val="00444A73"/>
    <w:rsid w:val="00447217"/>
    <w:rsid w:val="0044757B"/>
    <w:rsid w:val="0045049C"/>
    <w:rsid w:val="00451410"/>
    <w:rsid w:val="004525D4"/>
    <w:rsid w:val="004530E6"/>
    <w:rsid w:val="00453820"/>
    <w:rsid w:val="00454085"/>
    <w:rsid w:val="0045438E"/>
    <w:rsid w:val="00455677"/>
    <w:rsid w:val="00456087"/>
    <w:rsid w:val="00456C4F"/>
    <w:rsid w:val="00457751"/>
    <w:rsid w:val="004602A0"/>
    <w:rsid w:val="004604C5"/>
    <w:rsid w:val="004607B6"/>
    <w:rsid w:val="00460DEF"/>
    <w:rsid w:val="00461C34"/>
    <w:rsid w:val="00462812"/>
    <w:rsid w:val="00462816"/>
    <w:rsid w:val="00463112"/>
    <w:rsid w:val="004658CA"/>
    <w:rsid w:val="00465D35"/>
    <w:rsid w:val="00465FC5"/>
    <w:rsid w:val="00466227"/>
    <w:rsid w:val="004700D4"/>
    <w:rsid w:val="004709F3"/>
    <w:rsid w:val="00471009"/>
    <w:rsid w:val="00471827"/>
    <w:rsid w:val="00472814"/>
    <w:rsid w:val="00475311"/>
    <w:rsid w:val="004756D2"/>
    <w:rsid w:val="00475F79"/>
    <w:rsid w:val="00476C7C"/>
    <w:rsid w:val="00480965"/>
    <w:rsid w:val="004815EC"/>
    <w:rsid w:val="004825D8"/>
    <w:rsid w:val="00483223"/>
    <w:rsid w:val="00483A83"/>
    <w:rsid w:val="00483E2D"/>
    <w:rsid w:val="00484E86"/>
    <w:rsid w:val="00485761"/>
    <w:rsid w:val="00486330"/>
    <w:rsid w:val="0048772C"/>
    <w:rsid w:val="004915AA"/>
    <w:rsid w:val="004918ED"/>
    <w:rsid w:val="00491F62"/>
    <w:rsid w:val="004923F2"/>
    <w:rsid w:val="00494004"/>
    <w:rsid w:val="00496285"/>
    <w:rsid w:val="004971C8"/>
    <w:rsid w:val="00497C43"/>
    <w:rsid w:val="004A03A3"/>
    <w:rsid w:val="004A19DA"/>
    <w:rsid w:val="004A1A50"/>
    <w:rsid w:val="004A2BCD"/>
    <w:rsid w:val="004A2C4A"/>
    <w:rsid w:val="004A37ED"/>
    <w:rsid w:val="004A4837"/>
    <w:rsid w:val="004A4AF8"/>
    <w:rsid w:val="004A4D83"/>
    <w:rsid w:val="004A51D1"/>
    <w:rsid w:val="004A5282"/>
    <w:rsid w:val="004A54F3"/>
    <w:rsid w:val="004A5E75"/>
    <w:rsid w:val="004A65AF"/>
    <w:rsid w:val="004A65BD"/>
    <w:rsid w:val="004A6F83"/>
    <w:rsid w:val="004A7ECC"/>
    <w:rsid w:val="004B0D53"/>
    <w:rsid w:val="004B4564"/>
    <w:rsid w:val="004B5E12"/>
    <w:rsid w:val="004B6F52"/>
    <w:rsid w:val="004B7DB9"/>
    <w:rsid w:val="004B7F12"/>
    <w:rsid w:val="004C03C8"/>
    <w:rsid w:val="004C1E12"/>
    <w:rsid w:val="004C2C8D"/>
    <w:rsid w:val="004C73E2"/>
    <w:rsid w:val="004D15A9"/>
    <w:rsid w:val="004D1BA4"/>
    <w:rsid w:val="004D2C58"/>
    <w:rsid w:val="004D317C"/>
    <w:rsid w:val="004D31AA"/>
    <w:rsid w:val="004D3401"/>
    <w:rsid w:val="004D4D82"/>
    <w:rsid w:val="004E1506"/>
    <w:rsid w:val="004E1E85"/>
    <w:rsid w:val="004E22B7"/>
    <w:rsid w:val="004E3405"/>
    <w:rsid w:val="004E3978"/>
    <w:rsid w:val="004E4275"/>
    <w:rsid w:val="004E4758"/>
    <w:rsid w:val="004E49EA"/>
    <w:rsid w:val="004E4EAF"/>
    <w:rsid w:val="004E5A86"/>
    <w:rsid w:val="004E63CF"/>
    <w:rsid w:val="004E75E6"/>
    <w:rsid w:val="004E7C9F"/>
    <w:rsid w:val="004E7CC3"/>
    <w:rsid w:val="004F05E0"/>
    <w:rsid w:val="004F2591"/>
    <w:rsid w:val="004F4191"/>
    <w:rsid w:val="0050218A"/>
    <w:rsid w:val="00502599"/>
    <w:rsid w:val="0050430E"/>
    <w:rsid w:val="00505378"/>
    <w:rsid w:val="005108D9"/>
    <w:rsid w:val="00510C32"/>
    <w:rsid w:val="00511C34"/>
    <w:rsid w:val="00513CDD"/>
    <w:rsid w:val="00513E88"/>
    <w:rsid w:val="0051514C"/>
    <w:rsid w:val="00515975"/>
    <w:rsid w:val="00515E83"/>
    <w:rsid w:val="00516733"/>
    <w:rsid w:val="00517256"/>
    <w:rsid w:val="005172BD"/>
    <w:rsid w:val="00517AEB"/>
    <w:rsid w:val="005216E1"/>
    <w:rsid w:val="005217E3"/>
    <w:rsid w:val="00522E4B"/>
    <w:rsid w:val="00523614"/>
    <w:rsid w:val="005242AE"/>
    <w:rsid w:val="00525456"/>
    <w:rsid w:val="00525A48"/>
    <w:rsid w:val="00525FA8"/>
    <w:rsid w:val="00526EBE"/>
    <w:rsid w:val="00526F34"/>
    <w:rsid w:val="00531350"/>
    <w:rsid w:val="00531838"/>
    <w:rsid w:val="00531EA8"/>
    <w:rsid w:val="00532BBF"/>
    <w:rsid w:val="00532C67"/>
    <w:rsid w:val="00534909"/>
    <w:rsid w:val="005364F9"/>
    <w:rsid w:val="00536562"/>
    <w:rsid w:val="0053689D"/>
    <w:rsid w:val="005403A1"/>
    <w:rsid w:val="00541217"/>
    <w:rsid w:val="005412B1"/>
    <w:rsid w:val="00541E2B"/>
    <w:rsid w:val="005454BD"/>
    <w:rsid w:val="0055032A"/>
    <w:rsid w:val="005504B8"/>
    <w:rsid w:val="00550686"/>
    <w:rsid w:val="00551D4B"/>
    <w:rsid w:val="0055275D"/>
    <w:rsid w:val="005528F2"/>
    <w:rsid w:val="00553984"/>
    <w:rsid w:val="00554FA6"/>
    <w:rsid w:val="00555B68"/>
    <w:rsid w:val="00556EAF"/>
    <w:rsid w:val="00557281"/>
    <w:rsid w:val="005635BA"/>
    <w:rsid w:val="00566434"/>
    <w:rsid w:val="005665AF"/>
    <w:rsid w:val="00567E7A"/>
    <w:rsid w:val="00567F6E"/>
    <w:rsid w:val="00571881"/>
    <w:rsid w:val="00572A88"/>
    <w:rsid w:val="0057304C"/>
    <w:rsid w:val="005733E5"/>
    <w:rsid w:val="00573F18"/>
    <w:rsid w:val="005745CB"/>
    <w:rsid w:val="00575729"/>
    <w:rsid w:val="00576290"/>
    <w:rsid w:val="0057683F"/>
    <w:rsid w:val="0057781F"/>
    <w:rsid w:val="00580A30"/>
    <w:rsid w:val="00583648"/>
    <w:rsid w:val="00583815"/>
    <w:rsid w:val="00583B21"/>
    <w:rsid w:val="00584569"/>
    <w:rsid w:val="005867AF"/>
    <w:rsid w:val="00586F6B"/>
    <w:rsid w:val="00587490"/>
    <w:rsid w:val="00587567"/>
    <w:rsid w:val="00590098"/>
    <w:rsid w:val="00593CA6"/>
    <w:rsid w:val="005951CE"/>
    <w:rsid w:val="00596E56"/>
    <w:rsid w:val="00596FF7"/>
    <w:rsid w:val="005972EF"/>
    <w:rsid w:val="005977B4"/>
    <w:rsid w:val="005A19A9"/>
    <w:rsid w:val="005A1D61"/>
    <w:rsid w:val="005A3962"/>
    <w:rsid w:val="005B1CA9"/>
    <w:rsid w:val="005B5673"/>
    <w:rsid w:val="005B59BD"/>
    <w:rsid w:val="005B600E"/>
    <w:rsid w:val="005B6687"/>
    <w:rsid w:val="005B7F5D"/>
    <w:rsid w:val="005C0474"/>
    <w:rsid w:val="005C1985"/>
    <w:rsid w:val="005C2527"/>
    <w:rsid w:val="005C2AF9"/>
    <w:rsid w:val="005C3631"/>
    <w:rsid w:val="005C3A95"/>
    <w:rsid w:val="005C6B37"/>
    <w:rsid w:val="005C6DDE"/>
    <w:rsid w:val="005C7426"/>
    <w:rsid w:val="005C74A0"/>
    <w:rsid w:val="005D0076"/>
    <w:rsid w:val="005D1552"/>
    <w:rsid w:val="005D2E97"/>
    <w:rsid w:val="005D565E"/>
    <w:rsid w:val="005D6A44"/>
    <w:rsid w:val="005D6D17"/>
    <w:rsid w:val="005D71A0"/>
    <w:rsid w:val="005E0075"/>
    <w:rsid w:val="005E0529"/>
    <w:rsid w:val="005E067E"/>
    <w:rsid w:val="005E1FD8"/>
    <w:rsid w:val="005E33EC"/>
    <w:rsid w:val="005E3CD8"/>
    <w:rsid w:val="005E448E"/>
    <w:rsid w:val="005E5C54"/>
    <w:rsid w:val="005E6E83"/>
    <w:rsid w:val="005E7323"/>
    <w:rsid w:val="005E76FF"/>
    <w:rsid w:val="005F00EB"/>
    <w:rsid w:val="005F0582"/>
    <w:rsid w:val="005F2BCC"/>
    <w:rsid w:val="005F5795"/>
    <w:rsid w:val="005F7317"/>
    <w:rsid w:val="005F7397"/>
    <w:rsid w:val="005F75D9"/>
    <w:rsid w:val="005F7951"/>
    <w:rsid w:val="00600933"/>
    <w:rsid w:val="0060111F"/>
    <w:rsid w:val="0060140E"/>
    <w:rsid w:val="006022A2"/>
    <w:rsid w:val="0060338A"/>
    <w:rsid w:val="006043F5"/>
    <w:rsid w:val="0060453A"/>
    <w:rsid w:val="006059F6"/>
    <w:rsid w:val="00606204"/>
    <w:rsid w:val="00607E1D"/>
    <w:rsid w:val="00610599"/>
    <w:rsid w:val="00612537"/>
    <w:rsid w:val="006140A5"/>
    <w:rsid w:val="006154A8"/>
    <w:rsid w:val="00615C24"/>
    <w:rsid w:val="006161FC"/>
    <w:rsid w:val="00620DD6"/>
    <w:rsid w:val="006243C8"/>
    <w:rsid w:val="006250C2"/>
    <w:rsid w:val="00625A42"/>
    <w:rsid w:val="00625AF3"/>
    <w:rsid w:val="00625B59"/>
    <w:rsid w:val="0062737F"/>
    <w:rsid w:val="00631A7F"/>
    <w:rsid w:val="006341EC"/>
    <w:rsid w:val="00634846"/>
    <w:rsid w:val="00636C38"/>
    <w:rsid w:val="00636EBA"/>
    <w:rsid w:val="006403A9"/>
    <w:rsid w:val="00640E55"/>
    <w:rsid w:val="00641969"/>
    <w:rsid w:val="006425B5"/>
    <w:rsid w:val="00642A7A"/>
    <w:rsid w:val="00643685"/>
    <w:rsid w:val="00644516"/>
    <w:rsid w:val="00645593"/>
    <w:rsid w:val="00651A85"/>
    <w:rsid w:val="00651DAA"/>
    <w:rsid w:val="00652151"/>
    <w:rsid w:val="006522F2"/>
    <w:rsid w:val="00652A7E"/>
    <w:rsid w:val="00652BE7"/>
    <w:rsid w:val="00652D9F"/>
    <w:rsid w:val="0065355D"/>
    <w:rsid w:val="00654FA8"/>
    <w:rsid w:val="00654FC9"/>
    <w:rsid w:val="00655B9D"/>
    <w:rsid w:val="00657498"/>
    <w:rsid w:val="00657FC1"/>
    <w:rsid w:val="00660EB7"/>
    <w:rsid w:val="00662D6A"/>
    <w:rsid w:val="00662FAB"/>
    <w:rsid w:val="0066389D"/>
    <w:rsid w:val="00663977"/>
    <w:rsid w:val="006645E8"/>
    <w:rsid w:val="00665840"/>
    <w:rsid w:val="00665ADC"/>
    <w:rsid w:val="00670384"/>
    <w:rsid w:val="00670AE5"/>
    <w:rsid w:val="00670AF9"/>
    <w:rsid w:val="00670BC7"/>
    <w:rsid w:val="006717E4"/>
    <w:rsid w:val="006719B2"/>
    <w:rsid w:val="00672A15"/>
    <w:rsid w:val="00673554"/>
    <w:rsid w:val="00675709"/>
    <w:rsid w:val="00675C25"/>
    <w:rsid w:val="006762FB"/>
    <w:rsid w:val="00681237"/>
    <w:rsid w:val="00681539"/>
    <w:rsid w:val="00681AE7"/>
    <w:rsid w:val="00681F9E"/>
    <w:rsid w:val="00682564"/>
    <w:rsid w:val="006825C9"/>
    <w:rsid w:val="00683452"/>
    <w:rsid w:val="00683591"/>
    <w:rsid w:val="00683F3B"/>
    <w:rsid w:val="00685516"/>
    <w:rsid w:val="006855EB"/>
    <w:rsid w:val="006873C4"/>
    <w:rsid w:val="0069052C"/>
    <w:rsid w:val="00695AB6"/>
    <w:rsid w:val="006A132B"/>
    <w:rsid w:val="006A18CC"/>
    <w:rsid w:val="006A27D8"/>
    <w:rsid w:val="006A280D"/>
    <w:rsid w:val="006A2B65"/>
    <w:rsid w:val="006A33D1"/>
    <w:rsid w:val="006A39C3"/>
    <w:rsid w:val="006B094B"/>
    <w:rsid w:val="006B11AE"/>
    <w:rsid w:val="006B1685"/>
    <w:rsid w:val="006B2782"/>
    <w:rsid w:val="006B3B6B"/>
    <w:rsid w:val="006B64DB"/>
    <w:rsid w:val="006B726C"/>
    <w:rsid w:val="006B73ED"/>
    <w:rsid w:val="006B7468"/>
    <w:rsid w:val="006C29FA"/>
    <w:rsid w:val="006C2BED"/>
    <w:rsid w:val="006C325D"/>
    <w:rsid w:val="006C6006"/>
    <w:rsid w:val="006C6D61"/>
    <w:rsid w:val="006C75E8"/>
    <w:rsid w:val="006C79AE"/>
    <w:rsid w:val="006C7B35"/>
    <w:rsid w:val="006C7FB1"/>
    <w:rsid w:val="006D0277"/>
    <w:rsid w:val="006D0A09"/>
    <w:rsid w:val="006D1DAA"/>
    <w:rsid w:val="006D33A0"/>
    <w:rsid w:val="006D36DF"/>
    <w:rsid w:val="006D4136"/>
    <w:rsid w:val="006D46E2"/>
    <w:rsid w:val="006D4A2A"/>
    <w:rsid w:val="006D632D"/>
    <w:rsid w:val="006D7769"/>
    <w:rsid w:val="006E0296"/>
    <w:rsid w:val="006E0595"/>
    <w:rsid w:val="006E280B"/>
    <w:rsid w:val="006E2B8C"/>
    <w:rsid w:val="006E31D7"/>
    <w:rsid w:val="006E3353"/>
    <w:rsid w:val="006E44DC"/>
    <w:rsid w:val="006E4A55"/>
    <w:rsid w:val="006E6902"/>
    <w:rsid w:val="006E7037"/>
    <w:rsid w:val="006E7BBA"/>
    <w:rsid w:val="006F1630"/>
    <w:rsid w:val="006F2AA5"/>
    <w:rsid w:val="006F3C1A"/>
    <w:rsid w:val="006F3E98"/>
    <w:rsid w:val="006F402B"/>
    <w:rsid w:val="006F66A0"/>
    <w:rsid w:val="006F7098"/>
    <w:rsid w:val="006F7AF3"/>
    <w:rsid w:val="006F7CB6"/>
    <w:rsid w:val="00700BEC"/>
    <w:rsid w:val="00700CF3"/>
    <w:rsid w:val="00701CBB"/>
    <w:rsid w:val="00702463"/>
    <w:rsid w:val="0070416C"/>
    <w:rsid w:val="00704788"/>
    <w:rsid w:val="007052C4"/>
    <w:rsid w:val="00706778"/>
    <w:rsid w:val="00706BC5"/>
    <w:rsid w:val="007072C9"/>
    <w:rsid w:val="007079C0"/>
    <w:rsid w:val="00707A19"/>
    <w:rsid w:val="00707C15"/>
    <w:rsid w:val="00707C40"/>
    <w:rsid w:val="007101FB"/>
    <w:rsid w:val="00710A88"/>
    <w:rsid w:val="007114C3"/>
    <w:rsid w:val="007131F3"/>
    <w:rsid w:val="00713ABF"/>
    <w:rsid w:val="00714E18"/>
    <w:rsid w:val="00715595"/>
    <w:rsid w:val="0071655F"/>
    <w:rsid w:val="00716851"/>
    <w:rsid w:val="007201EA"/>
    <w:rsid w:val="0072089A"/>
    <w:rsid w:val="007220C2"/>
    <w:rsid w:val="0072245C"/>
    <w:rsid w:val="00722B37"/>
    <w:rsid w:val="00722FDD"/>
    <w:rsid w:val="00723C22"/>
    <w:rsid w:val="007253C5"/>
    <w:rsid w:val="007253E3"/>
    <w:rsid w:val="00726146"/>
    <w:rsid w:val="007265F8"/>
    <w:rsid w:val="00727953"/>
    <w:rsid w:val="007331E4"/>
    <w:rsid w:val="007345FE"/>
    <w:rsid w:val="00734D85"/>
    <w:rsid w:val="00735313"/>
    <w:rsid w:val="00735C5C"/>
    <w:rsid w:val="00735E82"/>
    <w:rsid w:val="00737BAF"/>
    <w:rsid w:val="00741778"/>
    <w:rsid w:val="00741A89"/>
    <w:rsid w:val="00746706"/>
    <w:rsid w:val="00746BDB"/>
    <w:rsid w:val="00752700"/>
    <w:rsid w:val="00752A19"/>
    <w:rsid w:val="00752CD9"/>
    <w:rsid w:val="0075321E"/>
    <w:rsid w:val="00753753"/>
    <w:rsid w:val="007537E8"/>
    <w:rsid w:val="00754A31"/>
    <w:rsid w:val="0075513F"/>
    <w:rsid w:val="00755D2F"/>
    <w:rsid w:val="007565A1"/>
    <w:rsid w:val="00756C15"/>
    <w:rsid w:val="0076086B"/>
    <w:rsid w:val="00764601"/>
    <w:rsid w:val="00765064"/>
    <w:rsid w:val="00765474"/>
    <w:rsid w:val="00765EF0"/>
    <w:rsid w:val="00766659"/>
    <w:rsid w:val="00766DDA"/>
    <w:rsid w:val="0076740D"/>
    <w:rsid w:val="00770567"/>
    <w:rsid w:val="00771D6E"/>
    <w:rsid w:val="007720CA"/>
    <w:rsid w:val="00772E0F"/>
    <w:rsid w:val="007730EF"/>
    <w:rsid w:val="00773F20"/>
    <w:rsid w:val="0077407F"/>
    <w:rsid w:val="00777612"/>
    <w:rsid w:val="00777FE4"/>
    <w:rsid w:val="007812C2"/>
    <w:rsid w:val="007838FF"/>
    <w:rsid w:val="007855E7"/>
    <w:rsid w:val="00785DA2"/>
    <w:rsid w:val="00786CA6"/>
    <w:rsid w:val="0078740F"/>
    <w:rsid w:val="007876C3"/>
    <w:rsid w:val="0079033D"/>
    <w:rsid w:val="00791567"/>
    <w:rsid w:val="00794397"/>
    <w:rsid w:val="0079576B"/>
    <w:rsid w:val="007960E0"/>
    <w:rsid w:val="00796D48"/>
    <w:rsid w:val="007972E2"/>
    <w:rsid w:val="0079790B"/>
    <w:rsid w:val="007A0B38"/>
    <w:rsid w:val="007A295A"/>
    <w:rsid w:val="007A2BC3"/>
    <w:rsid w:val="007A3FB4"/>
    <w:rsid w:val="007A447F"/>
    <w:rsid w:val="007A4557"/>
    <w:rsid w:val="007A4D9A"/>
    <w:rsid w:val="007A4F1D"/>
    <w:rsid w:val="007A5336"/>
    <w:rsid w:val="007A6F0F"/>
    <w:rsid w:val="007B1BA4"/>
    <w:rsid w:val="007B1EA8"/>
    <w:rsid w:val="007B2C44"/>
    <w:rsid w:val="007B3E1E"/>
    <w:rsid w:val="007B44CC"/>
    <w:rsid w:val="007B531A"/>
    <w:rsid w:val="007B674D"/>
    <w:rsid w:val="007B7384"/>
    <w:rsid w:val="007C0375"/>
    <w:rsid w:val="007C196D"/>
    <w:rsid w:val="007C28DE"/>
    <w:rsid w:val="007C2AC9"/>
    <w:rsid w:val="007C4054"/>
    <w:rsid w:val="007C6520"/>
    <w:rsid w:val="007C65A5"/>
    <w:rsid w:val="007C7FA8"/>
    <w:rsid w:val="007D2FBD"/>
    <w:rsid w:val="007D5849"/>
    <w:rsid w:val="007E0178"/>
    <w:rsid w:val="007E1346"/>
    <w:rsid w:val="007E28E4"/>
    <w:rsid w:val="007E4148"/>
    <w:rsid w:val="007E468C"/>
    <w:rsid w:val="007E65AC"/>
    <w:rsid w:val="007E6BFF"/>
    <w:rsid w:val="007E76A6"/>
    <w:rsid w:val="007E7ED8"/>
    <w:rsid w:val="007F299F"/>
    <w:rsid w:val="007F3FC3"/>
    <w:rsid w:val="007F3FD2"/>
    <w:rsid w:val="007F538C"/>
    <w:rsid w:val="007F5F95"/>
    <w:rsid w:val="007F639C"/>
    <w:rsid w:val="007F6934"/>
    <w:rsid w:val="00801D4B"/>
    <w:rsid w:val="0080371D"/>
    <w:rsid w:val="00804A50"/>
    <w:rsid w:val="0080542C"/>
    <w:rsid w:val="00805B29"/>
    <w:rsid w:val="0080708C"/>
    <w:rsid w:val="00814F63"/>
    <w:rsid w:val="008150A4"/>
    <w:rsid w:val="00815CCB"/>
    <w:rsid w:val="00817A28"/>
    <w:rsid w:val="00821EC7"/>
    <w:rsid w:val="008251AA"/>
    <w:rsid w:val="00827329"/>
    <w:rsid w:val="00827BDD"/>
    <w:rsid w:val="00827C31"/>
    <w:rsid w:val="008313DC"/>
    <w:rsid w:val="00831A11"/>
    <w:rsid w:val="00833D61"/>
    <w:rsid w:val="00834FB0"/>
    <w:rsid w:val="00836264"/>
    <w:rsid w:val="00836AEF"/>
    <w:rsid w:val="00836E08"/>
    <w:rsid w:val="00836E6C"/>
    <w:rsid w:val="0084014D"/>
    <w:rsid w:val="00844A7C"/>
    <w:rsid w:val="0084570C"/>
    <w:rsid w:val="00845C38"/>
    <w:rsid w:val="0084646A"/>
    <w:rsid w:val="00846CF9"/>
    <w:rsid w:val="00852161"/>
    <w:rsid w:val="00852591"/>
    <w:rsid w:val="0085349D"/>
    <w:rsid w:val="00853E28"/>
    <w:rsid w:val="0085463D"/>
    <w:rsid w:val="00857BE1"/>
    <w:rsid w:val="008603E8"/>
    <w:rsid w:val="00861978"/>
    <w:rsid w:val="00864276"/>
    <w:rsid w:val="0086429D"/>
    <w:rsid w:val="008649C0"/>
    <w:rsid w:val="00865297"/>
    <w:rsid w:val="008659D7"/>
    <w:rsid w:val="00865C2D"/>
    <w:rsid w:val="00865C95"/>
    <w:rsid w:val="00867251"/>
    <w:rsid w:val="00867AE0"/>
    <w:rsid w:val="00870368"/>
    <w:rsid w:val="008703A7"/>
    <w:rsid w:val="00870CE6"/>
    <w:rsid w:val="008714C8"/>
    <w:rsid w:val="00872106"/>
    <w:rsid w:val="00872401"/>
    <w:rsid w:val="008745E1"/>
    <w:rsid w:val="00874961"/>
    <w:rsid w:val="00875352"/>
    <w:rsid w:val="00876FAF"/>
    <w:rsid w:val="008772A3"/>
    <w:rsid w:val="0088127F"/>
    <w:rsid w:val="008813ED"/>
    <w:rsid w:val="008832B4"/>
    <w:rsid w:val="00884934"/>
    <w:rsid w:val="00884B72"/>
    <w:rsid w:val="00886E57"/>
    <w:rsid w:val="00887BE4"/>
    <w:rsid w:val="00887F25"/>
    <w:rsid w:val="00890361"/>
    <w:rsid w:val="00892110"/>
    <w:rsid w:val="00893FE3"/>
    <w:rsid w:val="00895884"/>
    <w:rsid w:val="00895996"/>
    <w:rsid w:val="00895B2B"/>
    <w:rsid w:val="00895F5C"/>
    <w:rsid w:val="00896D46"/>
    <w:rsid w:val="008975D4"/>
    <w:rsid w:val="008A2010"/>
    <w:rsid w:val="008A23F7"/>
    <w:rsid w:val="008A2FAE"/>
    <w:rsid w:val="008A4733"/>
    <w:rsid w:val="008B021C"/>
    <w:rsid w:val="008B2E0E"/>
    <w:rsid w:val="008B3969"/>
    <w:rsid w:val="008B50BC"/>
    <w:rsid w:val="008B5E37"/>
    <w:rsid w:val="008B6155"/>
    <w:rsid w:val="008B7EE3"/>
    <w:rsid w:val="008C0B7D"/>
    <w:rsid w:val="008C65B8"/>
    <w:rsid w:val="008C6BE8"/>
    <w:rsid w:val="008C6CEB"/>
    <w:rsid w:val="008C7481"/>
    <w:rsid w:val="008D1F2A"/>
    <w:rsid w:val="008D263F"/>
    <w:rsid w:val="008D2EF6"/>
    <w:rsid w:val="008D35B9"/>
    <w:rsid w:val="008D6266"/>
    <w:rsid w:val="008D6E93"/>
    <w:rsid w:val="008D7637"/>
    <w:rsid w:val="008E0D75"/>
    <w:rsid w:val="008E312F"/>
    <w:rsid w:val="008E3827"/>
    <w:rsid w:val="008E38F3"/>
    <w:rsid w:val="008E6258"/>
    <w:rsid w:val="008F000E"/>
    <w:rsid w:val="008F00BA"/>
    <w:rsid w:val="008F09E3"/>
    <w:rsid w:val="008F1155"/>
    <w:rsid w:val="008F153A"/>
    <w:rsid w:val="008F32A2"/>
    <w:rsid w:val="008F445B"/>
    <w:rsid w:val="008F4DE1"/>
    <w:rsid w:val="008F707C"/>
    <w:rsid w:val="008F7128"/>
    <w:rsid w:val="008F726B"/>
    <w:rsid w:val="008F764D"/>
    <w:rsid w:val="009003E1"/>
    <w:rsid w:val="00902074"/>
    <w:rsid w:val="00902334"/>
    <w:rsid w:val="0090378D"/>
    <w:rsid w:val="00905577"/>
    <w:rsid w:val="0091073A"/>
    <w:rsid w:val="00910D99"/>
    <w:rsid w:val="00911488"/>
    <w:rsid w:val="00911735"/>
    <w:rsid w:val="00911EB3"/>
    <w:rsid w:val="0091219C"/>
    <w:rsid w:val="0091306C"/>
    <w:rsid w:val="00913147"/>
    <w:rsid w:val="00914563"/>
    <w:rsid w:val="00914579"/>
    <w:rsid w:val="009148C0"/>
    <w:rsid w:val="009159B4"/>
    <w:rsid w:val="00916C0B"/>
    <w:rsid w:val="00920377"/>
    <w:rsid w:val="009207CA"/>
    <w:rsid w:val="00920B1E"/>
    <w:rsid w:val="009214C0"/>
    <w:rsid w:val="00921FE7"/>
    <w:rsid w:val="009222F3"/>
    <w:rsid w:val="00923DEB"/>
    <w:rsid w:val="00924918"/>
    <w:rsid w:val="00924F4B"/>
    <w:rsid w:val="00925A13"/>
    <w:rsid w:val="0092631A"/>
    <w:rsid w:val="00927643"/>
    <w:rsid w:val="0092797A"/>
    <w:rsid w:val="00931666"/>
    <w:rsid w:val="00931D58"/>
    <w:rsid w:val="00931EB7"/>
    <w:rsid w:val="009326E5"/>
    <w:rsid w:val="00933DBE"/>
    <w:rsid w:val="009352EB"/>
    <w:rsid w:val="009359BD"/>
    <w:rsid w:val="0093669F"/>
    <w:rsid w:val="0093693D"/>
    <w:rsid w:val="0093701F"/>
    <w:rsid w:val="009378E4"/>
    <w:rsid w:val="0094100E"/>
    <w:rsid w:val="00941490"/>
    <w:rsid w:val="009418EB"/>
    <w:rsid w:val="00941E96"/>
    <w:rsid w:val="00943972"/>
    <w:rsid w:val="00945425"/>
    <w:rsid w:val="00946742"/>
    <w:rsid w:val="00947852"/>
    <w:rsid w:val="00947EE8"/>
    <w:rsid w:val="009545E3"/>
    <w:rsid w:val="00954CD0"/>
    <w:rsid w:val="00957DA2"/>
    <w:rsid w:val="00960B54"/>
    <w:rsid w:val="00961BFB"/>
    <w:rsid w:val="00963044"/>
    <w:rsid w:val="0096309B"/>
    <w:rsid w:val="00963A44"/>
    <w:rsid w:val="00964C97"/>
    <w:rsid w:val="0096528A"/>
    <w:rsid w:val="00965668"/>
    <w:rsid w:val="00965C27"/>
    <w:rsid w:val="00965FFF"/>
    <w:rsid w:val="0096732F"/>
    <w:rsid w:val="00967BA0"/>
    <w:rsid w:val="00970CAC"/>
    <w:rsid w:val="009720EF"/>
    <w:rsid w:val="009744D1"/>
    <w:rsid w:val="00974A61"/>
    <w:rsid w:val="00974D58"/>
    <w:rsid w:val="00975C34"/>
    <w:rsid w:val="0097622F"/>
    <w:rsid w:val="00977944"/>
    <w:rsid w:val="0098075C"/>
    <w:rsid w:val="009819F1"/>
    <w:rsid w:val="00981E5C"/>
    <w:rsid w:val="009822F6"/>
    <w:rsid w:val="0098239E"/>
    <w:rsid w:val="009826F5"/>
    <w:rsid w:val="00984098"/>
    <w:rsid w:val="00987A6B"/>
    <w:rsid w:val="00992F19"/>
    <w:rsid w:val="00993696"/>
    <w:rsid w:val="00993D0E"/>
    <w:rsid w:val="00995D3D"/>
    <w:rsid w:val="00995DE8"/>
    <w:rsid w:val="00996135"/>
    <w:rsid w:val="009964AC"/>
    <w:rsid w:val="00997F3B"/>
    <w:rsid w:val="009A01F2"/>
    <w:rsid w:val="009A0C96"/>
    <w:rsid w:val="009A118B"/>
    <w:rsid w:val="009A1734"/>
    <w:rsid w:val="009A3379"/>
    <w:rsid w:val="009A3E62"/>
    <w:rsid w:val="009A515F"/>
    <w:rsid w:val="009A5DDF"/>
    <w:rsid w:val="009A6C93"/>
    <w:rsid w:val="009B05D2"/>
    <w:rsid w:val="009B23D7"/>
    <w:rsid w:val="009B3190"/>
    <w:rsid w:val="009B4F12"/>
    <w:rsid w:val="009B5E45"/>
    <w:rsid w:val="009B665A"/>
    <w:rsid w:val="009C0002"/>
    <w:rsid w:val="009C1628"/>
    <w:rsid w:val="009C18B5"/>
    <w:rsid w:val="009C2881"/>
    <w:rsid w:val="009C3260"/>
    <w:rsid w:val="009C5074"/>
    <w:rsid w:val="009C5798"/>
    <w:rsid w:val="009C6108"/>
    <w:rsid w:val="009C7104"/>
    <w:rsid w:val="009D0A3A"/>
    <w:rsid w:val="009D0D51"/>
    <w:rsid w:val="009D5689"/>
    <w:rsid w:val="009E0DE9"/>
    <w:rsid w:val="009E0E48"/>
    <w:rsid w:val="009E2D07"/>
    <w:rsid w:val="009E3FB3"/>
    <w:rsid w:val="009E5C23"/>
    <w:rsid w:val="009E6275"/>
    <w:rsid w:val="009F0C49"/>
    <w:rsid w:val="009F1965"/>
    <w:rsid w:val="009F2657"/>
    <w:rsid w:val="009F4C38"/>
    <w:rsid w:val="009F5310"/>
    <w:rsid w:val="009F5DDE"/>
    <w:rsid w:val="009F65E0"/>
    <w:rsid w:val="009F7EE5"/>
    <w:rsid w:val="00A0197F"/>
    <w:rsid w:val="00A02DA1"/>
    <w:rsid w:val="00A0634B"/>
    <w:rsid w:val="00A114D3"/>
    <w:rsid w:val="00A14075"/>
    <w:rsid w:val="00A1530D"/>
    <w:rsid w:val="00A1672F"/>
    <w:rsid w:val="00A17EE2"/>
    <w:rsid w:val="00A208A8"/>
    <w:rsid w:val="00A21A89"/>
    <w:rsid w:val="00A226C0"/>
    <w:rsid w:val="00A23CCD"/>
    <w:rsid w:val="00A24F25"/>
    <w:rsid w:val="00A26478"/>
    <w:rsid w:val="00A271D7"/>
    <w:rsid w:val="00A27554"/>
    <w:rsid w:val="00A31423"/>
    <w:rsid w:val="00A323F3"/>
    <w:rsid w:val="00A33108"/>
    <w:rsid w:val="00A33BF9"/>
    <w:rsid w:val="00A33D76"/>
    <w:rsid w:val="00A34251"/>
    <w:rsid w:val="00A343BD"/>
    <w:rsid w:val="00A3690E"/>
    <w:rsid w:val="00A3750D"/>
    <w:rsid w:val="00A37AEC"/>
    <w:rsid w:val="00A418D3"/>
    <w:rsid w:val="00A42150"/>
    <w:rsid w:val="00A42DD2"/>
    <w:rsid w:val="00A4349C"/>
    <w:rsid w:val="00A44058"/>
    <w:rsid w:val="00A444A8"/>
    <w:rsid w:val="00A4473C"/>
    <w:rsid w:val="00A45444"/>
    <w:rsid w:val="00A46ED0"/>
    <w:rsid w:val="00A47100"/>
    <w:rsid w:val="00A51B90"/>
    <w:rsid w:val="00A541F4"/>
    <w:rsid w:val="00A54DEB"/>
    <w:rsid w:val="00A55456"/>
    <w:rsid w:val="00A55FB4"/>
    <w:rsid w:val="00A6187E"/>
    <w:rsid w:val="00A632C2"/>
    <w:rsid w:val="00A6557B"/>
    <w:rsid w:val="00A66626"/>
    <w:rsid w:val="00A6681F"/>
    <w:rsid w:val="00A7193D"/>
    <w:rsid w:val="00A73A25"/>
    <w:rsid w:val="00A74B85"/>
    <w:rsid w:val="00A75034"/>
    <w:rsid w:val="00A750FB"/>
    <w:rsid w:val="00A757AD"/>
    <w:rsid w:val="00A75B30"/>
    <w:rsid w:val="00A75BF0"/>
    <w:rsid w:val="00A75CA7"/>
    <w:rsid w:val="00A760C9"/>
    <w:rsid w:val="00A7653A"/>
    <w:rsid w:val="00A7667E"/>
    <w:rsid w:val="00A770FA"/>
    <w:rsid w:val="00A8072C"/>
    <w:rsid w:val="00A807A8"/>
    <w:rsid w:val="00A80CE4"/>
    <w:rsid w:val="00A811C9"/>
    <w:rsid w:val="00A842EE"/>
    <w:rsid w:val="00A86E3F"/>
    <w:rsid w:val="00A86F8C"/>
    <w:rsid w:val="00A87B15"/>
    <w:rsid w:val="00A90A78"/>
    <w:rsid w:val="00A92B97"/>
    <w:rsid w:val="00A92C89"/>
    <w:rsid w:val="00A9457C"/>
    <w:rsid w:val="00A945E2"/>
    <w:rsid w:val="00AA00B2"/>
    <w:rsid w:val="00AA057B"/>
    <w:rsid w:val="00AA0E09"/>
    <w:rsid w:val="00AA14B1"/>
    <w:rsid w:val="00AA2091"/>
    <w:rsid w:val="00AA3276"/>
    <w:rsid w:val="00AA3CEA"/>
    <w:rsid w:val="00AA3DB9"/>
    <w:rsid w:val="00AA46FC"/>
    <w:rsid w:val="00AA4EDF"/>
    <w:rsid w:val="00AA66FB"/>
    <w:rsid w:val="00AA6D07"/>
    <w:rsid w:val="00AB018A"/>
    <w:rsid w:val="00AB0EA6"/>
    <w:rsid w:val="00AB0F9C"/>
    <w:rsid w:val="00AB1CAC"/>
    <w:rsid w:val="00AB2181"/>
    <w:rsid w:val="00AB2995"/>
    <w:rsid w:val="00AB5218"/>
    <w:rsid w:val="00AB6038"/>
    <w:rsid w:val="00AB6AC1"/>
    <w:rsid w:val="00AB73CD"/>
    <w:rsid w:val="00AB7D9C"/>
    <w:rsid w:val="00AC1277"/>
    <w:rsid w:val="00AC2230"/>
    <w:rsid w:val="00AC2B20"/>
    <w:rsid w:val="00AC4334"/>
    <w:rsid w:val="00AC489D"/>
    <w:rsid w:val="00AC4BC4"/>
    <w:rsid w:val="00AC6609"/>
    <w:rsid w:val="00AC70F2"/>
    <w:rsid w:val="00AC7C11"/>
    <w:rsid w:val="00AD1560"/>
    <w:rsid w:val="00AD18CF"/>
    <w:rsid w:val="00AD210E"/>
    <w:rsid w:val="00AD31DC"/>
    <w:rsid w:val="00AD3506"/>
    <w:rsid w:val="00AD673C"/>
    <w:rsid w:val="00AD6AD5"/>
    <w:rsid w:val="00AD6E78"/>
    <w:rsid w:val="00AD78D0"/>
    <w:rsid w:val="00AE20F2"/>
    <w:rsid w:val="00AE2E0A"/>
    <w:rsid w:val="00AE31B7"/>
    <w:rsid w:val="00AE70C4"/>
    <w:rsid w:val="00AE756D"/>
    <w:rsid w:val="00AE7B38"/>
    <w:rsid w:val="00AE7EF9"/>
    <w:rsid w:val="00AF05A6"/>
    <w:rsid w:val="00AF28DA"/>
    <w:rsid w:val="00AF3B55"/>
    <w:rsid w:val="00AF45E9"/>
    <w:rsid w:val="00AF48C9"/>
    <w:rsid w:val="00AF5314"/>
    <w:rsid w:val="00AF791D"/>
    <w:rsid w:val="00AF7943"/>
    <w:rsid w:val="00AF7CF7"/>
    <w:rsid w:val="00B0178E"/>
    <w:rsid w:val="00B02133"/>
    <w:rsid w:val="00B02826"/>
    <w:rsid w:val="00B0530D"/>
    <w:rsid w:val="00B05669"/>
    <w:rsid w:val="00B06701"/>
    <w:rsid w:val="00B0726D"/>
    <w:rsid w:val="00B102A4"/>
    <w:rsid w:val="00B1419E"/>
    <w:rsid w:val="00B14629"/>
    <w:rsid w:val="00B14E7C"/>
    <w:rsid w:val="00B159FD"/>
    <w:rsid w:val="00B15D79"/>
    <w:rsid w:val="00B1633C"/>
    <w:rsid w:val="00B17B2F"/>
    <w:rsid w:val="00B17E5E"/>
    <w:rsid w:val="00B2042A"/>
    <w:rsid w:val="00B220F4"/>
    <w:rsid w:val="00B2291D"/>
    <w:rsid w:val="00B2458B"/>
    <w:rsid w:val="00B2475E"/>
    <w:rsid w:val="00B253F8"/>
    <w:rsid w:val="00B2788F"/>
    <w:rsid w:val="00B27AE2"/>
    <w:rsid w:val="00B3177D"/>
    <w:rsid w:val="00B323B2"/>
    <w:rsid w:val="00B3439E"/>
    <w:rsid w:val="00B34486"/>
    <w:rsid w:val="00B34AD3"/>
    <w:rsid w:val="00B364B7"/>
    <w:rsid w:val="00B37055"/>
    <w:rsid w:val="00B400C2"/>
    <w:rsid w:val="00B40E9B"/>
    <w:rsid w:val="00B418E8"/>
    <w:rsid w:val="00B41A1B"/>
    <w:rsid w:val="00B41ACE"/>
    <w:rsid w:val="00B420E1"/>
    <w:rsid w:val="00B4265C"/>
    <w:rsid w:val="00B42723"/>
    <w:rsid w:val="00B46405"/>
    <w:rsid w:val="00B46E41"/>
    <w:rsid w:val="00B51B6C"/>
    <w:rsid w:val="00B520AB"/>
    <w:rsid w:val="00B53E6B"/>
    <w:rsid w:val="00B5504F"/>
    <w:rsid w:val="00B56026"/>
    <w:rsid w:val="00B56050"/>
    <w:rsid w:val="00B60A22"/>
    <w:rsid w:val="00B62F8B"/>
    <w:rsid w:val="00B63A56"/>
    <w:rsid w:val="00B64035"/>
    <w:rsid w:val="00B64CE6"/>
    <w:rsid w:val="00B6757C"/>
    <w:rsid w:val="00B702FB"/>
    <w:rsid w:val="00B712AB"/>
    <w:rsid w:val="00B7285B"/>
    <w:rsid w:val="00B73F4A"/>
    <w:rsid w:val="00B75C85"/>
    <w:rsid w:val="00B76B2A"/>
    <w:rsid w:val="00B770D3"/>
    <w:rsid w:val="00B77430"/>
    <w:rsid w:val="00B7786A"/>
    <w:rsid w:val="00B807D1"/>
    <w:rsid w:val="00B811F9"/>
    <w:rsid w:val="00B83C3A"/>
    <w:rsid w:val="00B85419"/>
    <w:rsid w:val="00B8557E"/>
    <w:rsid w:val="00B8745A"/>
    <w:rsid w:val="00B879AD"/>
    <w:rsid w:val="00B87C71"/>
    <w:rsid w:val="00B87CF1"/>
    <w:rsid w:val="00B906C1"/>
    <w:rsid w:val="00B910C1"/>
    <w:rsid w:val="00B91DD9"/>
    <w:rsid w:val="00B92548"/>
    <w:rsid w:val="00B925BA"/>
    <w:rsid w:val="00B92D7F"/>
    <w:rsid w:val="00B9424F"/>
    <w:rsid w:val="00B94900"/>
    <w:rsid w:val="00B95597"/>
    <w:rsid w:val="00B96C42"/>
    <w:rsid w:val="00B96D66"/>
    <w:rsid w:val="00B97F9F"/>
    <w:rsid w:val="00BA0787"/>
    <w:rsid w:val="00BA12C6"/>
    <w:rsid w:val="00BA158E"/>
    <w:rsid w:val="00BA1AC6"/>
    <w:rsid w:val="00BA37C4"/>
    <w:rsid w:val="00BA48FC"/>
    <w:rsid w:val="00BA5431"/>
    <w:rsid w:val="00BA6822"/>
    <w:rsid w:val="00BA715D"/>
    <w:rsid w:val="00BA7540"/>
    <w:rsid w:val="00BA7D7D"/>
    <w:rsid w:val="00BB0106"/>
    <w:rsid w:val="00BB091F"/>
    <w:rsid w:val="00BB0A82"/>
    <w:rsid w:val="00BB2379"/>
    <w:rsid w:val="00BB259A"/>
    <w:rsid w:val="00BB27EB"/>
    <w:rsid w:val="00BB286E"/>
    <w:rsid w:val="00BB299B"/>
    <w:rsid w:val="00BB3222"/>
    <w:rsid w:val="00BB4F0F"/>
    <w:rsid w:val="00BB599A"/>
    <w:rsid w:val="00BB663A"/>
    <w:rsid w:val="00BB6862"/>
    <w:rsid w:val="00BB6961"/>
    <w:rsid w:val="00BB76F3"/>
    <w:rsid w:val="00BB7BA4"/>
    <w:rsid w:val="00BC0484"/>
    <w:rsid w:val="00BC06D3"/>
    <w:rsid w:val="00BC0B49"/>
    <w:rsid w:val="00BC13CF"/>
    <w:rsid w:val="00BC17A2"/>
    <w:rsid w:val="00BC20B2"/>
    <w:rsid w:val="00BC4077"/>
    <w:rsid w:val="00BC4D80"/>
    <w:rsid w:val="00BC5433"/>
    <w:rsid w:val="00BC7096"/>
    <w:rsid w:val="00BD0067"/>
    <w:rsid w:val="00BD23B2"/>
    <w:rsid w:val="00BD23FC"/>
    <w:rsid w:val="00BD2519"/>
    <w:rsid w:val="00BD29F2"/>
    <w:rsid w:val="00BD412F"/>
    <w:rsid w:val="00BD490D"/>
    <w:rsid w:val="00BD6E61"/>
    <w:rsid w:val="00BD6EC6"/>
    <w:rsid w:val="00BD7069"/>
    <w:rsid w:val="00BD73DC"/>
    <w:rsid w:val="00BE1CF5"/>
    <w:rsid w:val="00BE4311"/>
    <w:rsid w:val="00BE4A44"/>
    <w:rsid w:val="00BE7985"/>
    <w:rsid w:val="00BE7B82"/>
    <w:rsid w:val="00BE7CB3"/>
    <w:rsid w:val="00BF0179"/>
    <w:rsid w:val="00BF0FFD"/>
    <w:rsid w:val="00BF133E"/>
    <w:rsid w:val="00BF214E"/>
    <w:rsid w:val="00BF268A"/>
    <w:rsid w:val="00BF379D"/>
    <w:rsid w:val="00BF4BA1"/>
    <w:rsid w:val="00BF62F4"/>
    <w:rsid w:val="00BF71A5"/>
    <w:rsid w:val="00BF786F"/>
    <w:rsid w:val="00BF7E48"/>
    <w:rsid w:val="00C039CB"/>
    <w:rsid w:val="00C03F06"/>
    <w:rsid w:val="00C04D2E"/>
    <w:rsid w:val="00C0618C"/>
    <w:rsid w:val="00C065C9"/>
    <w:rsid w:val="00C110D4"/>
    <w:rsid w:val="00C131A7"/>
    <w:rsid w:val="00C13576"/>
    <w:rsid w:val="00C13AA3"/>
    <w:rsid w:val="00C14EA4"/>
    <w:rsid w:val="00C169AF"/>
    <w:rsid w:val="00C172C5"/>
    <w:rsid w:val="00C174EA"/>
    <w:rsid w:val="00C175E1"/>
    <w:rsid w:val="00C1773E"/>
    <w:rsid w:val="00C20304"/>
    <w:rsid w:val="00C21888"/>
    <w:rsid w:val="00C2333B"/>
    <w:rsid w:val="00C2430F"/>
    <w:rsid w:val="00C2452A"/>
    <w:rsid w:val="00C24D72"/>
    <w:rsid w:val="00C2516E"/>
    <w:rsid w:val="00C269A4"/>
    <w:rsid w:val="00C26DD4"/>
    <w:rsid w:val="00C27AEA"/>
    <w:rsid w:val="00C32303"/>
    <w:rsid w:val="00C33017"/>
    <w:rsid w:val="00C33094"/>
    <w:rsid w:val="00C33E38"/>
    <w:rsid w:val="00C34C2C"/>
    <w:rsid w:val="00C3538A"/>
    <w:rsid w:val="00C35C4B"/>
    <w:rsid w:val="00C36935"/>
    <w:rsid w:val="00C37859"/>
    <w:rsid w:val="00C37CC9"/>
    <w:rsid w:val="00C416B4"/>
    <w:rsid w:val="00C4179D"/>
    <w:rsid w:val="00C417D9"/>
    <w:rsid w:val="00C42ADF"/>
    <w:rsid w:val="00C44C2A"/>
    <w:rsid w:val="00C46968"/>
    <w:rsid w:val="00C469A7"/>
    <w:rsid w:val="00C47B08"/>
    <w:rsid w:val="00C5037A"/>
    <w:rsid w:val="00C50487"/>
    <w:rsid w:val="00C50B74"/>
    <w:rsid w:val="00C51244"/>
    <w:rsid w:val="00C51403"/>
    <w:rsid w:val="00C51B22"/>
    <w:rsid w:val="00C5264E"/>
    <w:rsid w:val="00C5301E"/>
    <w:rsid w:val="00C540D8"/>
    <w:rsid w:val="00C553E1"/>
    <w:rsid w:val="00C55D31"/>
    <w:rsid w:val="00C56193"/>
    <w:rsid w:val="00C60F84"/>
    <w:rsid w:val="00C61B74"/>
    <w:rsid w:val="00C6278F"/>
    <w:rsid w:val="00C63023"/>
    <w:rsid w:val="00C633DC"/>
    <w:rsid w:val="00C646E4"/>
    <w:rsid w:val="00C64C6B"/>
    <w:rsid w:val="00C64D48"/>
    <w:rsid w:val="00C659E7"/>
    <w:rsid w:val="00C67753"/>
    <w:rsid w:val="00C721C4"/>
    <w:rsid w:val="00C723BA"/>
    <w:rsid w:val="00C7286D"/>
    <w:rsid w:val="00C75B89"/>
    <w:rsid w:val="00C771E8"/>
    <w:rsid w:val="00C81DC1"/>
    <w:rsid w:val="00C81DDF"/>
    <w:rsid w:val="00C82682"/>
    <w:rsid w:val="00C831CE"/>
    <w:rsid w:val="00C83FA4"/>
    <w:rsid w:val="00C854C6"/>
    <w:rsid w:val="00C8607A"/>
    <w:rsid w:val="00C86084"/>
    <w:rsid w:val="00C878AF"/>
    <w:rsid w:val="00C90730"/>
    <w:rsid w:val="00C922F6"/>
    <w:rsid w:val="00C92DA8"/>
    <w:rsid w:val="00C947D6"/>
    <w:rsid w:val="00C94F7D"/>
    <w:rsid w:val="00C9627B"/>
    <w:rsid w:val="00CA06D3"/>
    <w:rsid w:val="00CA3E4E"/>
    <w:rsid w:val="00CA3EAD"/>
    <w:rsid w:val="00CA4C0F"/>
    <w:rsid w:val="00CA6AD3"/>
    <w:rsid w:val="00CA73B7"/>
    <w:rsid w:val="00CA743B"/>
    <w:rsid w:val="00CA7D8A"/>
    <w:rsid w:val="00CB015E"/>
    <w:rsid w:val="00CB0EDF"/>
    <w:rsid w:val="00CB21CA"/>
    <w:rsid w:val="00CB371B"/>
    <w:rsid w:val="00CB3C60"/>
    <w:rsid w:val="00CB422B"/>
    <w:rsid w:val="00CB594F"/>
    <w:rsid w:val="00CB599C"/>
    <w:rsid w:val="00CB5B12"/>
    <w:rsid w:val="00CB5FE1"/>
    <w:rsid w:val="00CB6CAD"/>
    <w:rsid w:val="00CC03E7"/>
    <w:rsid w:val="00CC09A2"/>
    <w:rsid w:val="00CC22BA"/>
    <w:rsid w:val="00CC3989"/>
    <w:rsid w:val="00CC4E90"/>
    <w:rsid w:val="00CC52B9"/>
    <w:rsid w:val="00CC6F31"/>
    <w:rsid w:val="00CD0A3D"/>
    <w:rsid w:val="00CD1A77"/>
    <w:rsid w:val="00CD2004"/>
    <w:rsid w:val="00CD4A22"/>
    <w:rsid w:val="00CD4B96"/>
    <w:rsid w:val="00CD4D89"/>
    <w:rsid w:val="00CD64B2"/>
    <w:rsid w:val="00CE0F1E"/>
    <w:rsid w:val="00CE1C2A"/>
    <w:rsid w:val="00CE76B9"/>
    <w:rsid w:val="00CF0CE2"/>
    <w:rsid w:val="00CF2A4C"/>
    <w:rsid w:val="00CF3EF8"/>
    <w:rsid w:val="00CF6AD4"/>
    <w:rsid w:val="00CF6F2C"/>
    <w:rsid w:val="00CF78D4"/>
    <w:rsid w:val="00CF78D8"/>
    <w:rsid w:val="00CF7C82"/>
    <w:rsid w:val="00D001D9"/>
    <w:rsid w:val="00D03EB7"/>
    <w:rsid w:val="00D040F5"/>
    <w:rsid w:val="00D047BD"/>
    <w:rsid w:val="00D0589B"/>
    <w:rsid w:val="00D058DD"/>
    <w:rsid w:val="00D061BF"/>
    <w:rsid w:val="00D06BE3"/>
    <w:rsid w:val="00D07DFF"/>
    <w:rsid w:val="00D10C3F"/>
    <w:rsid w:val="00D115AF"/>
    <w:rsid w:val="00D12086"/>
    <w:rsid w:val="00D13144"/>
    <w:rsid w:val="00D13848"/>
    <w:rsid w:val="00D13EC7"/>
    <w:rsid w:val="00D148D9"/>
    <w:rsid w:val="00D14B46"/>
    <w:rsid w:val="00D1561E"/>
    <w:rsid w:val="00D16B32"/>
    <w:rsid w:val="00D21A48"/>
    <w:rsid w:val="00D2591E"/>
    <w:rsid w:val="00D26161"/>
    <w:rsid w:val="00D2675E"/>
    <w:rsid w:val="00D27AA9"/>
    <w:rsid w:val="00D32D9A"/>
    <w:rsid w:val="00D33B4D"/>
    <w:rsid w:val="00D35304"/>
    <w:rsid w:val="00D355A9"/>
    <w:rsid w:val="00D361C8"/>
    <w:rsid w:val="00D37903"/>
    <w:rsid w:val="00D400D7"/>
    <w:rsid w:val="00D4057C"/>
    <w:rsid w:val="00D40BB1"/>
    <w:rsid w:val="00D41509"/>
    <w:rsid w:val="00D41BED"/>
    <w:rsid w:val="00D436E0"/>
    <w:rsid w:val="00D43729"/>
    <w:rsid w:val="00D449BA"/>
    <w:rsid w:val="00D44A51"/>
    <w:rsid w:val="00D47A5E"/>
    <w:rsid w:val="00D47CFC"/>
    <w:rsid w:val="00D50BFA"/>
    <w:rsid w:val="00D5275D"/>
    <w:rsid w:val="00D53658"/>
    <w:rsid w:val="00D53C17"/>
    <w:rsid w:val="00D564FF"/>
    <w:rsid w:val="00D57C02"/>
    <w:rsid w:val="00D57C74"/>
    <w:rsid w:val="00D639FB"/>
    <w:rsid w:val="00D63AFF"/>
    <w:rsid w:val="00D66503"/>
    <w:rsid w:val="00D671A6"/>
    <w:rsid w:val="00D67B8E"/>
    <w:rsid w:val="00D7004A"/>
    <w:rsid w:val="00D71EBA"/>
    <w:rsid w:val="00D727CA"/>
    <w:rsid w:val="00D75B95"/>
    <w:rsid w:val="00D76E69"/>
    <w:rsid w:val="00D804D0"/>
    <w:rsid w:val="00D80AF9"/>
    <w:rsid w:val="00D83F57"/>
    <w:rsid w:val="00D84AA5"/>
    <w:rsid w:val="00D86283"/>
    <w:rsid w:val="00D8733E"/>
    <w:rsid w:val="00D90A04"/>
    <w:rsid w:val="00D93042"/>
    <w:rsid w:val="00D93463"/>
    <w:rsid w:val="00D9557B"/>
    <w:rsid w:val="00D95FBB"/>
    <w:rsid w:val="00D97F75"/>
    <w:rsid w:val="00D97FB5"/>
    <w:rsid w:val="00DA27A3"/>
    <w:rsid w:val="00DA37CA"/>
    <w:rsid w:val="00DA4608"/>
    <w:rsid w:val="00DA48D3"/>
    <w:rsid w:val="00DA4A82"/>
    <w:rsid w:val="00DA53E3"/>
    <w:rsid w:val="00DA58D8"/>
    <w:rsid w:val="00DB146B"/>
    <w:rsid w:val="00DB51C7"/>
    <w:rsid w:val="00DB584D"/>
    <w:rsid w:val="00DB6382"/>
    <w:rsid w:val="00DB6C53"/>
    <w:rsid w:val="00DB7EB3"/>
    <w:rsid w:val="00DC01E7"/>
    <w:rsid w:val="00DC0E1E"/>
    <w:rsid w:val="00DC3D6A"/>
    <w:rsid w:val="00DC3F26"/>
    <w:rsid w:val="00DC3FEF"/>
    <w:rsid w:val="00DC4050"/>
    <w:rsid w:val="00DC50E0"/>
    <w:rsid w:val="00DC6263"/>
    <w:rsid w:val="00DC6336"/>
    <w:rsid w:val="00DC6DD3"/>
    <w:rsid w:val="00DD0CF0"/>
    <w:rsid w:val="00DD13F5"/>
    <w:rsid w:val="00DD2B2B"/>
    <w:rsid w:val="00DD39AB"/>
    <w:rsid w:val="00DE0CE8"/>
    <w:rsid w:val="00DE2388"/>
    <w:rsid w:val="00DE342C"/>
    <w:rsid w:val="00DE3465"/>
    <w:rsid w:val="00DE34CC"/>
    <w:rsid w:val="00DE653C"/>
    <w:rsid w:val="00DE6B74"/>
    <w:rsid w:val="00DE7782"/>
    <w:rsid w:val="00DE7A5E"/>
    <w:rsid w:val="00DE7F99"/>
    <w:rsid w:val="00DF00A9"/>
    <w:rsid w:val="00DF01B0"/>
    <w:rsid w:val="00DF0330"/>
    <w:rsid w:val="00DF15F7"/>
    <w:rsid w:val="00DF165B"/>
    <w:rsid w:val="00DF7C84"/>
    <w:rsid w:val="00E04751"/>
    <w:rsid w:val="00E04BDF"/>
    <w:rsid w:val="00E04EDB"/>
    <w:rsid w:val="00E05654"/>
    <w:rsid w:val="00E05E39"/>
    <w:rsid w:val="00E07B7C"/>
    <w:rsid w:val="00E1050F"/>
    <w:rsid w:val="00E11128"/>
    <w:rsid w:val="00E11389"/>
    <w:rsid w:val="00E12904"/>
    <w:rsid w:val="00E15576"/>
    <w:rsid w:val="00E16B57"/>
    <w:rsid w:val="00E171B2"/>
    <w:rsid w:val="00E17AD6"/>
    <w:rsid w:val="00E21305"/>
    <w:rsid w:val="00E21D2A"/>
    <w:rsid w:val="00E22040"/>
    <w:rsid w:val="00E2313D"/>
    <w:rsid w:val="00E2416F"/>
    <w:rsid w:val="00E269D1"/>
    <w:rsid w:val="00E312FE"/>
    <w:rsid w:val="00E31919"/>
    <w:rsid w:val="00E31FBB"/>
    <w:rsid w:val="00E34169"/>
    <w:rsid w:val="00E341F0"/>
    <w:rsid w:val="00E35BBA"/>
    <w:rsid w:val="00E410A9"/>
    <w:rsid w:val="00E42BA1"/>
    <w:rsid w:val="00E43497"/>
    <w:rsid w:val="00E4627E"/>
    <w:rsid w:val="00E462C3"/>
    <w:rsid w:val="00E464D8"/>
    <w:rsid w:val="00E51F98"/>
    <w:rsid w:val="00E564A8"/>
    <w:rsid w:val="00E567DF"/>
    <w:rsid w:val="00E60305"/>
    <w:rsid w:val="00E60BA6"/>
    <w:rsid w:val="00E621E8"/>
    <w:rsid w:val="00E6258E"/>
    <w:rsid w:val="00E634F5"/>
    <w:rsid w:val="00E644FD"/>
    <w:rsid w:val="00E64573"/>
    <w:rsid w:val="00E64EFE"/>
    <w:rsid w:val="00E66848"/>
    <w:rsid w:val="00E67DA2"/>
    <w:rsid w:val="00E70971"/>
    <w:rsid w:val="00E712F7"/>
    <w:rsid w:val="00E71854"/>
    <w:rsid w:val="00E71A53"/>
    <w:rsid w:val="00E721E9"/>
    <w:rsid w:val="00E72805"/>
    <w:rsid w:val="00E7371F"/>
    <w:rsid w:val="00E77BFB"/>
    <w:rsid w:val="00E8201E"/>
    <w:rsid w:val="00E84321"/>
    <w:rsid w:val="00E84EE3"/>
    <w:rsid w:val="00E84F73"/>
    <w:rsid w:val="00E86459"/>
    <w:rsid w:val="00E912BF"/>
    <w:rsid w:val="00E93A8A"/>
    <w:rsid w:val="00E95946"/>
    <w:rsid w:val="00E976AF"/>
    <w:rsid w:val="00EA0F7A"/>
    <w:rsid w:val="00EA0FE5"/>
    <w:rsid w:val="00EA186B"/>
    <w:rsid w:val="00EA38F2"/>
    <w:rsid w:val="00EA3BDF"/>
    <w:rsid w:val="00EA48A6"/>
    <w:rsid w:val="00EA51EE"/>
    <w:rsid w:val="00EA54BC"/>
    <w:rsid w:val="00EA5DFA"/>
    <w:rsid w:val="00EA7FA2"/>
    <w:rsid w:val="00EB0DAB"/>
    <w:rsid w:val="00EB704F"/>
    <w:rsid w:val="00EB7D70"/>
    <w:rsid w:val="00EC0472"/>
    <w:rsid w:val="00EC04A5"/>
    <w:rsid w:val="00EC1503"/>
    <w:rsid w:val="00EC4621"/>
    <w:rsid w:val="00EC47EB"/>
    <w:rsid w:val="00EC5522"/>
    <w:rsid w:val="00EC5A47"/>
    <w:rsid w:val="00EC6443"/>
    <w:rsid w:val="00EC67A1"/>
    <w:rsid w:val="00EC6C39"/>
    <w:rsid w:val="00EC71EF"/>
    <w:rsid w:val="00ED01F8"/>
    <w:rsid w:val="00ED0878"/>
    <w:rsid w:val="00ED125A"/>
    <w:rsid w:val="00ED44D3"/>
    <w:rsid w:val="00ED5B31"/>
    <w:rsid w:val="00ED5C32"/>
    <w:rsid w:val="00ED65CD"/>
    <w:rsid w:val="00ED761C"/>
    <w:rsid w:val="00ED7F63"/>
    <w:rsid w:val="00EE3A15"/>
    <w:rsid w:val="00EE4D39"/>
    <w:rsid w:val="00EE602B"/>
    <w:rsid w:val="00EE64E3"/>
    <w:rsid w:val="00EE6667"/>
    <w:rsid w:val="00EE6697"/>
    <w:rsid w:val="00EE72C3"/>
    <w:rsid w:val="00EE73DA"/>
    <w:rsid w:val="00EF0436"/>
    <w:rsid w:val="00EF30EF"/>
    <w:rsid w:val="00EF393D"/>
    <w:rsid w:val="00EF416E"/>
    <w:rsid w:val="00EF5A55"/>
    <w:rsid w:val="00EF6B5F"/>
    <w:rsid w:val="00EF7A91"/>
    <w:rsid w:val="00F01AC1"/>
    <w:rsid w:val="00F03066"/>
    <w:rsid w:val="00F03DB1"/>
    <w:rsid w:val="00F03FA6"/>
    <w:rsid w:val="00F05D60"/>
    <w:rsid w:val="00F06101"/>
    <w:rsid w:val="00F0615A"/>
    <w:rsid w:val="00F1265E"/>
    <w:rsid w:val="00F129B7"/>
    <w:rsid w:val="00F13030"/>
    <w:rsid w:val="00F1326A"/>
    <w:rsid w:val="00F1340D"/>
    <w:rsid w:val="00F13573"/>
    <w:rsid w:val="00F1554C"/>
    <w:rsid w:val="00F16177"/>
    <w:rsid w:val="00F17C3C"/>
    <w:rsid w:val="00F21CCB"/>
    <w:rsid w:val="00F23B63"/>
    <w:rsid w:val="00F26102"/>
    <w:rsid w:val="00F26D89"/>
    <w:rsid w:val="00F312F3"/>
    <w:rsid w:val="00F31BF5"/>
    <w:rsid w:val="00F32418"/>
    <w:rsid w:val="00F329DE"/>
    <w:rsid w:val="00F32C77"/>
    <w:rsid w:val="00F33128"/>
    <w:rsid w:val="00F34481"/>
    <w:rsid w:val="00F376D9"/>
    <w:rsid w:val="00F404B6"/>
    <w:rsid w:val="00F40F74"/>
    <w:rsid w:val="00F412CA"/>
    <w:rsid w:val="00F42260"/>
    <w:rsid w:val="00F42CCF"/>
    <w:rsid w:val="00F43B1B"/>
    <w:rsid w:val="00F445C0"/>
    <w:rsid w:val="00F45269"/>
    <w:rsid w:val="00F47780"/>
    <w:rsid w:val="00F47E74"/>
    <w:rsid w:val="00F50D5F"/>
    <w:rsid w:val="00F511F0"/>
    <w:rsid w:val="00F51415"/>
    <w:rsid w:val="00F546BD"/>
    <w:rsid w:val="00F55E27"/>
    <w:rsid w:val="00F608BE"/>
    <w:rsid w:val="00F60EB7"/>
    <w:rsid w:val="00F61E36"/>
    <w:rsid w:val="00F62942"/>
    <w:rsid w:val="00F64D91"/>
    <w:rsid w:val="00F67B1D"/>
    <w:rsid w:val="00F704BF"/>
    <w:rsid w:val="00F71886"/>
    <w:rsid w:val="00F71A88"/>
    <w:rsid w:val="00F71E65"/>
    <w:rsid w:val="00F7340C"/>
    <w:rsid w:val="00F7349A"/>
    <w:rsid w:val="00F76664"/>
    <w:rsid w:val="00F77F3F"/>
    <w:rsid w:val="00F80846"/>
    <w:rsid w:val="00F80C16"/>
    <w:rsid w:val="00F80C94"/>
    <w:rsid w:val="00F82FD4"/>
    <w:rsid w:val="00F8310B"/>
    <w:rsid w:val="00F83FDF"/>
    <w:rsid w:val="00F843FD"/>
    <w:rsid w:val="00F84C1C"/>
    <w:rsid w:val="00F84F7A"/>
    <w:rsid w:val="00F85266"/>
    <w:rsid w:val="00F854DD"/>
    <w:rsid w:val="00F85D5A"/>
    <w:rsid w:val="00F86DBE"/>
    <w:rsid w:val="00F86F82"/>
    <w:rsid w:val="00F87DA0"/>
    <w:rsid w:val="00F90082"/>
    <w:rsid w:val="00F90DE5"/>
    <w:rsid w:val="00F90E68"/>
    <w:rsid w:val="00F94D20"/>
    <w:rsid w:val="00F9718B"/>
    <w:rsid w:val="00F9782E"/>
    <w:rsid w:val="00FA1279"/>
    <w:rsid w:val="00FA2A29"/>
    <w:rsid w:val="00FA50FD"/>
    <w:rsid w:val="00FA6FD1"/>
    <w:rsid w:val="00FA787F"/>
    <w:rsid w:val="00FB4C0E"/>
    <w:rsid w:val="00FB5520"/>
    <w:rsid w:val="00FB699C"/>
    <w:rsid w:val="00FB7DDF"/>
    <w:rsid w:val="00FC0373"/>
    <w:rsid w:val="00FC0718"/>
    <w:rsid w:val="00FC0D3D"/>
    <w:rsid w:val="00FC1617"/>
    <w:rsid w:val="00FC2DD0"/>
    <w:rsid w:val="00FC4D33"/>
    <w:rsid w:val="00FC4DD1"/>
    <w:rsid w:val="00FC5ED7"/>
    <w:rsid w:val="00FC610C"/>
    <w:rsid w:val="00FC6884"/>
    <w:rsid w:val="00FC7344"/>
    <w:rsid w:val="00FD2B3E"/>
    <w:rsid w:val="00FD3523"/>
    <w:rsid w:val="00FD3DEB"/>
    <w:rsid w:val="00FD5627"/>
    <w:rsid w:val="00FD6759"/>
    <w:rsid w:val="00FD6D1A"/>
    <w:rsid w:val="00FE15F2"/>
    <w:rsid w:val="00FE1692"/>
    <w:rsid w:val="00FE3204"/>
    <w:rsid w:val="00FE441A"/>
    <w:rsid w:val="00FE488C"/>
    <w:rsid w:val="00FE601A"/>
    <w:rsid w:val="00FE6389"/>
    <w:rsid w:val="00FE6E12"/>
    <w:rsid w:val="00FE7169"/>
    <w:rsid w:val="00FE792A"/>
    <w:rsid w:val="00FF1F42"/>
    <w:rsid w:val="00FF6897"/>
    <w:rsid w:val="00FF6982"/>
    <w:rsid w:val="00FF7053"/>
    <w:rsid w:val="00FF71F7"/>
    <w:rsid w:val="00FF7A20"/>
    <w:rsid w:val="04A9100B"/>
    <w:rsid w:val="0BC87EE4"/>
    <w:rsid w:val="0D1B7335"/>
    <w:rsid w:val="0DC25855"/>
    <w:rsid w:val="0F442EBA"/>
    <w:rsid w:val="0F6F4F5A"/>
    <w:rsid w:val="10CC55B8"/>
    <w:rsid w:val="118714DF"/>
    <w:rsid w:val="1299751E"/>
    <w:rsid w:val="13CF23CA"/>
    <w:rsid w:val="14D25167"/>
    <w:rsid w:val="174D6D27"/>
    <w:rsid w:val="17B84989"/>
    <w:rsid w:val="18C9062F"/>
    <w:rsid w:val="18D72D4C"/>
    <w:rsid w:val="1D921938"/>
    <w:rsid w:val="1DDE2DCF"/>
    <w:rsid w:val="1F890B18"/>
    <w:rsid w:val="226E2973"/>
    <w:rsid w:val="27E15995"/>
    <w:rsid w:val="28E650B6"/>
    <w:rsid w:val="29923F47"/>
    <w:rsid w:val="2C07063A"/>
    <w:rsid w:val="2D410C84"/>
    <w:rsid w:val="2DDE6A6D"/>
    <w:rsid w:val="2E6C4895"/>
    <w:rsid w:val="2EB06BF7"/>
    <w:rsid w:val="2F0B32F8"/>
    <w:rsid w:val="30B579BF"/>
    <w:rsid w:val="32363B63"/>
    <w:rsid w:val="344057F2"/>
    <w:rsid w:val="351A0851"/>
    <w:rsid w:val="36483DFB"/>
    <w:rsid w:val="368C6ECC"/>
    <w:rsid w:val="39730417"/>
    <w:rsid w:val="39E133F5"/>
    <w:rsid w:val="3B5B5E8A"/>
    <w:rsid w:val="3ED56947"/>
    <w:rsid w:val="3F2F6754"/>
    <w:rsid w:val="419158DF"/>
    <w:rsid w:val="462F1AB3"/>
    <w:rsid w:val="46E22739"/>
    <w:rsid w:val="46F030A7"/>
    <w:rsid w:val="48A91760"/>
    <w:rsid w:val="4B005D50"/>
    <w:rsid w:val="4CF54820"/>
    <w:rsid w:val="4D0D35D2"/>
    <w:rsid w:val="4DE37A02"/>
    <w:rsid w:val="4EAD790C"/>
    <w:rsid w:val="530F0D59"/>
    <w:rsid w:val="545033D7"/>
    <w:rsid w:val="555655F3"/>
    <w:rsid w:val="580F70C9"/>
    <w:rsid w:val="58B8779D"/>
    <w:rsid w:val="59BD41B5"/>
    <w:rsid w:val="59E6628D"/>
    <w:rsid w:val="5A721875"/>
    <w:rsid w:val="5BC22E0D"/>
    <w:rsid w:val="5C3866C7"/>
    <w:rsid w:val="5E71734B"/>
    <w:rsid w:val="5EA507C4"/>
    <w:rsid w:val="5F105C3D"/>
    <w:rsid w:val="5F1B5006"/>
    <w:rsid w:val="63A24255"/>
    <w:rsid w:val="64E263CC"/>
    <w:rsid w:val="6716225F"/>
    <w:rsid w:val="67CA4DF7"/>
    <w:rsid w:val="683230C8"/>
    <w:rsid w:val="684D3A5E"/>
    <w:rsid w:val="6A1F767C"/>
    <w:rsid w:val="6A5C442C"/>
    <w:rsid w:val="6AF21F10"/>
    <w:rsid w:val="6C267FF8"/>
    <w:rsid w:val="6D6B0BCD"/>
    <w:rsid w:val="701337DF"/>
    <w:rsid w:val="70673B2B"/>
    <w:rsid w:val="71333497"/>
    <w:rsid w:val="71C867F5"/>
    <w:rsid w:val="72601FB5"/>
    <w:rsid w:val="742F4960"/>
    <w:rsid w:val="74D774D1"/>
    <w:rsid w:val="776158EB"/>
    <w:rsid w:val="78300CA6"/>
    <w:rsid w:val="7BB15DE1"/>
    <w:rsid w:val="7C87620E"/>
    <w:rsid w:val="7D366D5F"/>
    <w:rsid w:val="7DDD427C"/>
    <w:rsid w:val="7E5E3453"/>
    <w:rsid w:val="7F1E1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99" w:name="footnote text"/>
    <w:lsdException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nhideWhenUsed="0" w:uiPriority="0" w:semiHidden="0"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0" w:name="Salutation"/>
    <w:lsdException w:uiPriority="0" w:name="Date"/>
    <w:lsdException w:uiPriority="99" w:name="Body Text First Indent"/>
    <w:lsdException w:uiPriority="0" w:name="Body Text First Indent 2"/>
    <w:lsdException w:uiPriority="99" w:name="Note Heading"/>
    <w:lsdException w:qFormat="1" w:uiPriority="99" w:name="Body Text 2"/>
    <w:lsdException w:qFormat="1"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0" w:name="FollowedHyperlink"/>
    <w:lsdException w:qFormat="1" w:unhideWhenUsed="0" w:uiPriority="0" w:semiHidden="0" w:name="Strong"/>
    <w:lsdException w:unhideWhenUsed="0" w:uiPriority="20" w:semiHidden="0" w:name="Emphasis"/>
    <w:lsdException w:uiPriority="99" w:name="Document Map"/>
    <w:lsdException w:uiPriority="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qFormat="1"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80" w:firstLineChars="200"/>
    </w:pPr>
    <w:rPr>
      <w:rFonts w:eastAsia="宋体" w:asciiTheme="minorHAnsi" w:hAnsiTheme="minorHAnsi" w:cstheme="minorBidi"/>
      <w:kern w:val="2"/>
      <w:sz w:val="24"/>
      <w:szCs w:val="21"/>
      <w:lang w:val="en-US" w:eastAsia="zh-CN" w:bidi="ar-SA"/>
    </w:rPr>
  </w:style>
  <w:style w:type="paragraph" w:styleId="3">
    <w:name w:val="heading 1"/>
    <w:basedOn w:val="1"/>
    <w:next w:val="1"/>
    <w:link w:val="23"/>
    <w:qFormat/>
    <w:uiPriority w:val="9"/>
    <w:pPr>
      <w:keepNext/>
      <w:keepLines/>
      <w:numPr>
        <w:ilvl w:val="0"/>
        <w:numId w:val="1"/>
      </w:numPr>
      <w:suppressLineNumbers/>
      <w:ind w:firstLineChars="0"/>
      <w:jc w:val="center"/>
      <w:outlineLvl w:val="0"/>
    </w:pPr>
    <w:rPr>
      <w:rFonts w:ascii="Times New Roman" w:hAnsi="Times New Roman"/>
      <w:b/>
      <w:bCs/>
      <w:kern w:val="44"/>
      <w:sz w:val="32"/>
      <w:szCs w:val="44"/>
    </w:rPr>
  </w:style>
  <w:style w:type="paragraph" w:styleId="2">
    <w:name w:val="heading 2"/>
    <w:basedOn w:val="1"/>
    <w:next w:val="1"/>
    <w:link w:val="21"/>
    <w:unhideWhenUsed/>
    <w:qFormat/>
    <w:uiPriority w:val="9"/>
    <w:pPr>
      <w:keepNext/>
      <w:keepLines/>
      <w:numPr>
        <w:ilvl w:val="1"/>
        <w:numId w:val="1"/>
      </w:numPr>
      <w:ind w:firstLine="0" w:firstLineChars="0"/>
      <w:jc w:val="center"/>
      <w:outlineLvl w:val="1"/>
    </w:pPr>
    <w:rPr>
      <w:rFonts w:ascii="Times New Roman" w:hAnsi="Times New Roman" w:cstheme="majorBidi"/>
      <w:b/>
      <w:bCs/>
      <w:sz w:val="30"/>
      <w:szCs w:val="32"/>
    </w:rPr>
  </w:style>
  <w:style w:type="paragraph" w:styleId="4">
    <w:name w:val="heading 3"/>
    <w:basedOn w:val="1"/>
    <w:next w:val="1"/>
    <w:link w:val="25"/>
    <w:unhideWhenUsed/>
    <w:qFormat/>
    <w:uiPriority w:val="9"/>
    <w:pPr>
      <w:keepNext/>
      <w:keepLines/>
      <w:numPr>
        <w:ilvl w:val="2"/>
        <w:numId w:val="1"/>
      </w:numPr>
      <w:ind w:firstLineChars="0"/>
      <w:outlineLvl w:val="2"/>
    </w:pPr>
    <w:rPr>
      <w:rFonts w:ascii="Times New Roman" w:hAnsi="Times New Roman"/>
      <w:b/>
      <w:bCs/>
      <w:sz w:val="28"/>
      <w:szCs w:val="32"/>
    </w:rPr>
  </w:style>
  <w:style w:type="paragraph" w:styleId="5">
    <w:name w:val="heading 4"/>
    <w:basedOn w:val="1"/>
    <w:next w:val="1"/>
    <w:link w:val="24"/>
    <w:unhideWhenUsed/>
    <w:qFormat/>
    <w:uiPriority w:val="9"/>
    <w:pPr>
      <w:keepNext/>
      <w:keepLines/>
      <w:numPr>
        <w:ilvl w:val="3"/>
        <w:numId w:val="1"/>
      </w:numPr>
      <w:ind w:left="0" w:firstLineChars="0"/>
      <w:outlineLvl w:val="3"/>
    </w:pPr>
    <w:rPr>
      <w:rFonts w:ascii="Times New Roman" w:hAnsi="Times New Roman" w:cstheme="majorBidi"/>
      <w:bCs/>
      <w:szCs w:val="28"/>
    </w:rPr>
  </w:style>
  <w:style w:type="paragraph" w:styleId="6">
    <w:name w:val="heading 5"/>
    <w:basedOn w:val="1"/>
    <w:next w:val="1"/>
    <w:link w:val="28"/>
    <w:unhideWhenUsed/>
    <w:qFormat/>
    <w:uiPriority w:val="9"/>
    <w:pPr>
      <w:keepNext/>
      <w:keepLines/>
      <w:numPr>
        <w:ilvl w:val="4"/>
        <w:numId w:val="1"/>
      </w:numPr>
      <w:ind w:left="0" w:firstLineChars="0"/>
      <w:outlineLvl w:val="4"/>
    </w:pPr>
    <w:rPr>
      <w:rFonts w:ascii="Times New Roman" w:hAnsi="Times New Roman"/>
      <w:bCs/>
      <w:szCs w:val="28"/>
    </w:rPr>
  </w:style>
  <w:style w:type="paragraph" w:styleId="7">
    <w:name w:val="heading 6"/>
    <w:basedOn w:val="1"/>
    <w:next w:val="1"/>
    <w:link w:val="40"/>
    <w:unhideWhenUsed/>
    <w:qFormat/>
    <w:uiPriority w:val="9"/>
    <w:pPr>
      <w:keepNext/>
      <w:keepLines/>
      <w:spacing w:before="240" w:after="64" w:line="317" w:lineRule="auto"/>
      <w:outlineLvl w:val="5"/>
    </w:pPr>
    <w:rPr>
      <w:rFonts w:ascii="Arial" w:hAnsi="Arial" w:eastAsia="黑体"/>
      <w:b/>
    </w:rPr>
  </w:style>
  <w:style w:type="paragraph" w:styleId="8">
    <w:name w:val="heading 7"/>
    <w:basedOn w:val="1"/>
    <w:next w:val="1"/>
    <w:link w:val="72"/>
    <w:unhideWhenUsed/>
    <w:qFormat/>
    <w:uiPriority w:val="9"/>
    <w:pPr>
      <w:keepNext/>
      <w:keepLines/>
      <w:spacing w:before="240" w:after="64" w:line="320" w:lineRule="auto"/>
      <w:outlineLvl w:val="6"/>
    </w:pPr>
    <w:rPr>
      <w:b/>
      <w:bCs/>
      <w:szCs w:val="24"/>
    </w:rPr>
  </w:style>
  <w:style w:type="character" w:default="1" w:styleId="18">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9">
    <w:name w:val="Normal Indent"/>
    <w:basedOn w:val="1"/>
    <w:next w:val="1"/>
    <w:qFormat/>
    <w:uiPriority w:val="0"/>
    <w:pPr>
      <w:ind w:firstLine="420"/>
    </w:pPr>
    <w:rPr>
      <w:szCs w:val="20"/>
    </w:rPr>
  </w:style>
  <w:style w:type="paragraph" w:styleId="10">
    <w:name w:val="footer"/>
    <w:basedOn w:val="1"/>
    <w:unhideWhenUsed/>
    <w:qFormat/>
    <w:uiPriority w:val="99"/>
    <w:pPr>
      <w:tabs>
        <w:tab w:val="center" w:pos="4153"/>
        <w:tab w:val="right" w:pos="8306"/>
      </w:tabs>
      <w:snapToGrid w:val="0"/>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Title"/>
    <w:basedOn w:val="1"/>
    <w:next w:val="1"/>
    <w:link w:val="26"/>
    <w:qFormat/>
    <w:uiPriority w:val="10"/>
    <w:pPr>
      <w:spacing w:before="240" w:after="60"/>
      <w:jc w:val="center"/>
      <w:outlineLvl w:val="0"/>
    </w:pPr>
    <w:rPr>
      <w:rFonts w:asciiTheme="majorHAnsi" w:hAnsiTheme="majorHAnsi" w:cstheme="majorBidi"/>
      <w:b/>
      <w:bCs/>
      <w:sz w:val="32"/>
      <w:szCs w:val="32"/>
    </w:rPr>
  </w:style>
  <w:style w:type="table" w:styleId="16">
    <w:name w:val="Table Grid"/>
    <w:basedOn w:val="15"/>
    <w:qFormat/>
    <w:uiPriority w:val="59"/>
    <w:pPr>
      <w:jc w:val="center"/>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tblStylePr w:type="firstRow">
      <w:rPr>
        <w:rFonts w:eastAsiaTheme="majorEastAsia"/>
      </w:rPr>
      <w:tcPr>
        <w:shd w:val="clear" w:color="auto" w:fill="C6D9F0" w:themeFill="text2" w:themeFillTint="33"/>
      </w:tcPr>
    </w:tblStylePr>
  </w:style>
  <w:style w:type="table" w:styleId="17">
    <w:name w:val="Colorful List Accent 6"/>
    <w:basedOn w:val="15"/>
    <w:qFormat/>
    <w:uiPriority w:val="72"/>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character" w:styleId="19">
    <w:name w:val="Strong"/>
    <w:basedOn w:val="18"/>
    <w:qFormat/>
    <w:uiPriority w:val="0"/>
    <w:rPr>
      <w:b/>
    </w:rPr>
  </w:style>
  <w:style w:type="character" w:styleId="20">
    <w:name w:val="Hyperlink"/>
    <w:basedOn w:val="18"/>
    <w:qFormat/>
    <w:uiPriority w:val="0"/>
    <w:rPr>
      <w:color w:val="0000FF"/>
      <w:u w:val="single"/>
    </w:rPr>
  </w:style>
  <w:style w:type="character" w:customStyle="1" w:styleId="21">
    <w:name w:val="标题 2 Char"/>
    <w:basedOn w:val="18"/>
    <w:link w:val="2"/>
    <w:qFormat/>
    <w:uiPriority w:val="9"/>
    <w:rPr>
      <w:rFonts w:ascii="Times New Roman" w:hAnsi="Times New Roman" w:eastAsia="宋体" w:cstheme="majorBidi"/>
      <w:b/>
      <w:bCs/>
      <w:sz w:val="30"/>
      <w:szCs w:val="32"/>
    </w:rPr>
  </w:style>
  <w:style w:type="paragraph" w:customStyle="1" w:styleId="22">
    <w:name w:val="正文1(1)"/>
    <w:basedOn w:val="1"/>
    <w:link w:val="34"/>
    <w:qFormat/>
    <w:uiPriority w:val="0"/>
    <w:pPr>
      <w:numPr>
        <w:ilvl w:val="5"/>
        <w:numId w:val="1"/>
      </w:numPr>
      <w:ind w:left="0" w:firstLine="480"/>
    </w:pPr>
    <w:rPr>
      <w:rFonts w:ascii="Times New Roman" w:hAnsi="Times New Roman"/>
    </w:rPr>
  </w:style>
  <w:style w:type="character" w:customStyle="1" w:styleId="23">
    <w:name w:val="标题 1 Char"/>
    <w:basedOn w:val="18"/>
    <w:link w:val="3"/>
    <w:qFormat/>
    <w:uiPriority w:val="9"/>
    <w:rPr>
      <w:rFonts w:ascii="Times New Roman" w:hAnsi="Times New Roman" w:eastAsia="宋体"/>
      <w:b/>
      <w:bCs/>
      <w:kern w:val="44"/>
      <w:sz w:val="32"/>
      <w:szCs w:val="44"/>
    </w:rPr>
  </w:style>
  <w:style w:type="character" w:customStyle="1" w:styleId="24">
    <w:name w:val="标题 4 Char"/>
    <w:basedOn w:val="18"/>
    <w:link w:val="5"/>
    <w:qFormat/>
    <w:uiPriority w:val="9"/>
    <w:rPr>
      <w:rFonts w:ascii="Times New Roman" w:hAnsi="Times New Roman" w:eastAsia="宋体" w:cstheme="majorBidi"/>
      <w:bCs/>
      <w:sz w:val="24"/>
      <w:szCs w:val="28"/>
    </w:rPr>
  </w:style>
  <w:style w:type="character" w:customStyle="1" w:styleId="25">
    <w:name w:val="标题 3 Char"/>
    <w:basedOn w:val="18"/>
    <w:link w:val="4"/>
    <w:qFormat/>
    <w:uiPriority w:val="9"/>
    <w:rPr>
      <w:rFonts w:ascii="Times New Roman" w:hAnsi="Times New Roman" w:eastAsia="宋体"/>
      <w:b/>
      <w:bCs/>
      <w:sz w:val="28"/>
      <w:szCs w:val="32"/>
    </w:rPr>
  </w:style>
  <w:style w:type="character" w:customStyle="1" w:styleId="26">
    <w:name w:val="标题 Char"/>
    <w:basedOn w:val="18"/>
    <w:link w:val="14"/>
    <w:qFormat/>
    <w:uiPriority w:val="10"/>
    <w:rPr>
      <w:rFonts w:eastAsia="宋体" w:asciiTheme="majorHAnsi" w:hAnsiTheme="majorHAnsi" w:cstheme="majorBidi"/>
      <w:b/>
      <w:bCs/>
      <w:sz w:val="32"/>
      <w:szCs w:val="32"/>
    </w:rPr>
  </w:style>
  <w:style w:type="paragraph" w:customStyle="1" w:styleId="27">
    <w:name w:val="(表格)"/>
    <w:basedOn w:val="1"/>
    <w:link w:val="42"/>
    <w:qFormat/>
    <w:uiPriority w:val="0"/>
    <w:pPr>
      <w:numPr>
        <w:ilvl w:val="7"/>
        <w:numId w:val="1"/>
      </w:numPr>
      <w:spacing w:line="240" w:lineRule="auto"/>
      <w:ind w:firstLineChars="0"/>
      <w:jc w:val="center"/>
    </w:pPr>
    <w:rPr>
      <w:rFonts w:ascii="Times New Roman" w:hAnsi="Times New Roman" w:eastAsia="黑体"/>
    </w:rPr>
  </w:style>
  <w:style w:type="character" w:customStyle="1" w:styleId="28">
    <w:name w:val="标题 5 Char"/>
    <w:basedOn w:val="18"/>
    <w:link w:val="6"/>
    <w:qFormat/>
    <w:uiPriority w:val="9"/>
    <w:rPr>
      <w:rFonts w:ascii="Times New Roman" w:hAnsi="Times New Roman" w:eastAsia="宋体"/>
      <w:bCs/>
      <w:sz w:val="24"/>
      <w:szCs w:val="28"/>
    </w:rPr>
  </w:style>
  <w:style w:type="paragraph" w:customStyle="1" w:styleId="29">
    <w:name w:val="（图片）"/>
    <w:basedOn w:val="1"/>
    <w:next w:val="30"/>
    <w:link w:val="38"/>
    <w:qFormat/>
    <w:uiPriority w:val="0"/>
    <w:pPr>
      <w:numPr>
        <w:ilvl w:val="8"/>
        <w:numId w:val="1"/>
      </w:numPr>
      <w:spacing w:line="240" w:lineRule="auto"/>
      <w:ind w:left="0" w:firstLineChars="0"/>
      <w:jc w:val="center"/>
    </w:pPr>
    <w:rPr>
      <w:rFonts w:eastAsia="黑体"/>
    </w:rPr>
  </w:style>
  <w:style w:type="paragraph" w:customStyle="1" w:styleId="30">
    <w:name w:val="图"/>
    <w:basedOn w:val="1"/>
    <w:link w:val="41"/>
    <w:qFormat/>
    <w:uiPriority w:val="0"/>
    <w:pPr>
      <w:pBdr>
        <w:top w:val="single" w:color="4F81BD" w:themeColor="accent1" w:sz="12" w:space="1"/>
        <w:left w:val="single" w:color="4F81BD" w:themeColor="accent1" w:sz="12" w:space="4"/>
        <w:bottom w:val="single" w:color="4F81BD" w:themeColor="accent1" w:sz="12" w:space="1"/>
        <w:right w:val="single" w:color="4F81BD" w:themeColor="accent1" w:sz="12" w:space="4"/>
      </w:pBdr>
      <w:spacing w:line="276" w:lineRule="auto"/>
      <w:ind w:firstLine="0" w:firstLineChars="0"/>
      <w:jc w:val="center"/>
    </w:pPr>
    <w:rPr>
      <w:rFonts w:ascii="Times New Roman" w:hAnsi="Times New Roman" w:eastAsia="宋体"/>
      <w:sz w:val="21"/>
    </w:rPr>
  </w:style>
  <w:style w:type="paragraph" w:customStyle="1" w:styleId="31">
    <w:name w:val="正文 1)"/>
    <w:basedOn w:val="1"/>
    <w:link w:val="35"/>
    <w:qFormat/>
    <w:uiPriority w:val="0"/>
    <w:pPr>
      <w:numPr>
        <w:ilvl w:val="6"/>
        <w:numId w:val="1"/>
      </w:numPr>
      <w:ind w:firstLine="200"/>
    </w:pPr>
  </w:style>
  <w:style w:type="paragraph" w:customStyle="1" w:styleId="32">
    <w:name w:val="表格内容居中"/>
    <w:basedOn w:val="1"/>
    <w:link w:val="33"/>
    <w:qFormat/>
    <w:uiPriority w:val="0"/>
    <w:pPr>
      <w:spacing w:line="360" w:lineRule="exact"/>
      <w:ind w:firstLine="0" w:firstLineChars="0"/>
      <w:jc w:val="center"/>
    </w:pPr>
    <w:rPr>
      <w:rFonts w:ascii="Times New Roman" w:hAnsi="Times New Roman"/>
      <w:sz w:val="21"/>
    </w:rPr>
  </w:style>
  <w:style w:type="character" w:customStyle="1" w:styleId="33">
    <w:name w:val="表格内容居中 Char"/>
    <w:basedOn w:val="18"/>
    <w:link w:val="32"/>
    <w:qFormat/>
    <w:uiPriority w:val="0"/>
    <w:rPr>
      <w:rFonts w:ascii="Times New Roman" w:hAnsi="Times New Roman" w:eastAsia="宋体"/>
    </w:rPr>
  </w:style>
  <w:style w:type="character" w:customStyle="1" w:styleId="34">
    <w:name w:val="正文1(1) Char"/>
    <w:link w:val="22"/>
    <w:qFormat/>
    <w:uiPriority w:val="0"/>
    <w:rPr>
      <w:rFonts w:ascii="Times New Roman" w:hAnsi="Times New Roman" w:eastAsia="宋体"/>
      <w:sz w:val="24"/>
    </w:rPr>
  </w:style>
  <w:style w:type="character" w:customStyle="1" w:styleId="35">
    <w:name w:val="正文 1) Char"/>
    <w:link w:val="31"/>
    <w:qFormat/>
    <w:uiPriority w:val="0"/>
    <w:rPr>
      <w:rFonts w:eastAsia="宋体"/>
      <w:sz w:val="24"/>
    </w:rPr>
  </w:style>
  <w:style w:type="paragraph" w:customStyle="1" w:styleId="36">
    <w:name w:val="表格内容左对齐1"/>
    <w:basedOn w:val="32"/>
    <w:link w:val="37"/>
    <w:qFormat/>
    <w:uiPriority w:val="0"/>
    <w:pPr>
      <w:widowControl/>
      <w:spacing w:line="240" w:lineRule="auto"/>
      <w:ind w:firstLine="420" w:firstLineChars="200"/>
      <w:jc w:val="left"/>
    </w:pPr>
    <w:rPr>
      <w:rFonts w:ascii="宋体" w:hAnsi="宋体" w:cs="宋体"/>
      <w:kern w:val="0"/>
      <w:szCs w:val="24"/>
    </w:rPr>
  </w:style>
  <w:style w:type="character" w:customStyle="1" w:styleId="37">
    <w:name w:val="表格内容左对齐1 Char"/>
    <w:basedOn w:val="33"/>
    <w:link w:val="36"/>
    <w:qFormat/>
    <w:uiPriority w:val="0"/>
    <w:rPr>
      <w:rFonts w:ascii="宋体" w:hAnsi="宋体" w:eastAsia="宋体" w:cs="宋体"/>
      <w:kern w:val="0"/>
      <w:szCs w:val="24"/>
    </w:rPr>
  </w:style>
  <w:style w:type="character" w:customStyle="1" w:styleId="38">
    <w:name w:val="（图片） Char"/>
    <w:link w:val="29"/>
    <w:qFormat/>
    <w:uiPriority w:val="0"/>
    <w:rPr>
      <w:rFonts w:eastAsia="黑体"/>
      <w:sz w:val="24"/>
    </w:rPr>
  </w:style>
  <w:style w:type="table" w:customStyle="1" w:styleId="39">
    <w:name w:val="网格型1"/>
    <w:basedOn w:val="15"/>
    <w:qFormat/>
    <w:uiPriority w:val="59"/>
    <w:pPr>
      <w:jc w:val="center"/>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tblStylePr w:type="firstRow">
      <w:rPr>
        <w:rFonts w:eastAsiaTheme="majorEastAsia"/>
      </w:rPr>
      <w:tcPr>
        <w:shd w:val="clear" w:color="auto" w:fill="C6D9F0" w:themeFill="text2" w:themeFillTint="33"/>
      </w:tcPr>
    </w:tblStylePr>
  </w:style>
  <w:style w:type="character" w:customStyle="1" w:styleId="40">
    <w:name w:val="标题 6 Char"/>
    <w:basedOn w:val="18"/>
    <w:link w:val="7"/>
    <w:qFormat/>
    <w:uiPriority w:val="9"/>
    <w:rPr>
      <w:rFonts w:ascii="Arial" w:hAnsi="Arial" w:eastAsia="黑体"/>
      <w:b/>
      <w:sz w:val="24"/>
    </w:rPr>
  </w:style>
  <w:style w:type="character" w:customStyle="1" w:styleId="41">
    <w:name w:val="图 Char"/>
    <w:link w:val="30"/>
    <w:qFormat/>
    <w:uiPriority w:val="0"/>
    <w:rPr>
      <w:rFonts w:ascii="Times New Roman" w:hAnsi="Times New Roman" w:eastAsia="宋体"/>
    </w:rPr>
  </w:style>
  <w:style w:type="character" w:customStyle="1" w:styleId="42">
    <w:name w:val="(表格) Char"/>
    <w:link w:val="27"/>
    <w:qFormat/>
    <w:locked/>
    <w:uiPriority w:val="0"/>
    <w:rPr>
      <w:rFonts w:ascii="Times New Roman" w:hAnsi="Times New Roman" w:eastAsia="黑体"/>
      <w:sz w:val="24"/>
    </w:rPr>
  </w:style>
  <w:style w:type="table" w:customStyle="1" w:styleId="43">
    <w:name w:val="Table Normal"/>
    <w:unhideWhenUsed/>
    <w:qFormat/>
    <w:uiPriority w:val="2"/>
    <w:pPr>
      <w:widowControl w:val="0"/>
      <w:autoSpaceDE w:val="0"/>
      <w:autoSpaceDN w:val="0"/>
    </w:pPr>
    <w:rPr>
      <w:rFonts w:ascii="Calibri" w:hAnsi="Calibri" w:eastAsia="宋体" w:cs="Times New Roman"/>
      <w:kern w:val="0"/>
      <w:sz w:val="22"/>
      <w:szCs w:val="22"/>
      <w:lang w:eastAsia="en-US"/>
    </w:rPr>
    <w:tblPr>
      <w:tblCellMar>
        <w:top w:w="0" w:type="dxa"/>
        <w:left w:w="0" w:type="dxa"/>
        <w:bottom w:w="0" w:type="dxa"/>
        <w:right w:w="0" w:type="dxa"/>
      </w:tblCellMar>
    </w:tblPr>
  </w:style>
  <w:style w:type="table" w:customStyle="1" w:styleId="44">
    <w:name w:val="东塔表格13"/>
    <w:basedOn w:val="15"/>
    <w:qFormat/>
    <w:uiPriority w:val="59"/>
    <w:pPr>
      <w:jc w:val="center"/>
    </w:pPr>
    <w:rPr>
      <w:rFonts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tblStylePr w:type="firstRow">
      <w:rPr>
        <w:rFonts w:eastAsiaTheme="majorEastAsia"/>
      </w:rPr>
      <w:tcPr>
        <w:shd w:val="clear" w:color="auto" w:fill="C6D9F0" w:themeFill="text2" w:themeFillTint="33"/>
      </w:tcPr>
    </w:tblStylePr>
  </w:style>
  <w:style w:type="table" w:customStyle="1" w:styleId="45">
    <w:name w:val="东塔表格14"/>
    <w:basedOn w:val="15"/>
    <w:qFormat/>
    <w:uiPriority w:val="59"/>
    <w:pPr>
      <w:jc w:val="center"/>
    </w:pPr>
    <w:rPr>
      <w:rFonts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tblStylePr w:type="firstRow">
      <w:rPr>
        <w:rFonts w:eastAsiaTheme="majorEastAsia"/>
      </w:rPr>
      <w:tcPr>
        <w:shd w:val="clear" w:color="auto" w:fill="C6D9F0" w:themeFill="text2" w:themeFillTint="33"/>
      </w:tcPr>
    </w:tblStylePr>
  </w:style>
  <w:style w:type="table" w:customStyle="1" w:styleId="46">
    <w:name w:val="东塔表格15"/>
    <w:basedOn w:val="15"/>
    <w:qFormat/>
    <w:uiPriority w:val="59"/>
    <w:pPr>
      <w:jc w:val="center"/>
    </w:pPr>
    <w:rPr>
      <w:rFonts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tblStylePr w:type="firstRow">
      <w:rPr>
        <w:rFonts w:eastAsiaTheme="majorEastAsia"/>
      </w:rPr>
      <w:tcPr>
        <w:shd w:val="clear" w:color="auto" w:fill="C6D9F0" w:themeFill="text2" w:themeFillTint="33"/>
      </w:tcPr>
    </w:tblStylePr>
  </w:style>
  <w:style w:type="paragraph" w:customStyle="1" w:styleId="47">
    <w:name w:val="表格内容左对齐"/>
    <w:basedOn w:val="1"/>
    <w:next w:val="1"/>
    <w:link w:val="48"/>
    <w:qFormat/>
    <w:uiPriority w:val="0"/>
    <w:pPr>
      <w:spacing w:line="240" w:lineRule="auto"/>
    </w:pPr>
    <w:rPr>
      <w:sz w:val="21"/>
    </w:rPr>
  </w:style>
  <w:style w:type="character" w:customStyle="1" w:styleId="48">
    <w:name w:val="表格内容左对齐 Char"/>
    <w:basedOn w:val="18"/>
    <w:link w:val="47"/>
    <w:qFormat/>
    <w:uiPriority w:val="0"/>
    <w:rPr>
      <w:rFonts w:eastAsia="宋体"/>
    </w:rPr>
  </w:style>
  <w:style w:type="table" w:customStyle="1" w:styleId="49">
    <w:name w:val="东塔表格11"/>
    <w:basedOn w:val="15"/>
    <w:qFormat/>
    <w:uiPriority w:val="59"/>
    <w:pPr>
      <w:jc w:val="center"/>
    </w:pPr>
    <w:rPr>
      <w:rFonts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tblStylePr w:type="firstRow">
      <w:rPr>
        <w:rFonts w:eastAsiaTheme="majorEastAsia"/>
      </w:rPr>
      <w:tcPr>
        <w:shd w:val="clear" w:color="auto" w:fill="C6D9F0" w:themeFill="text2" w:themeFillTint="33"/>
      </w:tcPr>
    </w:tblStylePr>
  </w:style>
  <w:style w:type="table" w:customStyle="1" w:styleId="50">
    <w:name w:val="东塔表格12"/>
    <w:basedOn w:val="15"/>
    <w:qFormat/>
    <w:uiPriority w:val="59"/>
    <w:pPr>
      <w:jc w:val="center"/>
    </w:pPr>
    <w:rPr>
      <w:rFonts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tblStylePr w:type="firstRow">
      <w:rPr>
        <w:rFonts w:eastAsiaTheme="majorEastAsia"/>
      </w:rPr>
      <w:tcPr>
        <w:shd w:val="clear" w:color="auto" w:fill="C6D9F0" w:themeFill="text2" w:themeFillTint="33"/>
      </w:tcPr>
    </w:tblStylePr>
  </w:style>
  <w:style w:type="table" w:customStyle="1" w:styleId="51">
    <w:name w:val="网格型2"/>
    <w:basedOn w:val="15"/>
    <w:qFormat/>
    <w:uiPriority w:val="59"/>
    <w:pPr>
      <w:jc w:val="center"/>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tblStylePr w:type="firstRow">
      <w:rPr>
        <w:rFonts w:eastAsiaTheme="majorEastAsia"/>
      </w:rPr>
      <w:tcPr>
        <w:shd w:val="clear" w:color="auto" w:fill="C6D9F0" w:themeFill="text2" w:themeFillTint="33"/>
      </w:tcPr>
    </w:tblStylePr>
  </w:style>
  <w:style w:type="table" w:customStyle="1" w:styleId="52">
    <w:name w:val="网格型3"/>
    <w:basedOn w:val="15"/>
    <w:qFormat/>
    <w:uiPriority w:val="59"/>
    <w:pPr>
      <w:jc w:val="center"/>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tblStylePr w:type="firstRow">
      <w:rPr>
        <w:rFonts w:eastAsiaTheme="majorEastAsia"/>
      </w:rPr>
      <w:tcPr>
        <w:shd w:val="clear" w:color="auto" w:fill="C6D9F0" w:themeFill="text2" w:themeFillTint="33"/>
      </w:tcPr>
    </w:tblStylePr>
  </w:style>
  <w:style w:type="table" w:customStyle="1" w:styleId="53">
    <w:name w:val="网格型11"/>
    <w:basedOn w:val="15"/>
    <w:qFormat/>
    <w:uiPriority w:val="59"/>
    <w:pPr>
      <w:jc w:val="center"/>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tblStylePr w:type="firstRow">
      <w:rPr>
        <w:rFonts w:eastAsiaTheme="majorEastAsia"/>
      </w:rPr>
      <w:tcPr>
        <w:shd w:val="clear" w:color="auto" w:fill="C6D9F0" w:themeFill="text2" w:themeFillTint="33"/>
      </w:tcPr>
    </w:tblStylePr>
  </w:style>
  <w:style w:type="table" w:customStyle="1" w:styleId="54">
    <w:name w:val="标书表格"/>
    <w:basedOn w:val="15"/>
    <w:qFormat/>
    <w:uiPriority w:val="99"/>
    <w:pPr>
      <w:jc w:val="center"/>
    </w:pPr>
    <w:rPr>
      <w:rFonts w:eastAsia="宋体"/>
    </w:rPr>
    <w:tblP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
    <w:tcPr>
      <w:vAlign w:val="center"/>
    </w:tcPr>
    <w:tblStylePr w:type="firstRow">
      <w:rPr>
        <w:rFonts w:eastAsia="宋体"/>
        <w:b/>
        <w:sz w:val="21"/>
      </w:rPr>
      <w:tcPr>
        <w:shd w:val="clear" w:color="auto" w:fill="CFAE78"/>
      </w:tcPr>
    </w:tblStylePr>
  </w:style>
  <w:style w:type="table" w:customStyle="1" w:styleId="55">
    <w:name w:val="网格型4"/>
    <w:basedOn w:val="15"/>
    <w:qFormat/>
    <w:uiPriority w:val="59"/>
    <w:pPr>
      <w:jc w:val="center"/>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tblStylePr w:type="firstRow">
      <w:rPr>
        <w:rFonts w:eastAsiaTheme="majorEastAsia"/>
      </w:rPr>
      <w:tcPr>
        <w:shd w:val="clear" w:color="auto" w:fill="C6D9F0" w:themeFill="text2" w:themeFillTint="33"/>
      </w:tcPr>
    </w:tblStylePr>
  </w:style>
  <w:style w:type="table" w:customStyle="1" w:styleId="56">
    <w:name w:val="网格型5"/>
    <w:basedOn w:val="15"/>
    <w:qFormat/>
    <w:uiPriority w:val="59"/>
    <w:pPr>
      <w:jc w:val="center"/>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tblStylePr w:type="firstRow">
      <w:rPr>
        <w:rFonts w:eastAsiaTheme="majorEastAsia"/>
      </w:rPr>
      <w:tcPr>
        <w:shd w:val="clear" w:color="auto" w:fill="C6D9F0" w:themeFill="text2" w:themeFillTint="33"/>
      </w:tcPr>
    </w:tblStylePr>
  </w:style>
  <w:style w:type="table" w:customStyle="1" w:styleId="57">
    <w:name w:val="网格型6"/>
    <w:basedOn w:val="15"/>
    <w:qFormat/>
    <w:uiPriority w:val="59"/>
    <w:pPr>
      <w:jc w:val="center"/>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tblStylePr w:type="firstRow">
      <w:rPr>
        <w:rFonts w:eastAsiaTheme="majorEastAsia"/>
      </w:rPr>
      <w:tcPr>
        <w:shd w:val="clear" w:color="auto" w:fill="C6D9F0" w:themeFill="text2" w:themeFillTint="33"/>
      </w:tcPr>
    </w:tblStylePr>
  </w:style>
  <w:style w:type="table" w:customStyle="1" w:styleId="58">
    <w:name w:val="东塔表格16"/>
    <w:basedOn w:val="15"/>
    <w:qFormat/>
    <w:uiPriority w:val="59"/>
    <w:pPr>
      <w:jc w:val="center"/>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tblStylePr w:type="firstRow">
      <w:rPr>
        <w:rFonts w:eastAsiaTheme="majorEastAsia"/>
      </w:rPr>
      <w:tcPr>
        <w:shd w:val="clear" w:color="auto" w:fill="C6D9F0" w:themeFill="text2" w:themeFillTint="33"/>
      </w:tcPr>
    </w:tblStylePr>
  </w:style>
  <w:style w:type="table" w:customStyle="1" w:styleId="59">
    <w:name w:val="东塔表格17"/>
    <w:basedOn w:val="15"/>
    <w:qFormat/>
    <w:uiPriority w:val="59"/>
    <w:pPr>
      <w:jc w:val="center"/>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tblStylePr w:type="firstRow">
      <w:rPr>
        <w:rFonts w:eastAsiaTheme="majorEastAsia"/>
      </w:rPr>
      <w:tcPr>
        <w:shd w:val="clear" w:color="auto" w:fill="C6D9F0" w:themeFill="text2" w:themeFillTint="33"/>
      </w:tcPr>
    </w:tblStylePr>
  </w:style>
  <w:style w:type="table" w:customStyle="1" w:styleId="60">
    <w:name w:val="东塔表格18"/>
    <w:basedOn w:val="15"/>
    <w:qFormat/>
    <w:uiPriority w:val="59"/>
    <w:pPr>
      <w:jc w:val="center"/>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tblStylePr w:type="firstRow">
      <w:rPr>
        <w:rFonts w:eastAsiaTheme="majorEastAsia"/>
      </w:rPr>
      <w:tcPr>
        <w:shd w:val="clear" w:color="auto" w:fill="C6D9F0" w:themeFill="text2" w:themeFillTint="33"/>
      </w:tcPr>
    </w:tblStylePr>
  </w:style>
  <w:style w:type="table" w:customStyle="1" w:styleId="61">
    <w:name w:val="东塔表格19"/>
    <w:basedOn w:val="15"/>
    <w:qFormat/>
    <w:uiPriority w:val="59"/>
    <w:pPr>
      <w:jc w:val="center"/>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tblStylePr w:type="firstRow">
      <w:rPr>
        <w:rFonts w:eastAsiaTheme="majorEastAsia"/>
      </w:rPr>
      <w:tcPr>
        <w:shd w:val="clear" w:color="auto" w:fill="C6D9F0" w:themeFill="text2" w:themeFillTint="33"/>
      </w:tcPr>
    </w:tblStylePr>
  </w:style>
  <w:style w:type="table" w:customStyle="1" w:styleId="62">
    <w:name w:val="网格型7"/>
    <w:basedOn w:val="15"/>
    <w:qFormat/>
    <w:uiPriority w:val="59"/>
    <w:pPr>
      <w:jc w:val="center"/>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tblStylePr w:type="firstRow">
      <w:rPr>
        <w:rFonts w:eastAsiaTheme="majorEastAsia"/>
      </w:rPr>
      <w:tcPr>
        <w:shd w:val="clear" w:color="auto" w:fill="C6D9F0" w:themeFill="text2" w:themeFillTint="33"/>
      </w:tcPr>
    </w:tblStylePr>
  </w:style>
  <w:style w:type="table" w:customStyle="1" w:styleId="63">
    <w:name w:val="Plain Table 5"/>
    <w:basedOn w:val="15"/>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64">
    <w:name w:val="Grid Table 1 Light"/>
    <w:basedOn w:val="15"/>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65">
    <w:name w:val="Grid Table 1 Light Accent 1"/>
    <w:basedOn w:val="15"/>
    <w:qFormat/>
    <w:uiPriority w:val="46"/>
    <w:tblPr>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cPr>
        <w:tcBorders>
          <w:bottom w:val="single" w:color="95B3D7" w:themeColor="accent1" w:themeTint="99" w:sz="12" w:space="0"/>
        </w:tcBorders>
      </w:tcPr>
    </w:tblStylePr>
    <w:tblStylePr w:type="lastRow">
      <w:rPr>
        <w:b/>
        <w:bCs/>
      </w:rPr>
      <w:tcPr>
        <w:tcBorders>
          <w:top w:val="double" w:color="95B3D7" w:themeColor="accent1" w:themeTint="99" w:sz="2" w:space="0"/>
        </w:tcBorders>
      </w:tcPr>
    </w:tblStylePr>
    <w:tblStylePr w:type="firstCol">
      <w:rPr>
        <w:b/>
        <w:bCs/>
      </w:rPr>
    </w:tblStylePr>
    <w:tblStylePr w:type="lastCol">
      <w:rPr>
        <w:b/>
        <w:bCs/>
      </w:rPr>
    </w:tblStylePr>
  </w:style>
  <w:style w:type="table" w:customStyle="1" w:styleId="66">
    <w:name w:val="Grid Table 1 Light Accent 5"/>
    <w:basedOn w:val="15"/>
    <w:qFormat/>
    <w:uiPriority w:val="46"/>
    <w:tblPr>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Pr>
    <w:tblStylePr w:type="firstRow">
      <w:rPr>
        <w:b/>
        <w:bCs/>
      </w:rPr>
      <w:tcPr>
        <w:tcBorders>
          <w:bottom w:val="single" w:color="92CDDC" w:themeColor="accent5" w:themeTint="99" w:sz="12" w:space="0"/>
        </w:tcBorders>
      </w:tcPr>
    </w:tblStylePr>
    <w:tblStylePr w:type="lastRow">
      <w:rPr>
        <w:b/>
        <w:bCs/>
      </w:rPr>
      <w:tcPr>
        <w:tcBorders>
          <w:top w:val="double" w:color="92CDDC" w:themeColor="accent5" w:themeTint="99" w:sz="2" w:space="0"/>
        </w:tcBorders>
      </w:tcPr>
    </w:tblStylePr>
    <w:tblStylePr w:type="firstCol">
      <w:rPr>
        <w:b/>
        <w:bCs/>
      </w:rPr>
    </w:tblStylePr>
    <w:tblStylePr w:type="lastCol">
      <w:rPr>
        <w:b/>
        <w:bCs/>
      </w:rPr>
    </w:tblStylePr>
  </w:style>
  <w:style w:type="paragraph" w:customStyle="1" w:styleId="67">
    <w:name w:val="正文1"/>
    <w:qFormat/>
    <w:uiPriority w:val="0"/>
    <w:pPr>
      <w:jc w:val="both"/>
    </w:pPr>
    <w:rPr>
      <w:rFonts w:ascii="Calibri" w:hAnsi="Calibri" w:eastAsia="宋体" w:cs="Calibri"/>
      <w:kern w:val="2"/>
      <w:sz w:val="21"/>
      <w:szCs w:val="21"/>
      <w:lang w:val="en-US" w:eastAsia="zh-CN" w:bidi="ar-SA"/>
    </w:rPr>
  </w:style>
  <w:style w:type="table" w:customStyle="1" w:styleId="68">
    <w:name w:val="无格式表格 51"/>
    <w:basedOn w:val="15"/>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69">
    <w:name w:val="网格表 1 浅色1"/>
    <w:basedOn w:val="15"/>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70">
    <w:name w:val="网格表 1 浅色 - 着色 11"/>
    <w:basedOn w:val="15"/>
    <w:qFormat/>
    <w:uiPriority w:val="46"/>
    <w:tblPr>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cPr>
        <w:tcBorders>
          <w:bottom w:val="single" w:color="95B3D7" w:themeColor="accent1" w:themeTint="99" w:sz="12" w:space="0"/>
        </w:tcBorders>
      </w:tcPr>
    </w:tblStylePr>
    <w:tblStylePr w:type="lastRow">
      <w:rPr>
        <w:b/>
        <w:bCs/>
      </w:rPr>
      <w:tcPr>
        <w:tcBorders>
          <w:top w:val="double" w:color="95B3D7" w:themeColor="accent1" w:themeTint="99" w:sz="2" w:space="0"/>
        </w:tcBorders>
      </w:tcPr>
    </w:tblStylePr>
    <w:tblStylePr w:type="firstCol">
      <w:rPr>
        <w:b/>
        <w:bCs/>
      </w:rPr>
    </w:tblStylePr>
    <w:tblStylePr w:type="lastCol">
      <w:rPr>
        <w:b/>
        <w:bCs/>
      </w:rPr>
    </w:tblStylePr>
  </w:style>
  <w:style w:type="table" w:customStyle="1" w:styleId="71">
    <w:name w:val="网格表 1 浅色 - 着色 51"/>
    <w:basedOn w:val="15"/>
    <w:qFormat/>
    <w:uiPriority w:val="46"/>
    <w:tblPr>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Pr>
    <w:tblStylePr w:type="firstRow">
      <w:rPr>
        <w:b/>
        <w:bCs/>
      </w:rPr>
      <w:tcPr>
        <w:tcBorders>
          <w:bottom w:val="single" w:color="92CDDC" w:themeColor="accent5" w:themeTint="99" w:sz="12" w:space="0"/>
        </w:tcBorders>
      </w:tcPr>
    </w:tblStylePr>
    <w:tblStylePr w:type="lastRow">
      <w:rPr>
        <w:b/>
        <w:bCs/>
      </w:rPr>
      <w:tcPr>
        <w:tcBorders>
          <w:top w:val="double" w:color="92CDDC" w:themeColor="accent5" w:themeTint="99" w:sz="2" w:space="0"/>
        </w:tcBorders>
      </w:tcPr>
    </w:tblStylePr>
    <w:tblStylePr w:type="firstCol">
      <w:rPr>
        <w:b/>
        <w:bCs/>
      </w:rPr>
    </w:tblStylePr>
    <w:tblStylePr w:type="lastCol">
      <w:rPr>
        <w:b/>
        <w:bCs/>
      </w:rPr>
    </w:tblStylePr>
  </w:style>
  <w:style w:type="character" w:customStyle="1" w:styleId="72">
    <w:name w:val="标题 7 Char"/>
    <w:basedOn w:val="18"/>
    <w:link w:val="8"/>
    <w:qFormat/>
    <w:uiPriority w:val="9"/>
    <w:rPr>
      <w:rFonts w:eastAsia="宋体"/>
      <w:b/>
      <w:bCs/>
      <w:sz w:val="24"/>
      <w:szCs w:val="24"/>
    </w:rPr>
  </w:style>
  <w:style w:type="table" w:customStyle="1" w:styleId="73">
    <w:name w:val="华润城万象天地表样"/>
    <w:basedOn w:val="15"/>
    <w:qFormat/>
    <w:uiPriority w:val="0"/>
    <w:rPr>
      <w:rFonts w:ascii="宋体" w:hAnsi="宋体" w:eastAsia="Malgun Gothic" w:cs="Times New Roman"/>
      <w:kern w:val="0"/>
      <w:sz w:val="20"/>
      <w:szCs w:val="20"/>
    </w:rPr>
    <w:tblP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57" w:type="dxa"/>
        <w:bottom w:w="57" w:type="dxa"/>
      </w:tblCellMar>
    </w:tblPr>
    <w:tblStylePr w:type="firstRow">
      <w:tcPr>
        <w:shd w:val="clear" w:color="000000" w:fill="C6D9F0" w:themeFill="text2" w:themeFillTint="33"/>
      </w:tcPr>
    </w:tblStylePr>
    <w:tblStylePr w:type="firstCol">
      <w:tcPr>
        <w:tcBorders>
          <w:top w:val="double" w:color="auto" w:sz="4" w:space="0"/>
          <w:left w:val="double" w:color="auto" w:sz="4" w:space="0"/>
          <w:bottom w:val="double" w:color="auto" w:sz="4" w:space="0"/>
          <w:right w:val="single" w:color="auto" w:sz="6" w:space="0"/>
          <w:insideH w:val="nil"/>
          <w:insideV w:val="nil"/>
          <w:tl2br w:val="nil"/>
          <w:tr2bl w:val="nil"/>
        </w:tcBorders>
        <w:shd w:val="clear" w:color="000000" w:fill="FBD4B4" w:themeFill="accent6" w:themeFillTint="66"/>
      </w:tcPr>
    </w:tblStylePr>
  </w:style>
  <w:style w:type="paragraph" w:customStyle="1" w:styleId="74">
    <w:name w:val="方案正文"/>
    <w:basedOn w:val="9"/>
    <w:next w:val="10"/>
    <w:qFormat/>
    <w:uiPriority w:val="0"/>
    <w:pPr>
      <w:ind w:firstLine="480" w:firstLineChars="200"/>
      <w:jc w:val="both"/>
    </w:pPr>
    <w:rPr>
      <w:rFonts w:ascii="Times New Roman" w:hAnsi="Times New Roman" w:cs="Times New Roman"/>
      <w:bCs/>
      <w:color w:val="000000"/>
      <w:szCs w:val="24"/>
    </w:rPr>
  </w:style>
  <w:style w:type="paragraph" w:customStyle="1" w:styleId="75">
    <w:name w:val="表格内文字"/>
    <w:next w:val="1"/>
    <w:qFormat/>
    <w:uiPriority w:val="0"/>
    <w:pPr>
      <w:widowControl w:val="0"/>
      <w:spacing w:line="360" w:lineRule="auto"/>
      <w:jc w:val="center"/>
    </w:pPr>
    <w:rPr>
      <w:rFonts w:ascii="Times New Roman" w:hAnsi="Times New Roman" w:eastAsia="宋体" w:cs="Times New Roman"/>
      <w:sz w:val="24"/>
    </w:rPr>
  </w:style>
  <w:style w:type="paragraph" w:customStyle="1" w:styleId="76">
    <w:name w:val="Table Text"/>
    <w:basedOn w:val="1"/>
    <w:semiHidden/>
    <w:qFormat/>
    <w:uiPriority w:val="0"/>
    <w:rPr>
      <w:rFonts w:ascii="宋体" w:hAnsi="宋体" w:eastAsia="宋体" w:cs="宋体"/>
      <w:sz w:val="20"/>
      <w:szCs w:val="20"/>
      <w:lang w:val="en-US" w:eastAsia="en-US" w:bidi="ar-SA"/>
    </w:rPr>
  </w:style>
  <w:style w:type="character" w:customStyle="1" w:styleId="77">
    <w:name w:val="font31"/>
    <w:basedOn w:val="18"/>
    <w:qFormat/>
    <w:uiPriority w:val="0"/>
    <w:rPr>
      <w:rFonts w:hint="eastAsia" w:ascii="宋体" w:hAnsi="宋体" w:eastAsia="宋体" w:cs="宋体"/>
      <w:color w:val="000000"/>
      <w:sz w:val="29"/>
      <w:szCs w:val="29"/>
      <w:u w:val="none"/>
    </w:rPr>
  </w:style>
  <w:style w:type="character" w:customStyle="1" w:styleId="78">
    <w:name w:val="font21"/>
    <w:basedOn w:val="18"/>
    <w:qFormat/>
    <w:uiPriority w:val="0"/>
    <w:rPr>
      <w:rFonts w:hint="default" w:ascii="Times New Roman" w:hAnsi="Times New Roman" w:cs="Times New Roman"/>
      <w:color w:val="000000"/>
      <w:sz w:val="29"/>
      <w:szCs w:val="29"/>
      <w:u w:val="none"/>
    </w:rPr>
  </w:style>
  <w:style w:type="paragraph" w:customStyle="1" w:styleId="79">
    <w:name w:val="Table Paragraph"/>
    <w:basedOn w:val="1"/>
    <w:qFormat/>
    <w:uiPriority w:val="1"/>
    <w:rPr>
      <w:rFonts w:ascii="宋体" w:hAnsi="宋体" w:eastAsia="宋体" w:cs="宋体"/>
      <w:szCs w:val="24"/>
      <w:lang w:val="zh-CN" w:bidi="zh-CN"/>
    </w:rPr>
  </w:style>
  <w:style w:type="character" w:customStyle="1" w:styleId="80">
    <w:name w:val="font41"/>
    <w:basedOn w:val="18"/>
    <w:qFormat/>
    <w:uiPriority w:val="0"/>
    <w:rPr>
      <w:rFonts w:hint="eastAsia" w:ascii="宋体" w:hAnsi="宋体" w:eastAsia="宋体" w:cs="宋体"/>
      <w:color w:val="000000"/>
      <w:sz w:val="29"/>
      <w:szCs w:val="29"/>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a:blip xmlns:r="http://schemas.openxmlformats.org/officeDocument/2006/relationships" r:embed="rId1" cstate="print"/>
          <a:stretch>
            <a:fillRect/>
          </a:stretch>
        </a:blipFill>
      </a:spPr>
      <a:bodyPr wrap="square" lIns="0" tIns="0" rIns="0" bIns="0" rtlCol="0"/>
      <a:lst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18344-2977-4723-B8D6-9260D59B70E4}">
  <ds:schemaRefs/>
</ds:datastoreItem>
</file>

<file path=docProps/app.xml><?xml version="1.0" encoding="utf-8"?>
<Properties xmlns="http://schemas.openxmlformats.org/officeDocument/2006/extended-properties" xmlns:vt="http://schemas.openxmlformats.org/officeDocument/2006/docPropsVTypes">
  <Template>Normal</Template>
  <Pages>12</Pages>
  <Words>7497</Words>
  <Characters>7921</Characters>
  <Lines>2217</Lines>
  <Paragraphs>624</Paragraphs>
  <TotalTime>23</TotalTime>
  <ScaleCrop>false</ScaleCrop>
  <LinksUpToDate>false</LinksUpToDate>
  <CharactersWithSpaces>7925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2024-09-12T07:18:00Z</dcterms:created>
  <dc:creator>坤</dc:creator>
  <cp:lastModifiedBy>李康天</cp:lastModifiedBy>
  <cp:lastPrinted>2024-09-13T09:58:00Z</cp:lastPrinted>
  <dcterms:modified xsi:type="dcterms:W3CDTF">2026-04-21T06:39:54Z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72778E792ACA42D188F4405321C531A0_13</vt:lpwstr>
  </property>
  <property fmtid="{D5CDD505-2E9C-101B-9397-08002B2CF9AE}" pid="4" name="KSOTemplateDocerSaveRecord">
    <vt:lpwstr>eyJoZGlkIjoiNmQ5OTZlYTBiNTZhOWQwNjMzODQwZWY2ZjdiNjU4OTkiLCJ1c2VySWQiOiIzMjU3MjEwMzIifQ==</vt:lpwstr>
  </property>
</Properties>
</file>