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石溪公园勒杜鹃和炮仗花苗木采购</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（珠海正方公共资源运营有限公司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4</w:t>
      </w:r>
      <w:r>
        <w:rPr>
          <w:rFonts w:hint="default" w:ascii="Times New Roman" w:hAnsi="Times New Roman" w:cs="Times New Roman"/>
          <w:b/>
          <w:bCs/>
          <w:color w:val="auto"/>
          <w:sz w:val="32"/>
          <w:szCs w:val="32"/>
          <w:u w:val="thick"/>
        </w:rPr>
        <w:t>月</w:t>
      </w:r>
      <w:r>
        <w:rPr>
          <w:rFonts w:hint="eastAsia" w:cs="Times New Roman"/>
          <w:b/>
          <w:bCs/>
          <w:color w:val="auto"/>
          <w:sz w:val="32"/>
          <w:szCs w:val="32"/>
          <w:u w:val="thick"/>
          <w:lang w:val="en-US" w:eastAsia="zh-CN"/>
        </w:rPr>
        <w:t xml:space="preserve"> 28 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珠海正方公共资源运营有限公司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r>
        <w:rPr>
          <w:rFonts w:hint="eastAsia" w:cs="Times New Roman"/>
          <w:b w:val="0"/>
          <w:bCs w:val="0"/>
          <w:color w:val="auto"/>
          <w:sz w:val="24"/>
          <w:lang w:val="en-US" w:eastAsia="zh-CN"/>
        </w:rPr>
        <w:t>因石溪公园景观提升需要，现采购炮仗花和勒杜鹃种植苗木进行种植。</w:t>
      </w:r>
    </w:p>
    <w:p>
      <w:pPr>
        <w:numPr>
          <w:ilvl w:val="0"/>
          <w:numId w:val="0"/>
        </w:numPr>
        <w:tabs>
          <w:tab w:val="left" w:pos="720"/>
        </w:tabs>
        <w:spacing w:beforeLines="0" w:afterLines="0" w:line="480" w:lineRule="auto"/>
        <w:ind w:leftChars="0"/>
        <w:rPr>
          <w:rFonts w:hint="default" w:ascii="Times New Roman" w:hAnsi="Times New Roman" w:eastAsia="宋体" w:cs="Times New Roman"/>
          <w:b/>
          <w:bCs/>
          <w:color w:val="auto"/>
          <w:sz w:val="24"/>
        </w:rPr>
      </w:pPr>
      <w:r>
        <w:rPr>
          <w:rFonts w:hint="eastAsia" w:cs="Times New Roman"/>
          <w:b/>
          <w:bCs/>
          <w:color w:val="auto"/>
          <w:sz w:val="24"/>
          <w:lang w:val="en-US" w:eastAsia="zh-CN"/>
        </w:rPr>
        <w:t>三、</w:t>
      </w:r>
      <w:r>
        <w:rPr>
          <w:rFonts w:hint="default" w:ascii="Times New Roman" w:hAnsi="Times New Roman" w:eastAsia="宋体" w:cs="Times New Roman"/>
          <w:b/>
          <w:bCs/>
          <w:color w:val="auto"/>
          <w:sz w:val="24"/>
        </w:rPr>
        <w:t>采购预算总额</w:t>
      </w:r>
    </w:p>
    <w:p>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eastAsia="zh-CN"/>
        </w:rPr>
        <w:t>柒仟壹佰肆拾元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7140.00</w:t>
      </w:r>
      <w:r>
        <w:rPr>
          <w:rFonts w:hint="default" w:ascii="Times New Roman" w:hAnsi="Times New Roman" w:eastAsia="宋体" w:cs="Times New Roman"/>
          <w:color w:val="auto"/>
          <w:sz w:val="24"/>
          <w:u w:val="none"/>
        </w:rPr>
        <w:t>元），报价上限：人民币</w:t>
      </w:r>
      <w:r>
        <w:rPr>
          <w:rFonts w:hint="eastAsia" w:cs="Times New Roman"/>
          <w:color w:val="auto"/>
          <w:sz w:val="24"/>
          <w:u w:val="none"/>
          <w:lang w:eastAsia="zh-CN"/>
        </w:rPr>
        <w:t>柒仟壹佰肆拾元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7140.00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石溪公园勒杜鹃和炮仗花苗木采购</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2.自公告发布之日起近3年具备3个或以上苗木类供应项目业绩；</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3.供应商未被列入“信用中国”网站(www.creditchina.gov.cn)“记录失信被执行人或重大税收违法失信主体”记录名单；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4.未被纳入正方集团“黑名单”；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5.与其他投标人不存在单位负责人为同一人或者存在控股、管理关系；</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6.具有独立的法人资格和独立的资质；</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7.本项目不接受联合体投标。</w:t>
      </w:r>
    </w:p>
    <w:p>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pPr>
        <w:pStyle w:val="7"/>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pPr>
        <w:pStyle w:val="6"/>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如报价人开具发票可抵扣税率不一致的，经评审的投标报价=所报含税投标报价/（1+可抵扣税率），普通发票可抵扣税率视为零税率，农产品免税发票可抵扣税率视为9%。</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4</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 30 </w:t>
      </w:r>
      <w:r>
        <w:rPr>
          <w:rFonts w:hint="default" w:ascii="Times New Roman" w:hAnsi="Times New Roman" w:eastAsia="宋体" w:cs="Times New Roman"/>
          <w:color w:val="auto"/>
          <w:sz w:val="24"/>
        </w:rPr>
        <w:t>日 1</w:t>
      </w:r>
      <w:r>
        <w:rPr>
          <w:rFonts w:hint="eastAsia" w:cs="Times New Roman"/>
          <w:color w:val="auto"/>
          <w:sz w:val="24"/>
          <w:lang w:val="en-US" w:eastAsia="zh-CN"/>
        </w:rPr>
        <w:t>8:00</w:t>
      </w:r>
      <w:r>
        <w:rPr>
          <w:rFonts w:hint="default" w:ascii="Times New Roman" w:hAnsi="Times New Roman" w:eastAsia="宋体" w:cs="Times New Roman"/>
          <w:color w:val="auto"/>
          <w:sz w:val="24"/>
        </w:rPr>
        <w:t>（北京时间）；</w:t>
      </w:r>
    </w:p>
    <w:permEnd w:id="5"/>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石溪公园勒杜鹃和炮仗花苗木采购</w:t>
      </w:r>
      <w:r>
        <w:rPr>
          <w:rFonts w:hint="default" w:ascii="Times New Roman" w:hAnsi="Times New Roman" w:eastAsia="宋体" w:cs="Times New Roman"/>
          <w:color w:val="auto"/>
          <w:sz w:val="24"/>
        </w:rPr>
        <w:t>+</w:t>
      </w:r>
      <w:r>
        <w:rPr>
          <w:rFonts w:hint="eastAsia" w:cs="Times New Roman"/>
          <w:color w:val="auto"/>
          <w:sz w:val="24"/>
          <w:lang w:val="en-US" w:eastAsia="zh-CN"/>
        </w:rPr>
        <w:t>许工</w:t>
      </w:r>
      <w:permEnd w:id="6"/>
      <w:r>
        <w:rPr>
          <w:rFonts w:hint="default" w:ascii="Times New Roman" w:hAnsi="Times New Roman" w:eastAsia="宋体" w:cs="Times New Roman"/>
          <w:color w:val="auto"/>
          <w:sz w:val="24"/>
        </w:rPr>
        <w:t>）。</w:t>
      </w:r>
    </w:p>
    <w:p>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逾期送达的、未送达指定邮箱地点的或者不按照询价文件要求格式的报价文件，将视为无效报价。</w:t>
      </w:r>
    </w:p>
    <w:p>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pPr>
        <w:pStyle w:val="34"/>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pStyle w:val="34"/>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pPr>
        <w:pStyle w:val="34"/>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pPr>
        <w:pStyle w:val="34"/>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pPr>
        <w:pStyle w:val="34"/>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pPr>
        <w:pStyle w:val="34"/>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pPr>
        <w:pStyle w:val="34"/>
        <w:spacing w:beforeLines="0" w:afterLines="0" w:line="480" w:lineRule="auto"/>
        <w:ind w:firstLine="480"/>
        <w:rPr>
          <w:rFonts w:hint="eastAsia"/>
        </w:rPr>
      </w:pPr>
      <w:r>
        <w:rPr>
          <w:rFonts w:hint="default" w:ascii="宋体" w:hAnsi="宋体"/>
          <w:sz w:val="24"/>
        </w:rPr>
        <w:t>（4）其他细微偏差按照有利于采购人的原则进行补正。</w:t>
      </w:r>
    </w:p>
    <w:p>
      <w:pPr>
        <w:pStyle w:val="2"/>
        <w:rPr>
          <w:rFonts w:hint="eastAsia"/>
        </w:rPr>
      </w:pP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珠海市香洲区卫康路199号香洲创港中心17栋14楼。</w:t>
      </w:r>
    </w:p>
    <w:p>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7" w:edGrp="everyone"/>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许</w:t>
      </w:r>
      <w:r>
        <w:rPr>
          <w:rFonts w:hint="eastAsia" w:cs="Times New Roman"/>
          <w:color w:val="auto"/>
          <w:sz w:val="24"/>
          <w:szCs w:val="24"/>
          <w:lang w:val="en-US" w:eastAsia="zh-CN"/>
        </w:rPr>
        <w:t>工15989798246</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珠海正方公共资源运营有限公司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2026年4月 </w:t>
      </w:r>
      <w:r>
        <w:rPr>
          <w:rFonts w:hint="eastAsia" w:ascii="宋体" w:hAnsi="宋体" w:cs="宋体"/>
          <w:color w:val="auto"/>
          <w:sz w:val="24"/>
          <w:szCs w:val="24"/>
          <w:lang w:val="en-US" w:eastAsia="zh-CN"/>
        </w:rPr>
        <w:t>28</w:t>
      </w:r>
      <w:bookmarkStart w:id="95" w:name="_GoBack"/>
      <w:bookmarkEnd w:id="95"/>
      <w:r>
        <w:rPr>
          <w:rFonts w:hint="eastAsia" w:ascii="宋体" w:hAnsi="宋体" w:eastAsia="宋体" w:cs="宋体"/>
          <w:color w:val="auto"/>
          <w:sz w:val="24"/>
          <w:szCs w:val="24"/>
        </w:rPr>
        <w:t xml:space="preserve"> 日</w:t>
      </w: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9199"/>
      <w:bookmarkStart w:id="3" w:name="_Toc15547"/>
      <w:bookmarkStart w:id="4" w:name="_Toc27664"/>
      <w:r>
        <w:rPr>
          <w:rFonts w:hint="eastAsia" w:ascii="宋体" w:hAnsi="宋体" w:eastAsia="宋体"/>
          <w:lang w:eastAsia="zh-CN"/>
        </w:rPr>
        <w:t>报价文件格式</w:t>
      </w:r>
      <w:bookmarkEnd w:id="2"/>
      <w:bookmarkEnd w:id="3"/>
      <w:bookmarkEnd w:id="4"/>
      <w:bookmarkStart w:id="5" w:name="_Toc276645578"/>
      <w:bookmarkStart w:id="6" w:name="_Toc503427708"/>
    </w:p>
    <w:p>
      <w:pPr>
        <w:pStyle w:val="4"/>
        <w:spacing w:line="360" w:lineRule="auto"/>
        <w:rPr>
          <w:rFonts w:hint="eastAsia" w:ascii="黑体" w:hAnsi="黑体" w:eastAsia="黑体" w:cs="黑体"/>
          <w:b/>
          <w:bCs w:val="0"/>
          <w:sz w:val="28"/>
          <w:szCs w:val="28"/>
        </w:rPr>
      </w:pPr>
      <w:bookmarkStart w:id="7" w:name="_Toc259090982"/>
      <w:bookmarkStart w:id="8" w:name="_Toc276645579"/>
      <w:bookmarkStart w:id="9" w:name="_Toc503427710"/>
      <w:bookmarkStart w:id="10" w:name="_Toc17685"/>
      <w:bookmarkStart w:id="11" w:name="_Toc15317"/>
      <w:bookmarkStart w:id="12" w:name="_Toc202819878"/>
      <w:bookmarkStart w:id="13" w:name="_Toc202252034"/>
      <w:bookmarkStart w:id="14" w:name="_Toc202251075"/>
      <w:bookmarkStart w:id="15" w:name="_Toc202820351"/>
      <w:bookmarkStart w:id="16" w:name="_Toc16107"/>
      <w:bookmarkStart w:id="17" w:name="_Toc202816996"/>
      <w:bookmarkStart w:id="18" w:name="_Toc698"/>
      <w:bookmarkStart w:id="19" w:name="_Toc202254105"/>
      <w:bookmarkStart w:id="20" w:name="_Toc202251700"/>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76645580"/>
      <w:bookmarkStart w:id="22" w:name="_Toc259090983"/>
      <w:bookmarkStart w:id="23" w:name="_Toc503427711"/>
      <w:bookmarkStart w:id="24" w:name="_Toc32660"/>
      <w:bookmarkStart w:id="25" w:name="_Toc13089"/>
      <w:bookmarkStart w:id="26" w:name="_Toc20366"/>
      <w:bookmarkStart w:id="27" w:name="_Toc24181"/>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石溪公园勒杜鹃和炮仗花苗木采购</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hint="eastAsia" w:ascii="宋体" w:hAnsi="宋体" w:eastAsia="宋体"/>
          <w:sz w:val="28"/>
          <w:lang w:val="en-US" w:eastAsia="zh-CN"/>
        </w:rPr>
      </w:pPr>
      <w:bookmarkStart w:id="29" w:name="_Toc528"/>
      <w:bookmarkStart w:id="30" w:name="_Toc19817"/>
      <w:bookmarkStart w:id="31" w:name="_Toc19171"/>
      <w:bookmarkStart w:id="32" w:name="_Toc27591"/>
      <w:bookmarkStart w:id="33" w:name="_Toc503427713"/>
      <w:bookmarkStart w:id="34" w:name="_Toc17080"/>
      <w:r>
        <w:rPr>
          <w:rFonts w:hint="eastAsia" w:ascii="宋体" w:hAnsi="宋体" w:eastAsia="宋体"/>
          <w:sz w:val="28"/>
          <w:lang w:val="en-US" w:eastAsia="zh-CN"/>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石溪公园勒杜鹃和炮仗花苗木采购</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未被列入“信用中国”网站(www.creditchina.gov.cn)“记录失信被执行人或重大税收违法失信主体或政府采购严重违法失信行为”记录名单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35" w:name="_Toc5048"/>
      <w:bookmarkStart w:id="36" w:name="_Toc31877"/>
      <w:bookmarkStart w:id="37" w:name="_Toc19796"/>
      <w:bookmarkStart w:id="38" w:name="_Toc9476"/>
      <w:bookmarkStart w:id="39" w:name="_Toc13922"/>
      <w:bookmarkStart w:id="40" w:name="_Toc6220"/>
      <w:bookmarkStart w:id="41" w:name="_Toc10559"/>
      <w:bookmarkStart w:id="42" w:name="_Toc14285"/>
      <w:bookmarkStart w:id="43" w:name="_Toc24969"/>
      <w:bookmarkStart w:id="44" w:name="_Toc19969"/>
      <w:bookmarkStart w:id="45" w:name="_Toc10585"/>
      <w:bookmarkStart w:id="46" w:name="_Toc31767"/>
      <w:bookmarkStart w:id="47" w:name="_Toc24356"/>
      <w:bookmarkStart w:id="48" w:name="_Toc15464"/>
      <w:bookmarkStart w:id="49" w:name="_Toc26971"/>
      <w:bookmarkStart w:id="50" w:name="_Toc32141"/>
      <w:bookmarkStart w:id="51" w:name="_Toc503427714"/>
      <w:bookmarkStart w:id="52" w:name="_Toc264628882"/>
      <w:bookmarkStart w:id="53" w:name="_Toc276645583"/>
      <w:bookmarkStart w:id="54" w:name="_Toc32498"/>
      <w:bookmarkStart w:id="55" w:name="_Toc4726"/>
      <w:bookmarkStart w:id="56" w:name="_Toc27468"/>
      <w:bookmarkStart w:id="57" w:name="_Toc4427"/>
      <w:bookmarkStart w:id="58" w:name="_Toc6275"/>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baseline"/>
        <w:rPr>
          <w:rFonts w:hint="eastAsia"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59" w:name="_Toc21911"/>
      <w:r>
        <w:rPr>
          <w:rFonts w:hint="eastAsia" w:ascii="宋体" w:hAnsi="宋体" w:eastAsia="宋体"/>
          <w:sz w:val="28"/>
          <w:lang w:val="en-US" w:eastAsia="zh-CN"/>
        </w:rPr>
        <w:t xml:space="preserve">1.3.3 </w:t>
      </w:r>
      <w:bookmarkEnd w:id="59"/>
      <w:r>
        <w:rPr>
          <w:rFonts w:hint="eastAsia" w:ascii="宋体" w:hAnsi="宋体" w:eastAsia="宋体"/>
          <w:sz w:val="28"/>
          <w:lang w:val="en-US" w:eastAsia="zh-CN"/>
        </w:rPr>
        <w:t>相关业绩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8"/>
          <w:sz w:val="24"/>
          <w:szCs w:val="24"/>
          <w:lang w:val="en-US" w:eastAsia="zh-CN" w:bidi="ar-SA"/>
        </w:rPr>
      </w:pPr>
      <w:r>
        <w:rPr>
          <w:rFonts w:hint="eastAsia" w:ascii="宋体" w:hAnsi="宋体" w:eastAsia="宋体" w:cs="宋体"/>
          <w:kern w:val="28"/>
          <w:sz w:val="24"/>
          <w:szCs w:val="24"/>
          <w:lang w:val="en-US" w:eastAsia="zh-CN" w:bidi="ar-SA"/>
        </w:rPr>
        <w:t>投标供应商提供合同或采购订单</w:t>
      </w:r>
      <w:r>
        <w:rPr>
          <w:rFonts w:hint="eastAsia" w:ascii="宋体" w:hAnsi="宋体" w:cs="宋体"/>
          <w:kern w:val="28"/>
          <w:sz w:val="24"/>
          <w:szCs w:val="24"/>
          <w:lang w:val="en-US" w:eastAsia="zh-CN" w:bidi="ar-SA"/>
        </w:rPr>
        <w:t>截图</w:t>
      </w:r>
      <w:r>
        <w:rPr>
          <w:rFonts w:hint="eastAsia" w:ascii="宋体" w:hAnsi="宋体" w:eastAsia="宋体" w:cs="宋体"/>
          <w:kern w:val="28"/>
          <w:sz w:val="24"/>
          <w:szCs w:val="24"/>
          <w:lang w:val="en-US" w:eastAsia="zh-CN" w:bidi="ar-SA"/>
        </w:rPr>
        <w:t>，要求有采购方</w:t>
      </w:r>
      <w:r>
        <w:rPr>
          <w:rFonts w:hint="eastAsia" w:ascii="宋体" w:hAnsi="宋体" w:cs="宋体"/>
          <w:kern w:val="28"/>
          <w:sz w:val="24"/>
          <w:szCs w:val="24"/>
          <w:lang w:val="en-US" w:eastAsia="zh-CN" w:bidi="ar-SA"/>
        </w:rPr>
        <w:t>及供货方</w:t>
      </w:r>
      <w:r>
        <w:rPr>
          <w:rFonts w:hint="eastAsia" w:ascii="宋体" w:hAnsi="宋体" w:eastAsia="宋体" w:cs="宋体"/>
          <w:kern w:val="28"/>
          <w:sz w:val="24"/>
          <w:szCs w:val="24"/>
          <w:lang w:val="en-US" w:eastAsia="zh-CN" w:bidi="ar-SA"/>
        </w:rPr>
        <w:t>名称</w:t>
      </w:r>
      <w:r>
        <w:rPr>
          <w:rFonts w:hint="eastAsia" w:ascii="宋体" w:hAnsi="宋体" w:cs="宋体"/>
          <w:kern w:val="28"/>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sz w:val="24"/>
          <w:szCs w:val="24"/>
          <w:lang w:val="en-US" w:eastAsia="zh-CN"/>
        </w:rPr>
      </w:pPr>
      <w:bookmarkStart w:id="60" w:name="_Toc20437"/>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8"/>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9"/>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70500" cy="785050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
      <w:pPr>
        <w:pStyle w:val="5"/>
        <w:spacing w:before="100" w:after="100" w:line="360" w:lineRule="auto"/>
        <w:rPr>
          <w:rFonts w:hint="eastAsia" w:ascii="宋体" w:hAnsi="宋体" w:eastAsia="宋体"/>
          <w:sz w:val="28"/>
          <w:lang w:val="en-US" w:eastAsia="zh-CN"/>
        </w:rPr>
      </w:pPr>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60"/>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珠海正方公共资源运营有限公司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61" w:name="_Toc29543"/>
      <w:bookmarkStart w:id="62" w:name="_Toc202819882"/>
      <w:bookmarkStart w:id="63" w:name="_Toc202251703"/>
      <w:bookmarkStart w:id="64" w:name="_Toc202817000"/>
      <w:bookmarkStart w:id="65" w:name="_Toc503427721"/>
      <w:bookmarkStart w:id="66" w:name="_Toc202251078"/>
      <w:bookmarkStart w:id="67" w:name="_Toc24253"/>
      <w:bookmarkStart w:id="68" w:name="_Toc202252037"/>
      <w:bookmarkStart w:id="69" w:name="_Toc3330"/>
      <w:bookmarkStart w:id="70" w:name="_Toc202820355"/>
      <w:bookmarkStart w:id="71" w:name="_Toc12992"/>
      <w:bookmarkStart w:id="72" w:name="_Toc259090996"/>
      <w:bookmarkStart w:id="73" w:name="_Toc202254108"/>
      <w:bookmarkStart w:id="74" w:name="_Toc21572"/>
      <w:bookmarkStart w:id="75" w:name="_Toc276645592"/>
      <w:r>
        <w:rPr>
          <w:rFonts w:hint="eastAsia" w:ascii="黑体" w:hAnsi="黑体" w:cs="黑体"/>
          <w:b/>
          <w:bCs w:val="0"/>
          <w:sz w:val="28"/>
          <w:szCs w:val="28"/>
          <w:lang w:val="en-US" w:eastAsia="zh-CN"/>
        </w:rPr>
        <w:br w:type="page"/>
      </w:r>
    </w:p>
    <w:p>
      <w:pPr>
        <w:pStyle w:val="5"/>
        <w:spacing w:before="100" w:after="100" w:line="360" w:lineRule="auto"/>
        <w:rPr>
          <w:rFonts w:hint="eastAsia" w:ascii="宋体" w:hAnsi="宋体" w:eastAsia="宋体"/>
          <w:sz w:val="28"/>
          <w:lang w:val="en-US" w:eastAsia="zh-CN"/>
        </w:rPr>
      </w:pPr>
      <w:bookmarkStart w:id="76" w:name="_Toc5662"/>
      <w:bookmarkStart w:id="77" w:name="_Toc10726"/>
      <w:bookmarkStart w:id="78" w:name="_Toc7304"/>
      <w:bookmarkStart w:id="79" w:name="_Toc2576"/>
      <w:bookmarkStart w:id="80" w:name="_Toc6669"/>
      <w:bookmarkStart w:id="81" w:name="_Toc3193"/>
      <w:bookmarkStart w:id="82" w:name="_Toc32145"/>
      <w:bookmarkStart w:id="83" w:name="_Toc24446"/>
      <w:bookmarkStart w:id="84" w:name="_Toc5278"/>
      <w:bookmarkStart w:id="85" w:name="_Toc9094"/>
      <w:bookmarkStart w:id="86" w:name="_Toc22499"/>
      <w:bookmarkStart w:id="87" w:name="_Toc29470"/>
      <w:bookmarkStart w:id="88" w:name="_Toc500"/>
      <w:bookmarkStart w:id="89" w:name="_Toc16860"/>
      <w:bookmarkStart w:id="90" w:name="_Toc113"/>
      <w:bookmarkStart w:id="91" w:name="_Toc30192"/>
      <w:r>
        <w:rPr>
          <w:rFonts w:hint="eastAsia" w:ascii="宋体" w:hAnsi="宋体" w:eastAsia="宋体"/>
          <w:sz w:val="28"/>
          <w:lang w:val="en-US" w:eastAsia="zh-CN"/>
        </w:rPr>
        <w:t>1.</w:t>
      </w:r>
      <w:r>
        <w:rPr>
          <w:rFonts w:hint="eastAsia" w:ascii="宋体" w:hAnsi="宋体"/>
          <w:sz w:val="28"/>
          <w:lang w:val="en-US" w:eastAsia="zh-CN"/>
        </w:rPr>
        <w:t>4</w:t>
      </w:r>
      <w:r>
        <w:rPr>
          <w:rFonts w:hint="eastAsia" w:ascii="宋体" w:hAnsi="宋体" w:eastAsia="宋体"/>
          <w:sz w:val="28"/>
          <w:lang w:val="en-US" w:eastAsia="zh-CN"/>
        </w:rPr>
        <w:t>.</w:t>
      </w:r>
      <w:bookmarkEnd w:id="76"/>
      <w:bookmarkEnd w:id="77"/>
      <w:bookmarkEnd w:id="78"/>
      <w:bookmarkStart w:id="92" w:name="_Toc29247"/>
      <w:bookmarkStart w:id="93" w:name="_Toc17294"/>
      <w:bookmarkStart w:id="94" w:name="_Toc28886"/>
      <w:r>
        <w:rPr>
          <w:rFonts w:hint="eastAsia" w:ascii="宋体" w:hAnsi="宋体"/>
          <w:sz w:val="28"/>
          <w:lang w:val="en-US" w:eastAsia="zh-CN"/>
        </w:rPr>
        <w:t>1</w:t>
      </w:r>
      <w:r>
        <w:rPr>
          <w:rFonts w:hint="eastAsia" w:ascii="宋体" w:hAnsi="宋体" w:eastAsia="宋体"/>
          <w:sz w:val="28"/>
          <w:lang w:val="en-US" w:eastAsia="zh-CN"/>
        </w:rPr>
        <w:t>信用信息</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pPr>
        <w:numPr>
          <w:ilvl w:val="0"/>
          <w:numId w:val="0"/>
        </w:numPr>
        <w:rPr>
          <w:rFonts w:hint="eastAsia"/>
          <w:b/>
          <w:bCs/>
          <w:sz w:val="22"/>
          <w:szCs w:val="22"/>
          <w:lang w:val="en-US" w:eastAsia="zh-CN"/>
        </w:rPr>
      </w:pPr>
      <w:r>
        <w:rPr>
          <w:rFonts w:hint="eastAsia"/>
          <w:b/>
          <w:bCs/>
          <w:sz w:val="22"/>
          <w:szCs w:val="22"/>
          <w:lang w:val="en-US" w:eastAsia="zh-CN"/>
        </w:rPr>
        <w:t>未被列入“信用中国”网站(www.creditchina.gov.cn)“记录失信被执行人或重大税收违法失信主体”记录名单证明文件</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11"/>
                    <a:stretch>
                      <a:fillRect/>
                    </a:stretch>
                  </pic:blipFill>
                  <pic:spPr>
                    <a:xfrm>
                      <a:off x="0" y="0"/>
                      <a:ext cx="5270500" cy="6628130"/>
                    </a:xfrm>
                    <a:prstGeom prst="rect">
                      <a:avLst/>
                    </a:prstGeom>
                  </pic:spPr>
                </pic:pic>
              </a:graphicData>
            </a:graphic>
          </wp:inline>
        </w:drawing>
      </w:r>
    </w:p>
    <w:p>
      <w:pPr>
        <w:pStyle w:val="2"/>
        <w:rPr>
          <w:rFonts w:hint="eastAsia"/>
          <w:lang w:val="en-US" w:eastAsia="zh-CN"/>
        </w:rPr>
        <w:sectPr>
          <w:pgSz w:w="11906" w:h="16838"/>
          <w:pgMar w:top="1304" w:right="1531" w:bottom="1247" w:left="1531" w:header="851" w:footer="992" w:gutter="0"/>
          <w:cols w:space="425" w:num="1"/>
          <w:docGrid w:type="lines" w:linePitch="312" w:charSpace="0"/>
        </w:sectPr>
      </w:pPr>
    </w:p>
    <w:p>
      <w:pPr>
        <w:rPr>
          <w:rFonts w:hint="eastAsia"/>
          <w:lang w:val="en-US" w:eastAsia="zh-CN"/>
        </w:rPr>
      </w:pPr>
    </w:p>
    <w:p>
      <w:pPr>
        <w:pStyle w:val="4"/>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Style w:val="5"/>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珠海正方公共资源运营有限公司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石溪公园勒杜鹃和炮仗花苗木采购</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pPr>
        <w:spacing w:line="360"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珠海正方公共资源运营有限公司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w:t>
      </w:r>
      <w:r>
        <w:rPr>
          <w:rFonts w:hint="eastAsia" w:cs="Times New Roman"/>
          <w:color w:val="auto"/>
          <w:sz w:val="28"/>
          <w:szCs w:val="28"/>
          <w:lang w:val="en-US" w:eastAsia="zh-CN"/>
        </w:rPr>
        <w:t>石溪公园勒杜鹃和炮仗花苗木采购</w:t>
      </w:r>
      <w:r>
        <w:rPr>
          <w:rFonts w:hint="eastAsia" w:cs="Times New Roman"/>
          <w:color w:val="auto"/>
          <w:sz w:val="28"/>
          <w:szCs w:val="28"/>
          <w:lang w:eastAsia="zh-CN"/>
        </w:rPr>
        <w:t>）</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p>
    <w:p>
      <w:pPr>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元 （¥          元）承接</w:t>
      </w:r>
      <w:permStart w:id="12" w:edGrp="everyone"/>
      <w:r>
        <w:rPr>
          <w:rFonts w:hint="eastAsia" w:cs="Times New Roman"/>
          <w:color w:val="auto"/>
          <w:sz w:val="28"/>
          <w:szCs w:val="28"/>
          <w:lang w:eastAsia="zh-CN"/>
        </w:rPr>
        <w:t>（</w:t>
      </w:r>
      <w:r>
        <w:rPr>
          <w:rFonts w:hint="eastAsia" w:cs="Times New Roman"/>
          <w:color w:val="auto"/>
          <w:sz w:val="28"/>
          <w:szCs w:val="28"/>
          <w:lang w:val="en-US" w:eastAsia="zh-CN"/>
        </w:rPr>
        <w:t>石溪公园勒杜鹃和炮仗花苗木采购</w:t>
      </w:r>
      <w:r>
        <w:rPr>
          <w:rFonts w:hint="eastAsia" w:cs="Times New Roman"/>
          <w:color w:val="auto"/>
          <w:sz w:val="28"/>
          <w:szCs w:val="28"/>
          <w:lang w:eastAsia="zh-CN"/>
        </w:rPr>
        <w:t>）</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4"/>
        <w:tblW w:w="9496" w:type="dxa"/>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16"/>
        <w:gridCol w:w="1336"/>
        <w:gridCol w:w="2091"/>
        <w:gridCol w:w="825"/>
        <w:gridCol w:w="900"/>
        <w:gridCol w:w="1140"/>
        <w:gridCol w:w="1260"/>
        <w:gridCol w:w="1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209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宋体"/>
                <w:b/>
                <w:i w:val="0"/>
                <w:color w:val="000000"/>
                <w:kern w:val="0"/>
                <w:sz w:val="24"/>
                <w:szCs w:val="24"/>
                <w:u w:val="none"/>
                <w:lang w:val="en-US" w:eastAsia="zh-CN" w:bidi="ar"/>
              </w:rPr>
              <w:t>数</w:t>
            </w:r>
            <w:r>
              <w:rPr>
                <w:rFonts w:hint="eastAsia" w:ascii="宋体" w:hAnsi="宋体" w:eastAsia="宋体" w:cs="宋体"/>
                <w:b/>
                <w:i w:val="0"/>
                <w:color w:val="000000"/>
                <w:kern w:val="0"/>
                <w:sz w:val="24"/>
                <w:szCs w:val="24"/>
                <w:u w:val="none"/>
                <w:lang w:val="en-US" w:eastAsia="zh-CN" w:bidi="ar"/>
              </w:rPr>
              <w:t>量</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1228" w:type="dxa"/>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71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33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2091"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825"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90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140" w:type="dxa"/>
            <w:tcBorders>
              <w:top w:val="single" w:color="000000" w:sz="4" w:space="0"/>
              <w:left w:val="single" w:color="000000" w:sz="4" w:space="0"/>
              <w:bottom w:val="single" w:color="auto"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单价 </w:t>
            </w:r>
          </w:p>
        </w:tc>
        <w:tc>
          <w:tcPr>
            <w:tcW w:w="1260" w:type="dxa"/>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1228" w:type="dxa"/>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75"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3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爬藤炮仗花</w:t>
            </w:r>
          </w:p>
        </w:tc>
        <w:tc>
          <w:tcPr>
            <w:tcW w:w="2091"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苗高1.8-2m ,冠幅0.5-0.6m</w:t>
            </w:r>
          </w:p>
        </w:tc>
        <w:tc>
          <w:tcPr>
            <w:tcW w:w="825"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株</w:t>
            </w:r>
          </w:p>
        </w:tc>
        <w:tc>
          <w:tcPr>
            <w:tcW w:w="9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100.00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34"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w:t>
            </w:r>
          </w:p>
        </w:tc>
        <w:tc>
          <w:tcPr>
            <w:tcW w:w="133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红色勒杜鹃</w:t>
            </w:r>
          </w:p>
        </w:tc>
        <w:tc>
          <w:tcPr>
            <w:tcW w:w="2091"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苗高0.8-1m,冠幅0.8-1m</w:t>
            </w:r>
          </w:p>
        </w:tc>
        <w:tc>
          <w:tcPr>
            <w:tcW w:w="825"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株</w:t>
            </w:r>
          </w:p>
        </w:tc>
        <w:tc>
          <w:tcPr>
            <w:tcW w:w="9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2"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w:t>
            </w:r>
          </w:p>
        </w:tc>
        <w:tc>
          <w:tcPr>
            <w:tcW w:w="6292" w:type="dxa"/>
            <w:gridSpan w:val="5"/>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合计（元）</w:t>
            </w: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46" w:hRule="atLeast"/>
        </w:trPr>
        <w:tc>
          <w:tcPr>
            <w:tcW w:w="9496" w:type="dxa"/>
            <w:gridSpan w:val="8"/>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注：</w:t>
            </w:r>
            <w:r>
              <w:rPr>
                <w:rFonts w:hint="eastAsia" w:ascii="宋体" w:hAnsi="宋体" w:eastAsia="宋体" w:cs="宋体"/>
                <w:color w:val="auto"/>
                <w:sz w:val="22"/>
                <w:szCs w:val="22"/>
                <w:lang w:val="en-US" w:eastAsia="zh-CN"/>
              </w:rPr>
              <w:t>1</w:t>
            </w:r>
            <w:r>
              <w:rPr>
                <w:rFonts w:hint="eastAsia" w:ascii="宋体" w:hAnsi="宋体" w:cs="宋体"/>
                <w:color w:val="auto"/>
                <w:sz w:val="22"/>
                <w:szCs w:val="22"/>
                <w:lang w:val="en-US" w:eastAsia="zh-CN"/>
              </w:rPr>
              <w:t>.</w:t>
            </w:r>
            <w:r>
              <w:rPr>
                <w:rFonts w:hint="eastAsia" w:ascii="宋体" w:hAnsi="宋体" w:eastAsia="宋体" w:cs="宋体"/>
                <w:color w:val="auto"/>
                <w:sz w:val="22"/>
                <w:szCs w:val="22"/>
              </w:rPr>
              <w:t>所有报价均为含税价，且已包含人工费、材料费、交通差旅费、餐饮费、运费等完成本项目的所有费用</w:t>
            </w:r>
            <w:r>
              <w:rPr>
                <w:rFonts w:hint="eastAsia" w:ascii="宋体" w:hAnsi="宋体" w:cs="宋体"/>
                <w:color w:val="auto"/>
                <w:sz w:val="22"/>
                <w:szCs w:val="22"/>
                <w:lang w:eastAsia="zh-CN"/>
              </w:rPr>
              <w:t>，</w:t>
            </w:r>
            <w:r>
              <w:rPr>
                <w:rFonts w:hint="eastAsia" w:ascii="宋体" w:hAnsi="宋体" w:eastAsia="宋体" w:cs="宋体"/>
                <w:color w:val="auto"/>
                <w:sz w:val="22"/>
                <w:szCs w:val="22"/>
              </w:rPr>
              <w:t>所有报价金额均保留2位小数</w:t>
            </w:r>
            <w:r>
              <w:rPr>
                <w:rFonts w:hint="eastAsia" w:ascii="宋体" w:hAnsi="宋体" w:cs="宋体"/>
                <w:color w:val="auto"/>
                <w:sz w:val="22"/>
                <w:szCs w:val="22"/>
                <w:lang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yellow"/>
                <w:lang w:val="en-US" w:eastAsia="zh-CN"/>
              </w:rPr>
              <w:t>2.</w:t>
            </w:r>
            <w:r>
              <w:rPr>
                <w:rFonts w:hint="eastAsia" w:ascii="宋体" w:hAnsi="宋体" w:eastAsia="宋体" w:cs="宋体"/>
                <w:color w:val="auto"/>
                <w:sz w:val="22"/>
                <w:szCs w:val="22"/>
                <w:highlight w:val="yellow"/>
                <w:lang w:val="en-US" w:eastAsia="zh-CN"/>
              </w:rPr>
              <w:t>发票类型</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none"/>
              </w:rPr>
              <w:t>%</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w:t>
            </w:r>
            <w:r>
              <w:rPr>
                <w:rFonts w:hint="eastAsia" w:ascii="宋体" w:hAnsi="宋体" w:eastAsia="宋体" w:cs="宋体"/>
                <w:color w:val="auto"/>
                <w:sz w:val="22"/>
                <w:szCs w:val="22"/>
              </w:rPr>
              <w:t>专用发票</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增值税普通发票</w:t>
            </w:r>
            <w:r>
              <w:rPr>
                <w:rFonts w:hint="eastAsia" w:ascii="宋体" w:hAnsi="宋体" w:eastAsia="宋体" w:cs="宋体"/>
                <w:color w:val="auto"/>
                <w:sz w:val="22"/>
                <w:szCs w:val="22"/>
              </w:rPr>
              <w:sym w:font="Wingdings 2" w:char="00A3"/>
            </w:r>
            <w:r>
              <w:rPr>
                <w:rFonts w:hint="eastAsia" w:ascii="宋体" w:hAnsi="宋体" w:cs="宋体"/>
                <w:color w:val="auto"/>
                <w:sz w:val="22"/>
                <w:szCs w:val="22"/>
                <w:lang w:val="en-US" w:eastAsia="zh-CN"/>
              </w:rPr>
              <w:t>农产品免税发票；</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注：如因国家政策变化导致增值税税率发生变化的，本</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项下不含增值税的价款金额不变，对应增值税金额按照新税率计算，价款总额作对应调整</w:t>
            </w:r>
            <w:r>
              <w:rPr>
                <w:rFonts w:hint="eastAsia" w:ascii="宋体" w:hAnsi="宋体" w:cs="宋体"/>
                <w:color w:val="auto"/>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lang w:eastAsia="zh-CN"/>
              </w:rPr>
            </w:pPr>
            <w:r>
              <w:rPr>
                <w:rFonts w:hint="eastAsia" w:ascii="宋体" w:hAnsi="宋体" w:eastAsia="宋体" w:cs="宋体"/>
                <w:color w:val="auto"/>
                <w:kern w:val="0"/>
                <w:sz w:val="22"/>
                <w:szCs w:val="22"/>
                <w:lang w:val="en-US" w:eastAsia="zh-CN" w:bidi="ar-SA"/>
              </w:rPr>
              <w:t>3.质量标准：合格，符合相关要求及规定</w:t>
            </w:r>
            <w:r>
              <w:rPr>
                <w:rFonts w:hint="eastAsia" w:ascii="宋体" w:hAnsi="宋体" w:cs="宋体"/>
                <w:color w:val="auto"/>
                <w:kern w:val="0"/>
                <w:sz w:val="22"/>
                <w:szCs w:val="22"/>
                <w:lang w:val="en-US" w:eastAsia="zh-CN" w:bidi="ar-SA"/>
              </w:rPr>
              <w:t>；</w:t>
            </w:r>
          </w:p>
          <w:p>
            <w:pPr>
              <w:pStyle w:val="6"/>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i w:val="0"/>
                <w:color w:val="000000"/>
                <w:kern w:val="0"/>
                <w:sz w:val="24"/>
                <w:szCs w:val="24"/>
                <w:u w:val="none"/>
                <w:lang w:val="en-US" w:eastAsia="zh-CN" w:bidi="ar"/>
              </w:rPr>
            </w:pPr>
            <w:r>
              <w:rPr>
                <w:rFonts w:hint="eastAsia" w:hAnsi="宋体" w:cs="宋体"/>
                <w:color w:val="auto"/>
                <w:sz w:val="22"/>
                <w:szCs w:val="22"/>
                <w:lang w:val="en-US" w:eastAsia="zh-CN"/>
              </w:rPr>
              <w:t>4.</w:t>
            </w:r>
            <w:r>
              <w:rPr>
                <w:rFonts w:hint="eastAsia" w:ascii="宋体" w:hAnsi="宋体" w:eastAsia="宋体" w:cs="宋体"/>
                <w:color w:val="auto"/>
                <w:sz w:val="22"/>
                <w:szCs w:val="22"/>
                <w:lang w:val="en-US" w:eastAsia="zh-CN"/>
              </w:rPr>
              <w:t>本次采购数量为预估量，以实际用量结算，送货前需先与收货人联系，</w:t>
            </w:r>
            <w:r>
              <w:rPr>
                <w:rFonts w:hint="eastAsia" w:hAnsi="宋体" w:cs="宋体"/>
                <w:color w:val="auto"/>
                <w:sz w:val="22"/>
                <w:szCs w:val="22"/>
                <w:lang w:val="en-US" w:eastAsia="zh-CN"/>
              </w:rPr>
              <w:t>收货地址：石溪公园，</w:t>
            </w:r>
            <w:r>
              <w:rPr>
                <w:rFonts w:hint="eastAsia" w:ascii="宋体" w:hAnsi="宋体" w:eastAsia="宋体" w:cs="宋体"/>
                <w:color w:val="auto"/>
                <w:sz w:val="22"/>
                <w:szCs w:val="22"/>
                <w:lang w:val="en-US" w:eastAsia="zh-CN"/>
              </w:rPr>
              <w:t>收货人：屈克超 13709689029。</w:t>
            </w:r>
          </w:p>
        </w:tc>
      </w:tr>
    </w:tbl>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联系方式</w:t>
      </w:r>
      <w:r>
        <w:rPr>
          <w:rFonts w:hint="eastAsia" w:cs="Times New Roman"/>
          <w:color w:val="auto"/>
          <w:kern w:val="2"/>
          <w:sz w:val="24"/>
          <w:szCs w:val="24"/>
          <w:lang w:val="en-US" w:eastAsia="zh-CN" w:bidi="ar-SA"/>
        </w:rPr>
        <w:t>：</w:t>
      </w:r>
    </w:p>
    <w:p>
      <w:pPr>
        <w:autoSpaceDE w:val="0"/>
        <w:autoSpaceDN w:val="0"/>
        <w:spacing w:before="312" w:beforeLines="100" w:line="360" w:lineRule="auto"/>
        <w:jc w:val="left"/>
        <w:rPr>
          <w:rFonts w:hint="eastAsia" w:ascii="宋体" w:hAnsi="宋体"/>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2"/>
        <w:rPr>
          <w:rFonts w:hint="eastAsia" w:ascii="宋体" w:hAnsi="宋体"/>
          <w:b/>
          <w:bCs/>
          <w:sz w:val="24"/>
          <w:szCs w:val="24"/>
          <w:lang w:val="en-US" w:eastAsia="zh-CN"/>
        </w:rPr>
      </w:pPr>
      <w:r>
        <w:rPr>
          <w:rFonts w:hint="eastAsia" w:ascii="宋体" w:hAnsi="宋体"/>
          <w:b/>
          <w:bCs/>
          <w:sz w:val="24"/>
          <w:szCs w:val="24"/>
          <w:lang w:val="en-US" w:eastAsia="zh-CN"/>
        </w:rPr>
        <w:t>附件1：需求书</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rPr>
      </w:pPr>
      <w:r>
        <w:rPr>
          <w:rFonts w:hint="eastAsia"/>
          <w:b/>
          <w:bCs/>
          <w:lang w:val="en-US" w:eastAsia="zh-CN"/>
        </w:rPr>
        <w:t>一、</w:t>
      </w:r>
      <w:r>
        <w:rPr>
          <w:rFonts w:hint="eastAsia"/>
          <w:b/>
          <w:bCs/>
        </w:rPr>
        <w:t>爬藤炮仗花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rPr>
          <w:rFonts w:hint="eastAsia"/>
          <w:lang w:val="en-US" w:eastAsia="zh-CN"/>
        </w:rPr>
        <w:t>1.</w:t>
      </w:r>
      <w:r>
        <w:rPr>
          <w:rFonts w:hint="eastAsia"/>
        </w:rPr>
        <w:t>规格：苗高 1.8～2m，冠幅 0.5～0.6m，采购 100 株</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rPr>
          <w:rFonts w:hint="eastAsia"/>
          <w:lang w:val="en-US" w:eastAsia="zh-CN"/>
        </w:rPr>
        <w:t>2.</w:t>
      </w:r>
      <w:r>
        <w:rPr>
          <w:rFonts w:hint="eastAsia"/>
        </w:rPr>
        <w:t>采用优质容器苗，藤蔓健壮、分枝多、爬藤性强，藤蔓无折断、破皮、老化枯枝；植株长势均匀，叶片浓绿健康，无黄叶、病斑、虫卵及病虫害；根系完整、营养土紧实不脱盆，整批苗型规格统一</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drawing>
          <wp:anchor distT="0" distB="0" distL="114300" distR="114300" simplePos="0" relativeHeight="251665408" behindDoc="0" locked="0" layoutInCell="1" allowOverlap="1">
            <wp:simplePos x="0" y="0"/>
            <wp:positionH relativeFrom="column">
              <wp:posOffset>365760</wp:posOffset>
            </wp:positionH>
            <wp:positionV relativeFrom="paragraph">
              <wp:posOffset>294640</wp:posOffset>
            </wp:positionV>
            <wp:extent cx="2001520" cy="1501140"/>
            <wp:effectExtent l="0" t="0" r="17780" b="3810"/>
            <wp:wrapNone/>
            <wp:docPr id="4" name="图片 4" descr="c8c25cb43cb1caf78beb10fd2ce9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8c25cb43cb1caf78beb10fd2ce95a4"/>
                    <pic:cNvPicPr>
                      <a:picLocks noChangeAspect="1"/>
                    </pic:cNvPicPr>
                  </pic:nvPicPr>
                  <pic:blipFill>
                    <a:blip r:embed="rId12"/>
                    <a:stretch>
                      <a:fillRect/>
                    </a:stretch>
                  </pic:blipFill>
                  <pic:spPr>
                    <a:xfrm>
                      <a:off x="0" y="0"/>
                      <a:ext cx="2001520" cy="1501140"/>
                    </a:xfrm>
                    <a:prstGeom prst="rect">
                      <a:avLst/>
                    </a:prstGeom>
                  </pic:spPr>
                </pic:pic>
              </a:graphicData>
            </a:graphic>
          </wp:anchor>
        </w:drawing>
      </w:r>
      <w:r>
        <w:rPr>
          <w:rFonts w:hint="eastAsia"/>
          <w:lang w:val="en-US" w:eastAsia="zh-CN"/>
        </w:rPr>
        <w:t>3.参考图片。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rPr>
      </w:pPr>
      <w:r>
        <w:rPr>
          <w:rFonts w:hint="eastAsia"/>
          <w:b/>
          <w:bCs/>
          <w:lang w:val="en-US" w:eastAsia="zh-CN"/>
        </w:rPr>
        <w:t>二、</w:t>
      </w:r>
      <w:r>
        <w:rPr>
          <w:rFonts w:hint="eastAsia"/>
          <w:b/>
          <w:bCs/>
        </w:rPr>
        <w:t>红色勒杜鹃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rPr>
          <w:rFonts w:hint="eastAsia"/>
          <w:lang w:val="en-US" w:eastAsia="zh-CN"/>
        </w:rPr>
        <w:t>1.</w:t>
      </w:r>
      <w:r>
        <w:rPr>
          <w:rFonts w:hint="eastAsia"/>
        </w:rPr>
        <w:t>规格：苗高 0.8～1m，冠幅 0.8～1m，采购 8 株</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rPr>
          <w:rFonts w:hint="eastAsia"/>
          <w:lang w:val="en-US" w:eastAsia="zh-CN"/>
        </w:rPr>
        <w:t>2.</w:t>
      </w:r>
      <w:r>
        <w:rPr>
          <w:rFonts w:hint="eastAsia"/>
        </w:rPr>
        <w:t>精品丛生容器苗，冠形饱满圆润、分枝茂密、无空膛偏冠；枝干健壮，无断枝、断头、机械损伤；叶片翠绿无焦边、枯叶，无白粉病、虫害；花色正红无杂色，带花苞；原生营养杯完好、基质紧实，根系发达不烂根；同批次株型整齐一致</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rPr>
      </w:pPr>
      <w:r>
        <w:rPr>
          <w:rFonts w:hint="eastAsia"/>
          <w:b/>
          <w:bCs/>
          <w:lang w:val="en-US" w:eastAsia="zh-CN"/>
        </w:rPr>
        <w:t>三、</w:t>
      </w:r>
      <w:r>
        <w:rPr>
          <w:rFonts w:hint="eastAsia"/>
          <w:b/>
          <w:bCs/>
        </w:rPr>
        <w:t>验收要求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1.</w:t>
      </w:r>
      <w:r>
        <w:rPr>
          <w:rFonts w:hint="eastAsia"/>
        </w:rPr>
        <w:t>苗木进场后，采购方现场逐株实测苗高、冠幅，核对苗木品相、病虫害及根系情况，规格、质量不符合上述要求的，采购方有权拒收，供货方需无条件退换，由此产生的一切费用由供货方承担。</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2" w:firstLineChars="200"/>
        <w:textAlignment w:val="auto"/>
        <w:rPr>
          <w:rFonts w:hint="eastAsia"/>
          <w:b/>
          <w:bCs/>
        </w:rPr>
      </w:pPr>
      <w:r>
        <w:rPr>
          <w:rFonts w:hint="eastAsia"/>
          <w:b/>
          <w:bCs/>
        </w:rPr>
        <w:t>质保条款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1.</w:t>
      </w:r>
      <w:r>
        <w:rPr>
          <w:rFonts w:hint="eastAsia"/>
        </w:rPr>
        <w:t>苗木质保期为3个月（自验收合格之日起计算），质保期内，苗木因自身质量问题（非人为损坏、非养护不当）出现枯萎、死亡、大面积黄叶等情况的，供货方需在接到采购方通知后3个工作日内无偿补植更换，确保补植苗木规格、质量与原采购要求一致，直至苗木正常存活。</w:t>
      </w:r>
    </w:p>
    <w:p>
      <w:pPr>
        <w:rPr>
          <w:rFonts w:hint="default"/>
          <w:lang w:val="en-US" w:eastAsia="zh-CN"/>
        </w:rPr>
      </w:pP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DD38C763"/>
    <w:multiLevelType w:val="singleLevel"/>
    <w:tmpl w:val="DD38C763"/>
    <w:lvl w:ilvl="0" w:tentative="0">
      <w:start w:val="4"/>
      <w:numFmt w:val="chineseCounting"/>
      <w:suff w:val="nothing"/>
      <w:lvlText w:val="%1、"/>
      <w:lvlJc w:val="left"/>
      <w:rPr>
        <w:rFonts w:hint="eastAsia"/>
      </w:rPr>
    </w:lvl>
  </w:abstractNum>
  <w:abstractNum w:abstractNumId="3">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5B1555F"/>
    <w:rsid w:val="0671572A"/>
    <w:rsid w:val="067D1626"/>
    <w:rsid w:val="0841052C"/>
    <w:rsid w:val="097558B4"/>
    <w:rsid w:val="09770F2A"/>
    <w:rsid w:val="0A261215"/>
    <w:rsid w:val="0A4F74B7"/>
    <w:rsid w:val="0C1C2D99"/>
    <w:rsid w:val="0D8F41B1"/>
    <w:rsid w:val="0DB93286"/>
    <w:rsid w:val="0DCB0AAA"/>
    <w:rsid w:val="0E49720A"/>
    <w:rsid w:val="0EC420D1"/>
    <w:rsid w:val="0EC93FBB"/>
    <w:rsid w:val="108E7050"/>
    <w:rsid w:val="10E91871"/>
    <w:rsid w:val="11DD4B3A"/>
    <w:rsid w:val="129618DC"/>
    <w:rsid w:val="14DC73BB"/>
    <w:rsid w:val="14EB65E0"/>
    <w:rsid w:val="1588048B"/>
    <w:rsid w:val="168857E4"/>
    <w:rsid w:val="16D97ADD"/>
    <w:rsid w:val="16E45AEB"/>
    <w:rsid w:val="177F1319"/>
    <w:rsid w:val="17DF53E0"/>
    <w:rsid w:val="1B013FAA"/>
    <w:rsid w:val="1B513E4B"/>
    <w:rsid w:val="1BDC56E2"/>
    <w:rsid w:val="1D556636"/>
    <w:rsid w:val="1DCE44E0"/>
    <w:rsid w:val="202F7D49"/>
    <w:rsid w:val="210322A7"/>
    <w:rsid w:val="2121293A"/>
    <w:rsid w:val="23EC6A93"/>
    <w:rsid w:val="24957E2A"/>
    <w:rsid w:val="259F18F8"/>
    <w:rsid w:val="272E6E27"/>
    <w:rsid w:val="27540AC6"/>
    <w:rsid w:val="278065CC"/>
    <w:rsid w:val="287C62B4"/>
    <w:rsid w:val="28C56911"/>
    <w:rsid w:val="291B3A89"/>
    <w:rsid w:val="2B3335F6"/>
    <w:rsid w:val="2BED4BFF"/>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B454899"/>
    <w:rsid w:val="3BDD1A9B"/>
    <w:rsid w:val="3BF341D2"/>
    <w:rsid w:val="3DDA2166"/>
    <w:rsid w:val="3E7E4135"/>
    <w:rsid w:val="3EC52271"/>
    <w:rsid w:val="3ED65B24"/>
    <w:rsid w:val="3F676A9B"/>
    <w:rsid w:val="408829A2"/>
    <w:rsid w:val="40DF147E"/>
    <w:rsid w:val="410E417C"/>
    <w:rsid w:val="43F34101"/>
    <w:rsid w:val="4483748A"/>
    <w:rsid w:val="46291EEF"/>
    <w:rsid w:val="467170E3"/>
    <w:rsid w:val="46B354B7"/>
    <w:rsid w:val="47C0473A"/>
    <w:rsid w:val="484138CD"/>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7B0426"/>
    <w:rsid w:val="5BD82D7C"/>
    <w:rsid w:val="5BE44C27"/>
    <w:rsid w:val="5BFB7194"/>
    <w:rsid w:val="5D497B32"/>
    <w:rsid w:val="5EBE23CD"/>
    <w:rsid w:val="617E685D"/>
    <w:rsid w:val="61A2602F"/>
    <w:rsid w:val="61FF0F78"/>
    <w:rsid w:val="63A6159C"/>
    <w:rsid w:val="63F16E5E"/>
    <w:rsid w:val="64847D61"/>
    <w:rsid w:val="665C30B6"/>
    <w:rsid w:val="66852B3E"/>
    <w:rsid w:val="67183BE9"/>
    <w:rsid w:val="67DE23FD"/>
    <w:rsid w:val="682078ED"/>
    <w:rsid w:val="68B65BF9"/>
    <w:rsid w:val="6A0D3F8C"/>
    <w:rsid w:val="6A934041"/>
    <w:rsid w:val="6B4E5816"/>
    <w:rsid w:val="6BB9773A"/>
    <w:rsid w:val="6CD54EA3"/>
    <w:rsid w:val="6D535020"/>
    <w:rsid w:val="6D944809"/>
    <w:rsid w:val="73CF0EC4"/>
    <w:rsid w:val="76656426"/>
    <w:rsid w:val="768D0B53"/>
    <w:rsid w:val="76DA30C2"/>
    <w:rsid w:val="775B4F8E"/>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2</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许丹绮</cp:lastModifiedBy>
  <dcterms:modified xsi:type="dcterms:W3CDTF">2026-04-28T12:08:55Z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