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城市阳台S4项目动物摆件装饰物料采购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（珠海正方盛泰投资有限公司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4月29日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珠海正方盛泰投资有限公司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城市阳台作为海滩旅游的打卡地，希望通过净滩公益活动宣传教育引导公众习惯，增强环保意识，推动海滩旅游的可持续发展，为提升城市阳台项目美誉度，增加顾客体验感，申请城市阳台S4项目动物摆件装饰物料采购。</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伍仟壹佰元整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5100.00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伍仟壹佰元整</w:t>
      </w:r>
      <w:r>
        <w:rPr>
          <w:rFonts w:hint="default" w:ascii="Times New Roman" w:hAnsi="Times New Roman" w:eastAsia="宋体" w:cs="Times New Roman"/>
          <w:color w:val="auto"/>
          <w:sz w:val="24"/>
          <w:u w:val="none"/>
        </w:rPr>
        <w:t>（¥</w:t>
      </w:r>
      <w:r>
        <w:rPr>
          <w:rFonts w:hint="default" w:ascii="Times New Roman" w:hAnsi="Times New Roman" w:eastAsia="宋体" w:cs="Times New Roman"/>
          <w:color w:val="auto"/>
          <w:sz w:val="24"/>
          <w:u w:val="none"/>
          <w:lang w:val="en-US" w:eastAsia="zh-CN"/>
        </w:rPr>
        <w:t>5</w:t>
      </w:r>
      <w:r>
        <w:rPr>
          <w:rFonts w:hint="eastAsia" w:cs="Times New Roman"/>
          <w:color w:val="auto"/>
          <w:sz w:val="24"/>
          <w:u w:val="none"/>
          <w:lang w:val="en-US" w:eastAsia="zh-CN"/>
        </w:rPr>
        <w:t>10</w:t>
      </w:r>
      <w:r>
        <w:rPr>
          <w:rFonts w:hint="default" w:ascii="Times New Roman" w:hAnsi="Times New Roman" w:eastAsia="宋体" w:cs="Times New Roman"/>
          <w:color w:val="auto"/>
          <w:sz w:val="24"/>
          <w:u w:val="none"/>
          <w:lang w:val="en-US" w:eastAsia="zh-CN"/>
        </w:rPr>
        <w:t>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城市阳台S4项目动物摆件装饰物料采购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w:t>
      </w:r>
      <w:r>
        <w:rPr>
          <w:rFonts w:hint="eastAsia" w:cs="Times New Roman"/>
          <w:color w:val="auto"/>
          <w:sz w:val="24"/>
          <w:lang w:eastAsia="zh-CN"/>
        </w:rPr>
        <w:t>《</w:t>
      </w:r>
      <w:r>
        <w:rPr>
          <w:rFonts w:hint="eastAsia" w:cs="Times New Roman"/>
          <w:color w:val="auto"/>
          <w:sz w:val="24"/>
          <w:lang w:val="en-US" w:eastAsia="zh-CN"/>
        </w:rPr>
        <w:t>报价文件</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cs="Times New Roman"/>
          <w:b w:val="0"/>
          <w:bCs w:val="0"/>
          <w:color w:val="auto"/>
          <w:sz w:val="24"/>
          <w:lang w:val="en-US" w:eastAsia="zh-CN"/>
        </w:rPr>
        <w:t xml:space="preserve">. </w:t>
      </w:r>
      <w:r>
        <w:rPr>
          <w:rFonts w:hint="eastAsia" w:ascii="宋体" w:hAnsi="宋体" w:eastAsia="宋体" w:cs="宋体"/>
          <w:b w:val="0"/>
          <w:bCs w:val="0"/>
          <w:color w:val="auto"/>
          <w:sz w:val="24"/>
        </w:rPr>
        <w:t>未被列入“信用中国”网站(www.creditchina.gov.cn)“记录失信被执行人或重大税收违法失信主体”记录名单证明文件；</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3. </w:t>
      </w:r>
      <w:r>
        <w:rPr>
          <w:rFonts w:hint="default" w:ascii="Times New Roman" w:hAnsi="Times New Roman" w:eastAsia="宋体" w:cs="Times New Roman"/>
          <w:b w:val="0"/>
          <w:bCs w:val="0"/>
          <w:color w:val="auto"/>
          <w:sz w:val="24"/>
        </w:rPr>
        <w:t>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4. </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5. </w:t>
      </w:r>
      <w:r>
        <w:rPr>
          <w:rFonts w:hint="default" w:ascii="Times New Roman" w:hAnsi="Times New Roman" w:eastAsia="宋体" w:cs="Times New Roman"/>
          <w:b w:val="0"/>
          <w:bCs w:val="0"/>
          <w:color w:val="auto"/>
          <w:sz w:val="24"/>
        </w:rPr>
        <w:t>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6"/>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w:t>
      </w:r>
      <w:r>
        <w:rPr>
          <w:rFonts w:hint="eastAsia" w:ascii="Times New Roman" w:hAnsi="Times New Roman"/>
          <w:b/>
          <w:bCs/>
          <w:color w:val="0000FF"/>
          <w:kern w:val="2"/>
          <w:sz w:val="24"/>
          <w:lang w:val="en-US" w:eastAsia="zh-CN"/>
        </w:rPr>
        <w:t>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p>
    <w:p>
      <w:pPr>
        <w:pStyle w:val="6"/>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2"/>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w:t>
      </w:r>
      <w:bookmarkStart w:id="94" w:name="_GoBack"/>
      <w:bookmarkEnd w:id="94"/>
      <w:r>
        <w:rPr>
          <w:rFonts w:hint="eastAsia" w:cs="Times New Roman"/>
          <w:color w:val="auto"/>
          <w:sz w:val="24"/>
          <w:lang w:val="en-US" w:eastAsia="zh-CN"/>
        </w:rPr>
        <w:t>月7日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7</w:t>
      </w: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b/>
          <w:bCs/>
          <w:color w:val="auto"/>
          <w:sz w:val="24"/>
          <w:lang w:val="en-US" w:eastAsia="zh-CN"/>
        </w:rPr>
        <w:t>投标单位全称+</w:t>
      </w:r>
      <w:r>
        <w:rPr>
          <w:rFonts w:hint="eastAsia" w:cs="Times New Roman"/>
          <w:b/>
          <w:bCs/>
          <w:color w:val="auto"/>
          <w:sz w:val="24"/>
          <w:lang w:eastAsia="zh-CN"/>
        </w:rPr>
        <w:t>城市阳台S4项目动物摆件装饰物料采购</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val="en-US" w:eastAsia="zh-CN"/>
        </w:rPr>
        <w:t>将视为无效报价</w:t>
      </w:r>
      <w:r>
        <w:rPr>
          <w:rFonts w:hint="default" w:ascii="Times New Roman" w:hAnsi="Times New Roman" w:eastAsia="宋体" w:cs="Times New Roman"/>
          <w:color w:val="auto"/>
          <w:sz w:val="24"/>
        </w:rPr>
        <w:t>。</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Next w:val="0"/>
        <w:keepLines/>
        <w:pageBreakBefore w:val="0"/>
        <w:widowControl/>
        <w:tabs>
          <w:tab w:val="left" w:pos="201"/>
        </w:tabs>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rPr>
      </w:pPr>
      <w:r>
        <w:rPr>
          <w:rFonts w:hint="eastAsia" w:ascii="宋体" w:hAnsi="宋体"/>
          <w:sz w:val="24"/>
          <w:lang w:val="en-US" w:eastAsia="zh-CN"/>
        </w:rPr>
        <w:t>2.8</w:t>
      </w:r>
      <w:r>
        <w:rPr>
          <w:rFonts w:hint="eastAsia" w:hAnsi="宋体"/>
          <w:sz w:val="24"/>
          <w:lang w:val="en-US" w:eastAsia="zh-CN"/>
        </w:rPr>
        <w:t xml:space="preserve"> </w:t>
      </w:r>
      <w:r>
        <w:rPr>
          <w:rFonts w:hint="eastAsia" w:ascii="宋体" w:hAnsi="宋体" w:eastAsia="宋体" w:cs="Times New Roman"/>
          <w:kern w:val="2"/>
          <w:sz w:val="24"/>
          <w:szCs w:val="24"/>
          <w:lang w:val="en-US" w:eastAsia="zh-CN" w:bidi="ar-SA"/>
        </w:rPr>
        <w:t>若中标供应商放弃中标资格、不符合中标条件的、因不可抗力不能履行合同或者被查实存在影响中标结果的违法行为等情形，招标人可按照确定的</w:t>
      </w:r>
      <w:r>
        <w:rPr>
          <w:rFonts w:hint="eastAsia" w:hAnsi="宋体" w:cs="Times New Roman"/>
          <w:kern w:val="2"/>
          <w:sz w:val="24"/>
          <w:szCs w:val="24"/>
          <w:lang w:val="en-US" w:eastAsia="zh-CN" w:bidi="ar-SA"/>
        </w:rPr>
        <w:t>报价</w:t>
      </w:r>
      <w:r>
        <w:rPr>
          <w:rFonts w:hint="eastAsia" w:ascii="宋体" w:hAnsi="宋体" w:eastAsia="宋体" w:cs="Times New Roman"/>
          <w:kern w:val="2"/>
          <w:sz w:val="24"/>
          <w:szCs w:val="24"/>
          <w:lang w:val="en-US" w:eastAsia="zh-CN" w:bidi="ar-SA"/>
        </w:rPr>
        <w:t>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十一、</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jc w:val="right"/>
        <w:rPr>
          <w:rFonts w:hint="eastAsia" w:ascii="宋体" w:hAnsi="宋体" w:eastAsia="宋体" w:cs="宋体"/>
          <w:color w:val="auto"/>
          <w:sz w:val="24"/>
          <w:szCs w:val="24"/>
        </w:rPr>
      </w:pPr>
    </w:p>
    <w:p>
      <w:pPr>
        <w:pStyle w:val="19"/>
        <w:spacing w:line="36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珠海正方盛泰投资有限公司</w:t>
      </w:r>
      <w:r>
        <w:rPr>
          <w:rFonts w:hint="eastAsia" w:ascii="宋体" w:hAnsi="宋体" w:eastAsia="宋体" w:cs="宋体"/>
          <w:color w:val="auto"/>
          <w:sz w:val="24"/>
          <w:szCs w:val="24"/>
        </w:rPr>
        <w:t xml:space="preserve">         </w:t>
      </w:r>
    </w:p>
    <w:p>
      <w:pPr>
        <w:pStyle w:val="19"/>
        <w:spacing w:line="36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4月29日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27664"/>
      <w:bookmarkStart w:id="4" w:name="_Toc9199"/>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16107"/>
      <w:bookmarkStart w:id="8" w:name="_Toc698"/>
      <w:bookmarkStart w:id="9" w:name="_Toc17685"/>
      <w:bookmarkStart w:id="10" w:name="_Toc202819878"/>
      <w:bookmarkStart w:id="11" w:name="_Toc202820351"/>
      <w:bookmarkStart w:id="12" w:name="_Toc202816996"/>
      <w:bookmarkStart w:id="13" w:name="_Toc276645579"/>
      <w:bookmarkStart w:id="14" w:name="_Toc259090982"/>
      <w:bookmarkStart w:id="15" w:name="_Toc202251075"/>
      <w:bookmarkStart w:id="16" w:name="_Toc503427710"/>
      <w:bookmarkStart w:id="17" w:name="_Toc202252034"/>
      <w:bookmarkStart w:id="18" w:name="_Toc15317"/>
      <w:bookmarkStart w:id="19" w:name="_Toc202251700"/>
      <w:bookmarkStart w:id="20" w:name="_Toc202254105"/>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32660"/>
      <w:bookmarkStart w:id="22" w:name="_Toc503427711"/>
      <w:bookmarkStart w:id="23" w:name="_Toc259090983"/>
      <w:bookmarkStart w:id="24" w:name="_Toc20366"/>
      <w:bookmarkStart w:id="25" w:name="_Toc24181"/>
      <w:bookmarkStart w:id="26" w:name="_Toc276645580"/>
      <w:bookmarkStart w:id="27" w:name="_Toc13089"/>
      <w:r>
        <w:rPr>
          <w:rFonts w:hint="eastAsia" w:ascii="宋体" w:hAnsi="宋体"/>
          <w:sz w:val="28"/>
        </w:rPr>
        <w:t>1.1投标函</w:t>
      </w:r>
      <w:bookmarkEnd w:id="21"/>
      <w:bookmarkEnd w:id="22"/>
      <w:bookmarkEnd w:id="23"/>
      <w:bookmarkEnd w:id="24"/>
      <w:bookmarkEnd w:id="25"/>
      <w:bookmarkEnd w:id="26"/>
      <w:bookmarkEnd w:id="27"/>
    </w:p>
    <w:p>
      <w:pPr>
        <w:pStyle w:val="2"/>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城市阳台S4项目动物摆件装饰物料采购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t xml:space="preserve"> </w:t>
      </w:r>
    </w:p>
    <w:p>
      <w:pPr>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6"/>
        <w:spacing w:before="1" w:line="364" w:lineRule="auto"/>
        <w:ind w:right="105"/>
        <w:rPr>
          <w:spacing w:val="-8"/>
        </w:rPr>
      </w:pPr>
    </w:p>
    <w:p>
      <w:pPr>
        <w:pStyle w:val="6"/>
        <w:spacing w:before="1" w:line="364" w:lineRule="auto"/>
        <w:ind w:left="0" w:leftChars="0" w:right="105" w:firstLine="0" w:firstLineChars="0"/>
        <w:rPr>
          <w:spacing w:val="-8"/>
        </w:rPr>
      </w:pPr>
    </w:p>
    <w:p>
      <w:pPr>
        <w:pStyle w:val="6"/>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6"/>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01"/>
        <w:ind w:left="4920"/>
        <w:rPr>
          <w:spacing w:val="-120"/>
        </w:rPr>
      </w:pPr>
      <w:r>
        <w:t>公司名称（公章</w:t>
      </w:r>
      <w:r>
        <w:rPr>
          <w:spacing w:val="-120"/>
        </w:rPr>
        <w:t>）</w:t>
      </w:r>
    </w:p>
    <w:p>
      <w:pPr>
        <w:pStyle w:val="6"/>
        <w:spacing w:before="201"/>
        <w:ind w:left="4920"/>
        <w:rPr>
          <w:spacing w:val="-120"/>
        </w:rPr>
      </w:pPr>
    </w:p>
    <w:p>
      <w:pPr>
        <w:pStyle w:val="6"/>
        <w:ind w:left="4920"/>
        <w:rPr>
          <w:spacing w:val="-120"/>
        </w:rPr>
      </w:pPr>
      <w:r>
        <w:t>法定代表人（签名或签章</w:t>
      </w:r>
      <w:r>
        <w:rPr>
          <w:spacing w:val="-120"/>
        </w:rPr>
        <w:t>）</w:t>
      </w:r>
    </w:p>
    <w:p>
      <w:pPr>
        <w:pStyle w:val="6"/>
        <w:ind w:left="4920"/>
        <w:rPr>
          <w:spacing w:val="-120"/>
        </w:rPr>
      </w:pPr>
    </w:p>
    <w:p>
      <w:pPr>
        <w:pStyle w:val="6"/>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528"/>
      <w:bookmarkStart w:id="30" w:name="_Toc17080"/>
      <w:bookmarkStart w:id="31" w:name="_Toc503427713"/>
      <w:bookmarkStart w:id="32" w:name="_Toc27591"/>
      <w:bookmarkStart w:id="33" w:name="_Toc19171"/>
      <w:bookmarkStart w:id="34" w:name="_Toc19817"/>
      <w:r>
        <w:rPr>
          <w:rFonts w:hint="eastAsia" w:ascii="宋体" w:hAnsi="宋体"/>
          <w:sz w:val="28"/>
        </w:rPr>
        <w:t>1.3关于资格的声明函</w:t>
      </w:r>
      <w:bookmarkEnd w:id="29"/>
      <w:bookmarkEnd w:id="30"/>
      <w:bookmarkEnd w:id="31"/>
      <w:bookmarkEnd w:id="32"/>
      <w:bookmarkEnd w:id="33"/>
      <w:bookmarkEnd w:id="34"/>
    </w:p>
    <w:p>
      <w:pPr>
        <w:pStyle w:val="2"/>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城市阳台S4项目动物摆件装饰物料采购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10585"/>
      <w:bookmarkStart w:id="36" w:name="_Toc13922"/>
      <w:bookmarkStart w:id="37" w:name="_Toc14285"/>
      <w:bookmarkStart w:id="38" w:name="_Toc10559"/>
      <w:bookmarkStart w:id="39" w:name="_Toc15464"/>
      <w:bookmarkStart w:id="40" w:name="_Toc19796"/>
      <w:bookmarkStart w:id="41" w:name="_Toc32141"/>
      <w:bookmarkStart w:id="42" w:name="_Toc24356"/>
      <w:bookmarkStart w:id="43" w:name="_Toc5048"/>
      <w:bookmarkStart w:id="44" w:name="_Toc19969"/>
      <w:bookmarkStart w:id="45" w:name="_Toc6220"/>
      <w:bookmarkStart w:id="46" w:name="_Toc9476"/>
      <w:bookmarkStart w:id="47" w:name="_Toc26971"/>
      <w:bookmarkStart w:id="48" w:name="_Toc24969"/>
      <w:bookmarkStart w:id="49" w:name="_Toc31767"/>
      <w:bookmarkStart w:id="50" w:name="_Toc31877"/>
      <w:bookmarkStart w:id="51" w:name="_Toc4726"/>
      <w:bookmarkStart w:id="52" w:name="_Toc27468"/>
      <w:bookmarkStart w:id="53" w:name="_Toc503427714"/>
      <w:bookmarkStart w:id="54" w:name="_Toc4427"/>
      <w:bookmarkStart w:id="55" w:name="_Toc32498"/>
      <w:bookmarkStart w:id="56" w:name="_Toc6275"/>
      <w:bookmarkStart w:id="57" w:name="_Toc276645583"/>
      <w:bookmarkStart w:id="58" w:name="_Toc264628882"/>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7304"/>
      <w:bookmarkStart w:id="60" w:name="_Toc5662"/>
      <w:bookmarkStart w:id="61" w:name="_Toc10726"/>
      <w:bookmarkStart w:id="62" w:name="_Toc30192"/>
      <w:bookmarkStart w:id="63" w:name="_Toc22499"/>
      <w:bookmarkStart w:id="64" w:name="_Toc2576"/>
      <w:bookmarkStart w:id="65" w:name="_Toc3193"/>
      <w:bookmarkStart w:id="66" w:name="_Toc9094"/>
      <w:bookmarkStart w:id="67" w:name="_Toc5278"/>
      <w:bookmarkStart w:id="68" w:name="_Toc16860"/>
      <w:bookmarkStart w:id="69" w:name="_Toc24446"/>
      <w:bookmarkStart w:id="70" w:name="_Toc29470"/>
      <w:bookmarkStart w:id="71" w:name="_Toc113"/>
      <w:bookmarkStart w:id="72" w:name="_Toc6669"/>
      <w:bookmarkStart w:id="73" w:name="_Toc500"/>
      <w:bookmarkStart w:id="74" w:name="_Toc32145"/>
      <w:r>
        <w:rPr>
          <w:rFonts w:hint="eastAsia"/>
          <w:lang w:val="en-US" w:eastAsia="zh-CN"/>
        </w:rPr>
        <w:t>1.3.</w:t>
      </w:r>
      <w:bookmarkEnd w:id="59"/>
      <w:bookmarkEnd w:id="60"/>
      <w:bookmarkEnd w:id="61"/>
      <w:bookmarkStart w:id="75" w:name="_Toc17294"/>
      <w:bookmarkStart w:id="76" w:name="_Toc29247"/>
      <w:bookmarkStart w:id="77" w:name="_Toc28886"/>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ascii="宋体" w:hAnsi="宋体"/>
          <w:sz w:val="28"/>
        </w:rPr>
      </w:pPr>
      <w:r>
        <w:rPr>
          <w:rFonts w:hint="eastAsia" w:ascii="宋体" w:hAnsi="宋体"/>
          <w:sz w:val="28"/>
          <w:lang w:val="en-US" w:eastAsia="zh-CN"/>
        </w:rPr>
        <w:br w:type="page"/>
      </w:r>
      <w:bookmarkStart w:id="78" w:name="_Toc20437"/>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8"/>
    </w:p>
    <w:p>
      <w:pPr>
        <w:keepLines/>
        <w:widowControl/>
        <w:spacing w:line="360" w:lineRule="auto"/>
        <w:jc w:val="center"/>
        <w:rPr>
          <w:rFonts w:ascii="宋体" w:hAnsi="宋体"/>
          <w:sz w:val="24"/>
        </w:rPr>
      </w:pPr>
    </w:p>
    <w:p>
      <w:pPr>
        <w:pStyle w:val="2"/>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珠海正方盛泰投资有限公司</w:t>
      </w:r>
    </w:p>
    <w:p>
      <w:pPr>
        <w:pStyle w:val="2"/>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2"/>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2"/>
        <w:keepLines/>
        <w:widowControl/>
        <w:snapToGrid w:val="0"/>
        <w:spacing w:line="360" w:lineRule="auto"/>
        <w:ind w:firstLine="0"/>
        <w:rPr>
          <w:rFonts w:hAnsi="宋体"/>
          <w:bCs/>
          <w:sz w:val="24"/>
          <w:szCs w:val="24"/>
        </w:rPr>
      </w:pPr>
    </w:p>
    <w:p>
      <w:pPr>
        <w:pStyle w:val="2"/>
        <w:keepLines/>
        <w:widowControl/>
        <w:snapToGrid w:val="0"/>
        <w:spacing w:line="360" w:lineRule="auto"/>
        <w:ind w:firstLine="0"/>
        <w:rPr>
          <w:rFonts w:hAnsi="宋体"/>
          <w:bCs/>
          <w:sz w:val="24"/>
          <w:szCs w:val="24"/>
        </w:rPr>
      </w:pPr>
      <w:r>
        <w:rPr>
          <w:rFonts w:hint="eastAsia" w:hAnsi="宋体"/>
          <w:bCs/>
          <w:sz w:val="24"/>
          <w:szCs w:val="24"/>
        </w:rPr>
        <w:t>注：</w:t>
      </w:r>
    </w:p>
    <w:p>
      <w:pPr>
        <w:pStyle w:val="2"/>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2"/>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18"/>
        <w:rPr>
          <w:rFonts w:hint="default"/>
          <w:lang w:val="en-US" w:eastAsia="zh-CN"/>
        </w:rPr>
      </w:pPr>
    </w:p>
    <w:p>
      <w:pPr>
        <w:rPr>
          <w:rFonts w:hint="eastAsia" w:ascii="黑体" w:hAnsi="黑体" w:cs="黑体"/>
          <w:b/>
          <w:bCs w:val="0"/>
          <w:sz w:val="28"/>
          <w:szCs w:val="28"/>
          <w:lang w:val="en-US" w:eastAsia="zh-CN"/>
        </w:rPr>
      </w:pPr>
      <w:bookmarkStart w:id="79" w:name="_Toc202817000"/>
      <w:bookmarkStart w:id="80" w:name="_Toc202251078"/>
      <w:bookmarkStart w:id="81" w:name="_Toc259090996"/>
      <w:bookmarkStart w:id="82" w:name="_Toc276645592"/>
      <w:bookmarkStart w:id="83" w:name="_Toc24253"/>
      <w:bookmarkStart w:id="84" w:name="_Toc202252037"/>
      <w:bookmarkStart w:id="85" w:name="_Toc21572"/>
      <w:bookmarkStart w:id="86" w:name="_Toc202820355"/>
      <w:bookmarkStart w:id="87" w:name="_Toc29543"/>
      <w:bookmarkStart w:id="88" w:name="_Toc202251703"/>
      <w:bookmarkStart w:id="89" w:name="_Toc12992"/>
      <w:bookmarkStart w:id="90" w:name="_Toc503427721"/>
      <w:bookmarkStart w:id="91" w:name="_Toc202819882"/>
      <w:bookmarkStart w:id="92" w:name="_Toc202254108"/>
      <w:bookmarkStart w:id="93" w:name="_Toc3330"/>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pacing w:line="500" w:lineRule="exact"/>
        <w:jc w:val="left"/>
        <w:rPr>
          <w:rStyle w:val="16"/>
          <w:rFonts w:hint="default" w:ascii="Times New Roman" w:hAnsi="Times New Roman" w:cs="Times New Roman"/>
          <w:color w:val="auto"/>
          <w:sz w:val="36"/>
          <w:szCs w:val="36"/>
        </w:rPr>
      </w:pPr>
      <w:r>
        <w:rPr>
          <w:rStyle w:val="16"/>
          <w:rFonts w:hint="eastAsia" w:cs="Times New Roman"/>
          <w:color w:val="auto"/>
          <w:sz w:val="36"/>
          <w:szCs w:val="36"/>
          <w:lang w:val="en-US" w:eastAsia="zh-CN"/>
        </w:rPr>
        <w:t>2.1</w:t>
      </w:r>
      <w:r>
        <w:rPr>
          <w:rStyle w:val="16"/>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城市阳台S4项目动物摆件装饰物料采购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6"/>
          <w:rFonts w:hint="default" w:ascii="Times New Roman" w:hAnsi="Times New Roman" w:cs="Times New Roman"/>
          <w:color w:val="auto"/>
          <w:sz w:val="40"/>
          <w:szCs w:val="30"/>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珠海正方盛泰投资有限公司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城市阳台S4项目动物摆件装饰物料采购</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8"/>
          <w:szCs w:val="28"/>
          <w:u w:val="single"/>
          <w:lang w:val="en-US" w:eastAsia="zh-CN"/>
        </w:rPr>
        <w:t xml:space="preserve">                </w:t>
      </w:r>
      <w:r>
        <w:rPr>
          <w:rFonts w:hint="default" w:ascii="Times New Roman" w:hAnsi="Times New Roman" w:eastAsia="宋体" w:cs="Times New Roman"/>
          <w:color w:val="auto"/>
          <w:sz w:val="28"/>
          <w:szCs w:val="28"/>
        </w:rPr>
        <w:t>元 （¥</w:t>
      </w:r>
      <w:r>
        <w:rPr>
          <w:rFonts w:hint="default" w:ascii="Times New Roman" w:hAnsi="Times New Roman" w:eastAsia="宋体" w:cs="Times New Roman"/>
          <w:color w:val="auto"/>
          <w:sz w:val="28"/>
          <w:szCs w:val="28"/>
          <w:u w:val="single"/>
        </w:rPr>
        <w:t xml:space="preserve">          </w:t>
      </w:r>
      <w:r>
        <w:rPr>
          <w:rFonts w:hint="default" w:ascii="Times New Roman" w:hAnsi="Times New Roman" w:eastAsia="宋体" w:cs="Times New Roman"/>
          <w:color w:val="auto"/>
          <w:sz w:val="28"/>
          <w:szCs w:val="28"/>
        </w:rPr>
        <w:t>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城市阳台S4项目动物摆件装饰物料采购</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3"/>
        <w:tblW w:w="9634" w:type="dxa"/>
        <w:tblInd w:w="-1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43"/>
        <w:gridCol w:w="1062"/>
        <w:gridCol w:w="3282"/>
        <w:gridCol w:w="341"/>
        <w:gridCol w:w="392"/>
        <w:gridCol w:w="1336"/>
        <w:gridCol w:w="1138"/>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物料名称</w:t>
            </w:r>
          </w:p>
        </w:tc>
        <w:tc>
          <w:tcPr>
            <w:tcW w:w="328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品牌规格型号</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单位</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数量</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参考图片</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综合单价/元</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太阳能兔子提灯</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产品材质：树脂（动物造型）+塑料（提灯）+金属（牧羊钩）、重量500g、太阳直射、灯光暖白色；尺寸：17cm*11cm*12.5cm（整体高度30cm）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11835" cy="760730"/>
                  <wp:effectExtent l="0" t="0" r="14605" b="15240"/>
                  <wp:docPr id="220" name="ID_86AC159B409E4E0990227D06988D0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D_86AC159B409E4E0990227D06988D0A8B"/>
                          <pic:cNvPicPr>
                            <a:picLocks noChangeAspect="1"/>
                          </pic:cNvPicPr>
                        </pic:nvPicPr>
                        <pic:blipFill>
                          <a:blip r:embed="rId9"/>
                          <a:stretch>
                            <a:fillRect/>
                          </a:stretch>
                        </pic:blipFill>
                        <pic:spPr>
                          <a:xfrm>
                            <a:off x="0" y="0"/>
                            <a:ext cx="711835" cy="760730"/>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4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兔子摆件</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材质：环保氧化镁；长28cm*宽27cm*高72cm，盘口径长15cm*宽11cm*深14cm，重量约5.8kg</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76300" cy="885825"/>
                  <wp:effectExtent l="0" t="0" r="15240" b="5715"/>
                  <wp:docPr id="221" name="ID_F56B981C4F0049E29EE335A5A339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D_F56B981C4F0049E29EE335A5A3390955"/>
                          <pic:cNvPicPr>
                            <a:picLocks noChangeAspect="1"/>
                          </pic:cNvPicPr>
                        </pic:nvPicPr>
                        <pic:blipFill>
                          <a:blip r:embed="rId10"/>
                          <a:stretch>
                            <a:fillRect/>
                          </a:stretch>
                        </pic:blipFill>
                        <pic:spPr>
                          <a:xfrm>
                            <a:off x="0" y="0"/>
                            <a:ext cx="876300" cy="88582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仿真仙鹤</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材质：玻璃钢；尺寸：长55*28*148cm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8040" cy="600075"/>
                  <wp:effectExtent l="0" t="0" r="13970" b="10795"/>
                  <wp:docPr id="222" name="ID_CD3D20909B08402581CC2505F7B1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D_CD3D20909B08402581CC2505F7B11FF0"/>
                          <pic:cNvPicPr>
                            <a:picLocks noChangeAspect="1"/>
                          </pic:cNvPicPr>
                        </pic:nvPicPr>
                        <pic:blipFill>
                          <a:blip r:embed="rId11"/>
                          <a:stretch>
                            <a:fillRect/>
                          </a:stretch>
                        </pic:blipFill>
                        <pic:spPr>
                          <a:xfrm>
                            <a:off x="0" y="0"/>
                            <a:ext cx="828040"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仿真仙鹤</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材质：玻璃钢；尺寸：长75*105*160cm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7405" cy="600075"/>
                  <wp:effectExtent l="0" t="0" r="14605" b="10795"/>
                  <wp:docPr id="223" name="ID_CD3D20909B08402581CC2505F7B1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D_CD3D20909B08402581CC2505F7B11FF0"/>
                          <pic:cNvPicPr>
                            <a:picLocks noChangeAspect="1"/>
                          </pic:cNvPicPr>
                        </pic:nvPicPr>
                        <pic:blipFill>
                          <a:blip r:embed="rId11"/>
                          <a:stretch>
                            <a:fillRect/>
                          </a:stretch>
                        </pic:blipFill>
                        <pic:spPr>
                          <a:xfrm>
                            <a:off x="0" y="0"/>
                            <a:ext cx="827405"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15"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亮片炫彩八叶特大风车</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pvc+玻纤塑料杆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尺寸：65cm*120cm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95020" cy="600075"/>
                  <wp:effectExtent l="0" t="0" r="13970" b="10795"/>
                  <wp:docPr id="224" name="ID_701ECA9A846D40A48A8E0E7973741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D_701ECA9A846D40A48A8E0E7973741FC0"/>
                          <pic:cNvPicPr>
                            <a:picLocks noChangeAspect="1"/>
                          </pic:cNvPicPr>
                        </pic:nvPicPr>
                        <pic:blipFill>
                          <a:blip r:embed="rId12"/>
                          <a:stretch>
                            <a:fillRect/>
                          </a:stretch>
                        </pic:blipFill>
                        <pic:spPr>
                          <a:xfrm>
                            <a:off x="0" y="0"/>
                            <a:ext cx="795020"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36"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孔雀花盆</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材质：镁泥；尺寸：56*42*15*26cm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394335" cy="523240"/>
                  <wp:effectExtent l="0" t="0" r="1905" b="5080"/>
                  <wp:docPr id="225" name="ID_5A7127E0EA344C258ECAF4E8C75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D_5A7127E0EA344C258ECAF4E8C7511000"/>
                          <pic:cNvPicPr>
                            <a:picLocks noChangeAspect="1"/>
                          </pic:cNvPicPr>
                        </pic:nvPicPr>
                        <pic:blipFill>
                          <a:blip r:embed="rId13"/>
                          <a:stretch>
                            <a:fillRect/>
                          </a:stretch>
                        </pic:blipFill>
                        <pic:spPr>
                          <a:xfrm>
                            <a:off x="0" y="0"/>
                            <a:ext cx="394335" cy="523240"/>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仿真梅花鹿</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材质：树脂玻璃钢；尺寸：85*22*82cm</w:t>
            </w:r>
          </w:p>
        </w:tc>
        <w:tc>
          <w:tcPr>
            <w:tcW w:w="34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21030" cy="600075"/>
                  <wp:effectExtent l="0" t="0" r="6350" b="10795"/>
                  <wp:docPr id="256" name="ID_0B1C086E7EEA400FAFB24BB949C53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D_0B1C086E7EEA400FAFB24BB949C53EA4"/>
                          <pic:cNvPicPr>
                            <a:picLocks noChangeAspect="1"/>
                          </pic:cNvPicPr>
                        </pic:nvPicPr>
                        <pic:blipFill>
                          <a:blip r:embed="rId14"/>
                          <a:stretch>
                            <a:fillRect/>
                          </a:stretch>
                        </pic:blipFill>
                        <pic:spPr>
                          <a:xfrm>
                            <a:off x="0" y="0"/>
                            <a:ext cx="621030"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7551" w:type="dxa"/>
            <w:gridSpan w:val="6"/>
            <w:tcBorders>
              <w:top w:val="single" w:color="000000" w:sz="4" w:space="0"/>
              <w:left w:val="nil"/>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合计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00" w:hRule="atLeast"/>
        </w:trPr>
        <w:tc>
          <w:tcPr>
            <w:tcW w:w="9634" w:type="dxa"/>
            <w:gridSpan w:val="8"/>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说明：1.所有报价均为含税价，且已包含人工费、材料费、交通差旅费、餐饮费、运费等完成本项目的所有费用。所有报价金额均保留2位小数。</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2.发票类型：   %□增值税专用发票 □增值税普通发票。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3.质量标准：合格，符合相关要求及规定。</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4.付款方式：货到验收无误且收到齐套请款资料后付款。</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5.项目地点：城市阳台项目现场，项目对接人： 周小晴18926912327</w:t>
            </w:r>
          </w:p>
        </w:tc>
      </w:tr>
    </w:tbl>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8"/>
          <w:szCs w:val="28"/>
        </w:rPr>
      </w:pPr>
      <w:r>
        <w:rPr>
          <w:rFonts w:hint="eastAsia" w:cs="Times New Roman"/>
          <w:color w:val="auto"/>
          <w:sz w:val="28"/>
          <w:szCs w:val="28"/>
          <w:lang w:val="en-US" w:eastAsia="zh-CN"/>
        </w:rPr>
        <w:t>联系方式：</w:t>
      </w:r>
      <w:r>
        <w:rPr>
          <w:rFonts w:hint="default" w:ascii="Times New Roman" w:hAnsi="Times New Roman" w:eastAsia="宋体" w:cs="Times New Roman"/>
          <w:color w:val="auto"/>
          <w:sz w:val="28"/>
          <w:szCs w:val="28"/>
        </w:rPr>
        <w:t xml:space="preserve"> </w:t>
      </w:r>
    </w:p>
    <w:p>
      <w:pPr>
        <w:spacing w:line="240" w:lineRule="auto"/>
        <w:jc w:val="left"/>
        <w:rPr>
          <w:rFonts w:hint="eastAsia" w:ascii="宋体" w:hAnsi="宋体" w:eastAsia="宋体" w:cs="宋体"/>
          <w:b/>
          <w:bCs/>
          <w:color w:val="auto"/>
          <w:sz w:val="32"/>
          <w:szCs w:val="32"/>
          <w:lang w:val="en-US" w:eastAsia="zh-CN"/>
        </w:rPr>
      </w:pPr>
      <w:r>
        <w:rPr>
          <w:rFonts w:hint="default" w:ascii="Times New Roman" w:hAnsi="Times New Roman" w:eastAsia="宋体" w:cs="Times New Roman"/>
          <w:color w:val="auto"/>
          <w:sz w:val="28"/>
          <w:szCs w:val="28"/>
        </w:rPr>
        <w:t>日   期：</w:t>
      </w:r>
      <w:r>
        <w:rPr>
          <w:rFonts w:hint="eastAsia"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rPr>
        <w:t xml:space="preserve"> 日</w:t>
      </w:r>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770B73"/>
    <w:rsid w:val="0D8F41B1"/>
    <w:rsid w:val="0DB93286"/>
    <w:rsid w:val="0DCB0AAA"/>
    <w:rsid w:val="0E49720A"/>
    <w:rsid w:val="0EC420D1"/>
    <w:rsid w:val="0EC93FBB"/>
    <w:rsid w:val="10E91871"/>
    <w:rsid w:val="11DD4B3A"/>
    <w:rsid w:val="129618DC"/>
    <w:rsid w:val="14A90505"/>
    <w:rsid w:val="14DC73BB"/>
    <w:rsid w:val="14EB65E0"/>
    <w:rsid w:val="1588048B"/>
    <w:rsid w:val="168857E4"/>
    <w:rsid w:val="16D97ADD"/>
    <w:rsid w:val="16E45AEB"/>
    <w:rsid w:val="177F1319"/>
    <w:rsid w:val="17DF53E0"/>
    <w:rsid w:val="1B013FAA"/>
    <w:rsid w:val="1B513E4B"/>
    <w:rsid w:val="1BDC56E2"/>
    <w:rsid w:val="1C9359A3"/>
    <w:rsid w:val="1D556636"/>
    <w:rsid w:val="1DCE44E0"/>
    <w:rsid w:val="1DE72855"/>
    <w:rsid w:val="202F7D49"/>
    <w:rsid w:val="210322A7"/>
    <w:rsid w:val="2121293A"/>
    <w:rsid w:val="23EC6A93"/>
    <w:rsid w:val="259F18F8"/>
    <w:rsid w:val="272E6E27"/>
    <w:rsid w:val="27540AC6"/>
    <w:rsid w:val="278065CC"/>
    <w:rsid w:val="28C56911"/>
    <w:rsid w:val="291B3A89"/>
    <w:rsid w:val="2BED4BFF"/>
    <w:rsid w:val="2D022F1E"/>
    <w:rsid w:val="2E0A4EF7"/>
    <w:rsid w:val="2F8C5B34"/>
    <w:rsid w:val="3035528F"/>
    <w:rsid w:val="303C5477"/>
    <w:rsid w:val="31BE38D0"/>
    <w:rsid w:val="329B19DD"/>
    <w:rsid w:val="33461B40"/>
    <w:rsid w:val="338C409C"/>
    <w:rsid w:val="36991F33"/>
    <w:rsid w:val="36D13171"/>
    <w:rsid w:val="37FE2A53"/>
    <w:rsid w:val="38F34C92"/>
    <w:rsid w:val="3BDD1A9B"/>
    <w:rsid w:val="3BF341D2"/>
    <w:rsid w:val="3DDA2166"/>
    <w:rsid w:val="3E7E4135"/>
    <w:rsid w:val="3EC52271"/>
    <w:rsid w:val="3ED65B24"/>
    <w:rsid w:val="40DF147E"/>
    <w:rsid w:val="410E417C"/>
    <w:rsid w:val="426867F2"/>
    <w:rsid w:val="427C15D5"/>
    <w:rsid w:val="43F34101"/>
    <w:rsid w:val="442B09BE"/>
    <w:rsid w:val="4483748A"/>
    <w:rsid w:val="46291EEF"/>
    <w:rsid w:val="467170E3"/>
    <w:rsid w:val="46B354B7"/>
    <w:rsid w:val="47C0473A"/>
    <w:rsid w:val="4A4F4DF7"/>
    <w:rsid w:val="4B0F1E17"/>
    <w:rsid w:val="4C032E3E"/>
    <w:rsid w:val="4C8E76F1"/>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5E74FB"/>
    <w:rsid w:val="5B7B0426"/>
    <w:rsid w:val="5BD82D7C"/>
    <w:rsid w:val="5BE44C27"/>
    <w:rsid w:val="5BFB7194"/>
    <w:rsid w:val="5D497B32"/>
    <w:rsid w:val="5EBE23CD"/>
    <w:rsid w:val="617E685D"/>
    <w:rsid w:val="61A2602F"/>
    <w:rsid w:val="61FF0F78"/>
    <w:rsid w:val="63997189"/>
    <w:rsid w:val="63A6159C"/>
    <w:rsid w:val="63F16E5E"/>
    <w:rsid w:val="64847D61"/>
    <w:rsid w:val="665C30B6"/>
    <w:rsid w:val="66852B3E"/>
    <w:rsid w:val="67183BE9"/>
    <w:rsid w:val="67DE23FD"/>
    <w:rsid w:val="682078ED"/>
    <w:rsid w:val="68B65BF9"/>
    <w:rsid w:val="6A0D3F8C"/>
    <w:rsid w:val="6A787EA5"/>
    <w:rsid w:val="6A934041"/>
    <w:rsid w:val="6B4E5816"/>
    <w:rsid w:val="6CD54EA3"/>
    <w:rsid w:val="6D535020"/>
    <w:rsid w:val="70923935"/>
    <w:rsid w:val="73CF0EC4"/>
    <w:rsid w:val="759777E6"/>
    <w:rsid w:val="76656426"/>
    <w:rsid w:val="768D0B53"/>
    <w:rsid w:val="76DA30C2"/>
    <w:rsid w:val="775B4F8E"/>
    <w:rsid w:val="77C31107"/>
    <w:rsid w:val="78953E1F"/>
    <w:rsid w:val="78B9366D"/>
    <w:rsid w:val="796270D1"/>
    <w:rsid w:val="799D618D"/>
    <w:rsid w:val="7A5D46E4"/>
    <w:rsid w:val="7A696819"/>
    <w:rsid w:val="7ACE415F"/>
    <w:rsid w:val="7D005C4A"/>
    <w:rsid w:val="7D665EB3"/>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w:basedOn w:val="1"/>
    <w:link w:val="22"/>
    <w:qFormat/>
    <w:uiPriority w:val="0"/>
    <w:pPr>
      <w:spacing w:line="480" w:lineRule="exact"/>
      <w:jc w:val="left"/>
    </w:pPr>
    <w:rPr>
      <w:rFonts w:ascii="宋体" w:hAnsi="宋体"/>
    </w:rPr>
  </w:style>
  <w:style w:type="paragraph" w:styleId="7">
    <w:name w:val="Body Text Indent"/>
    <w:basedOn w:val="1"/>
    <w:link w:val="25"/>
    <w:unhideWhenUsed/>
    <w:qFormat/>
    <w:uiPriority w:val="0"/>
    <w:pPr>
      <w:spacing w:after="120"/>
      <w:ind w:left="420" w:leftChars="200"/>
    </w:pPr>
  </w:style>
  <w:style w:type="paragraph" w:styleId="8">
    <w:name w:val="Plain Text"/>
    <w:basedOn w:val="1"/>
    <w:link w:val="30"/>
    <w:qFormat/>
    <w:uiPriority w:val="0"/>
    <w:pPr>
      <w:spacing w:line="360" w:lineRule="auto"/>
      <w:ind w:firstLine="510"/>
    </w:pPr>
    <w:rPr>
      <w:rFonts w:ascii="宋体" w:hAnsi="Courier New" w:eastAsia="仿宋_GB2312"/>
      <w:sz w:val="24"/>
      <w:szCs w:val="20"/>
    </w:rPr>
  </w:style>
  <w:style w:type="paragraph" w:styleId="9">
    <w:name w:val="Balloon Text"/>
    <w:basedOn w:val="1"/>
    <w:link w:val="27"/>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link w:val="29"/>
    <w:semiHidden/>
    <w:unhideWhenUsed/>
    <w:qFormat/>
    <w:uiPriority w:val="0"/>
    <w:pPr>
      <w:spacing w:after="120" w:line="240" w:lineRule="auto"/>
      <w:ind w:firstLine="420" w:firstLineChars="100"/>
      <w:jc w:val="both"/>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qFormat/>
    <w:uiPriority w:val="0"/>
    <w:rPr>
      <w:b/>
      <w:bCs/>
    </w:rPr>
  </w:style>
  <w:style w:type="character" w:styleId="17">
    <w:name w:val="Hyperlink"/>
    <w:basedOn w:val="15"/>
    <w:semiHidden/>
    <w:unhideWhenUsed/>
    <w:qFormat/>
    <w:uiPriority w:val="0"/>
    <w:rPr>
      <w:color w:val="0000FF"/>
      <w:u w:val="single"/>
    </w:rPr>
  </w:style>
  <w:style w:type="paragraph" w:customStyle="1" w:styleId="18">
    <w:name w:val="引文目录1"/>
    <w:basedOn w:val="1"/>
    <w:next w:val="1"/>
    <w:qFormat/>
    <w:uiPriority w:val="0"/>
    <w:pPr>
      <w:ind w:left="200" w:leftChars="200"/>
    </w:pPr>
    <w:rPr>
      <w:rFonts w:ascii="Times New Roman" w:hAnsi="Times New Roman"/>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5"/>
    <w:link w:val="11"/>
    <w:qFormat/>
    <w:uiPriority w:val="0"/>
    <w:rPr>
      <w:kern w:val="2"/>
      <w:sz w:val="18"/>
      <w:szCs w:val="18"/>
    </w:rPr>
  </w:style>
  <w:style w:type="character" w:customStyle="1" w:styleId="21">
    <w:name w:val="页脚 字符"/>
    <w:basedOn w:val="15"/>
    <w:link w:val="10"/>
    <w:qFormat/>
    <w:uiPriority w:val="99"/>
    <w:rPr>
      <w:kern w:val="2"/>
      <w:sz w:val="18"/>
      <w:szCs w:val="18"/>
    </w:rPr>
  </w:style>
  <w:style w:type="character" w:customStyle="1" w:styleId="22">
    <w:name w:val="正文文本 字符"/>
    <w:basedOn w:val="15"/>
    <w:link w:val="6"/>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5"/>
    <w:link w:val="7"/>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5"/>
    <w:link w:val="9"/>
    <w:qFormat/>
    <w:uiPriority w:val="0"/>
    <w:rPr>
      <w:kern w:val="2"/>
      <w:sz w:val="18"/>
      <w:szCs w:val="18"/>
    </w:rPr>
  </w:style>
  <w:style w:type="character" w:customStyle="1" w:styleId="28">
    <w:name w:val="标题 1 字符"/>
    <w:basedOn w:val="15"/>
    <w:link w:val="3"/>
    <w:qFormat/>
    <w:uiPriority w:val="0"/>
    <w:rPr>
      <w:b/>
      <w:bCs/>
      <w:kern w:val="44"/>
      <w:sz w:val="44"/>
      <w:szCs w:val="44"/>
    </w:rPr>
  </w:style>
  <w:style w:type="character" w:customStyle="1" w:styleId="29">
    <w:name w:val="正文文本首行缩进 字符"/>
    <w:basedOn w:val="22"/>
    <w:link w:val="12"/>
    <w:semiHidden/>
    <w:qFormat/>
    <w:uiPriority w:val="0"/>
    <w:rPr>
      <w:rFonts w:ascii="宋体" w:hAnsi="宋体"/>
      <w:kern w:val="2"/>
      <w:sz w:val="21"/>
      <w:szCs w:val="24"/>
    </w:rPr>
  </w:style>
  <w:style w:type="character" w:customStyle="1" w:styleId="30">
    <w:name w:val="纯文本 字符"/>
    <w:link w:val="8"/>
    <w:qFormat/>
    <w:uiPriority w:val="0"/>
    <w:rPr>
      <w:rFonts w:ascii="宋体" w:hAnsi="Courier New" w:eastAsia="仿宋_GB2312"/>
      <w:kern w:val="2"/>
      <w:sz w:val="24"/>
    </w:rPr>
  </w:style>
  <w:style w:type="character" w:customStyle="1" w:styleId="31">
    <w:name w:val="font31"/>
    <w:basedOn w:val="15"/>
    <w:qFormat/>
    <w:uiPriority w:val="0"/>
    <w:rPr>
      <w:rFonts w:hint="eastAsia" w:ascii="宋体" w:hAnsi="宋体" w:eastAsia="宋体" w:cs="宋体"/>
      <w:b/>
      <w:color w:val="000000"/>
      <w:sz w:val="14"/>
      <w:szCs w:val="14"/>
      <w:u w:val="none"/>
    </w:rPr>
  </w:style>
  <w:style w:type="character" w:customStyle="1" w:styleId="32">
    <w:name w:val="font01"/>
    <w:basedOn w:val="15"/>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2026-04-29T07:35:42Z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