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cs="Times New Roman"/>
          <w:b/>
          <w:bCs w:val="0"/>
          <w:color w:val="auto"/>
          <w:spacing w:val="-10"/>
          <w:sz w:val="56"/>
          <w:szCs w:val="56"/>
          <w:lang w:eastAsia="zh-CN"/>
        </w:rPr>
        <w:t>食品加工中心天然气计量柜检测及整改工程</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（珠海正方食品生产管理有限公司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4月29日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珠海正方食品生产管理有限公司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w:t>
      </w:r>
      <w:r>
        <w:rPr>
          <w:rFonts w:hint="eastAsia"/>
          <w:b w:val="0"/>
          <w:bCs w:val="0"/>
          <w:color w:val="auto"/>
          <w:sz w:val="24"/>
        </w:rPr>
        <w:t>食品加工中心天然气计量柜建设完成后多年未使用，设备老化及多年未检测无法使用，现需完成整改接通市政天然气主管道，完成园区通气工程，施工完成后必须配合甲方完成燃气单位工程验收合格。</w:t>
      </w:r>
      <w:r>
        <w:rPr>
          <w:rFonts w:hint="eastAsia" w:cs="Times New Roman"/>
          <w:b w:val="0"/>
          <w:bCs w:val="0"/>
          <w:color w:val="auto"/>
          <w:sz w:val="24"/>
          <w:lang w:val="en-US" w:eastAsia="zh-CN"/>
        </w:rPr>
        <w:t>详见任务书。</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叁万肆仟捌佰壹拾叁元零柒分</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34813.07</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叁万肆仟捌佰壹拾叁元零柒分</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34813.07</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食品加工中心天然气计量柜检测及整改工程</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进行询价，具体详见附件</w:t>
      </w:r>
      <w:r>
        <w:rPr>
          <w:rFonts w:hint="eastAsia" w:cs="Times New Roman"/>
          <w:color w:val="auto"/>
          <w:sz w:val="24"/>
          <w:lang w:val="en-US" w:eastAsia="zh-CN"/>
        </w:rPr>
        <w:t>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技术任务书</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2、资质要求：①具有有效的市政公用工程施工总承包三级及以上 或 石油化工工程施工总承包三级及以上；</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②具有有效的特种设备生产许可证：GB1 级（公用管道）安装、修理、改造（含 PE 管道专项）。</w:t>
      </w:r>
      <w:bookmarkStart w:id="97" w:name="_GoBack"/>
      <w:bookmarkEnd w:id="97"/>
      <w:r>
        <w:rPr>
          <w:rFonts w:hint="default" w:ascii="Times New Roman" w:hAnsi="Times New Roman" w:eastAsia="宋体" w:cs="Times New Roman"/>
          <w:b w:val="0"/>
          <w:bCs w:val="0"/>
          <w:color w:val="auto"/>
          <w:sz w:val="24"/>
        </w:rPr>
        <w:t>原《特种设备安装改造维修许可证》（压力管道）GB1 级仍有效；</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③具有有效的安全生产许可证；</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3、业绩要求：自公告发布之日起近5年具备2个及以上燃气管道接驳或整改项目业绩（合同/委托书/采购订单）；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4、供应商未被列入“信用中国”网站(www.creditchina.gov.cn)“记录失信被执行人或重大税收违法失信主体”记录名单；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6、与其他投标人不存在单位负责人为同一人或者存在控股、管理关系；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w:t>
      </w:r>
      <w:r>
        <w:rPr>
          <w:rFonts w:hint="eastAsia" w:ascii="Times New Roman" w:hAnsi="Times New Roman"/>
          <w:b/>
          <w:bCs/>
          <w:color w:val="0000FF"/>
          <w:kern w:val="2"/>
          <w:sz w:val="24"/>
          <w:lang w:val="en-US" w:eastAsia="zh-CN"/>
        </w:rPr>
        <w:t>打印</w:t>
      </w:r>
      <w:r>
        <w:rPr>
          <w:rFonts w:hint="default" w:ascii="Times New Roman" w:hAnsi="Times New Roman"/>
          <w:b/>
          <w:bCs/>
          <w:color w:val="FF0000"/>
          <w:kern w:val="2"/>
          <w:sz w:val="24"/>
          <w:lang w:val="en-US" w:eastAsia="zh-CN"/>
        </w:rPr>
        <w:t>文件盖章后扫描上传</w:t>
      </w:r>
      <w:r>
        <w:rPr>
          <w:rFonts w:hint="default" w:ascii="Times New Roman" w:hAnsi="Times New Roman"/>
          <w:b/>
          <w:bCs/>
          <w:color w:val="0000FF"/>
          <w:kern w:val="2"/>
          <w:sz w:val="24"/>
          <w:lang w:val="en-US" w:eastAsia="zh-CN"/>
        </w:rPr>
        <w:t>。</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5月8日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7</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食品加工中心天然气计量柜检测及整改工程</w:t>
      </w:r>
      <w:r>
        <w:rPr>
          <w:rFonts w:hint="default" w:ascii="Times New Roman" w:hAnsi="Times New Roman" w:eastAsia="宋体" w:cs="Times New Roman"/>
          <w:color w:val="auto"/>
          <w:sz w:val="24"/>
        </w:rPr>
        <w:t>+</w:t>
      </w:r>
      <w:r>
        <w:rPr>
          <w:rFonts w:hint="eastAsia" w:cs="Times New Roman"/>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keepLines/>
        <w:widowControl/>
        <w:tabs>
          <w:tab w:val="left" w:pos="201"/>
        </w:tabs>
        <w:adjustRightInd w:val="0"/>
        <w:snapToGrid w:val="0"/>
        <w:spacing w:beforeLines="0" w:afterLines="0" w:line="360" w:lineRule="auto"/>
        <w:ind w:firstLine="480" w:firstLineChars="200"/>
        <w:rPr>
          <w:rFonts w:hint="default" w:eastAsia="宋体"/>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报价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珠海正方食品生产管理有限公司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4月29日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698"/>
      <w:bookmarkStart w:id="8" w:name="_Toc202251075"/>
      <w:bookmarkStart w:id="9" w:name="_Toc202819878"/>
      <w:bookmarkStart w:id="10" w:name="_Toc202254105"/>
      <w:bookmarkStart w:id="11" w:name="_Toc202816996"/>
      <w:bookmarkStart w:id="12" w:name="_Toc259090982"/>
      <w:bookmarkStart w:id="13" w:name="_Toc202252034"/>
      <w:bookmarkStart w:id="14" w:name="_Toc16107"/>
      <w:bookmarkStart w:id="15" w:name="_Toc15317"/>
      <w:bookmarkStart w:id="16" w:name="_Toc503427710"/>
      <w:bookmarkStart w:id="17" w:name="_Toc202820351"/>
      <w:bookmarkStart w:id="18" w:name="_Toc202251700"/>
      <w:bookmarkStart w:id="19" w:name="_Toc276645579"/>
      <w:bookmarkStart w:id="20" w:name="_Toc17685"/>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0366"/>
      <w:bookmarkStart w:id="22" w:name="_Toc276645580"/>
      <w:bookmarkStart w:id="23" w:name="_Toc32660"/>
      <w:bookmarkStart w:id="24" w:name="_Toc259090983"/>
      <w:bookmarkStart w:id="25" w:name="_Toc13089"/>
      <w:bookmarkStart w:id="26" w:name="_Toc24181"/>
      <w:bookmarkStart w:id="27" w:name="_Toc503427711"/>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珠海正方食品生产管理有限公司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食品加工中心天然气计量柜检测及整改工程</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19817"/>
      <w:bookmarkStart w:id="30" w:name="_Toc19171"/>
      <w:bookmarkStart w:id="31" w:name="_Toc528"/>
      <w:bookmarkStart w:id="32" w:name="_Toc503427713"/>
      <w:bookmarkStart w:id="33" w:name="_Toc27591"/>
      <w:bookmarkStart w:id="34" w:name="_Toc17080"/>
      <w:r>
        <w:rPr>
          <w:rFonts w:hint="eastAsia" w:ascii="宋体" w:hAnsi="宋体"/>
          <w:sz w:val="28"/>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珠海正方食品生产管理有限公司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食品加工中心天然气计量柜检测及整改工程</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24356"/>
      <w:bookmarkStart w:id="36" w:name="_Toc19796"/>
      <w:bookmarkStart w:id="37" w:name="_Toc31877"/>
      <w:bookmarkStart w:id="38" w:name="_Toc5048"/>
      <w:bookmarkStart w:id="39" w:name="_Toc26971"/>
      <w:bookmarkStart w:id="40" w:name="_Toc32141"/>
      <w:bookmarkStart w:id="41" w:name="_Toc10585"/>
      <w:bookmarkStart w:id="42" w:name="_Toc24969"/>
      <w:bookmarkStart w:id="43" w:name="_Toc14285"/>
      <w:bookmarkStart w:id="44" w:name="_Toc15464"/>
      <w:bookmarkStart w:id="45" w:name="_Toc31767"/>
      <w:bookmarkStart w:id="46" w:name="_Toc9476"/>
      <w:bookmarkStart w:id="47" w:name="_Toc13922"/>
      <w:bookmarkStart w:id="48" w:name="_Toc10559"/>
      <w:bookmarkStart w:id="49" w:name="_Toc6220"/>
      <w:bookmarkStart w:id="50" w:name="_Toc19969"/>
      <w:bookmarkStart w:id="51" w:name="_Toc276645583"/>
      <w:bookmarkStart w:id="52" w:name="_Toc503427714"/>
      <w:bookmarkStart w:id="53" w:name="_Toc27468"/>
      <w:bookmarkStart w:id="54" w:name="_Toc4726"/>
      <w:bookmarkStart w:id="55" w:name="_Toc32498"/>
      <w:bookmarkStart w:id="56" w:name="_Toc4427"/>
      <w:bookmarkStart w:id="57" w:name="_Toc264628882"/>
      <w:bookmarkStart w:id="58" w:name="_Toc6275"/>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7304"/>
      <w:bookmarkStart w:id="60" w:name="_Toc10726"/>
      <w:bookmarkStart w:id="61" w:name="_Toc5662"/>
      <w:bookmarkStart w:id="62" w:name="_Toc30192"/>
      <w:bookmarkStart w:id="63" w:name="_Toc9094"/>
      <w:bookmarkStart w:id="64" w:name="_Toc32145"/>
      <w:bookmarkStart w:id="65" w:name="_Toc2576"/>
      <w:bookmarkStart w:id="66" w:name="_Toc29470"/>
      <w:bookmarkStart w:id="67" w:name="_Toc5278"/>
      <w:bookmarkStart w:id="68" w:name="_Toc500"/>
      <w:bookmarkStart w:id="69" w:name="_Toc6669"/>
      <w:bookmarkStart w:id="70" w:name="_Toc24446"/>
      <w:bookmarkStart w:id="71" w:name="_Toc113"/>
      <w:bookmarkStart w:id="72" w:name="_Toc3193"/>
      <w:bookmarkStart w:id="73" w:name="_Toc22499"/>
      <w:bookmarkStart w:id="74" w:name="_Toc16860"/>
      <w:r>
        <w:rPr>
          <w:rFonts w:hint="eastAsia"/>
          <w:lang w:val="en-US" w:eastAsia="zh-CN"/>
        </w:rPr>
        <w:t>1.3.</w:t>
      </w:r>
      <w:bookmarkEnd w:id="59"/>
      <w:bookmarkEnd w:id="60"/>
      <w:bookmarkEnd w:id="61"/>
      <w:bookmarkStart w:id="75" w:name="_Toc17294"/>
      <w:bookmarkStart w:id="76" w:name="_Toc28886"/>
      <w:bookmarkStart w:id="77" w:name="_Toc29247"/>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eastAsia" w:ascii="宋体" w:hAnsi="宋体"/>
          <w:sz w:val="28"/>
          <w:lang w:val="en-US" w:eastAsia="zh-CN"/>
        </w:rPr>
      </w:pPr>
      <w:r>
        <w:rPr>
          <w:rFonts w:hint="eastAsia" w:ascii="宋体" w:hAnsi="宋体"/>
          <w:sz w:val="28"/>
          <w:lang w:val="en-US" w:eastAsia="zh-CN"/>
        </w:rPr>
        <w:br w:type="page"/>
      </w:r>
      <w:bookmarkStart w:id="78" w:name="_Toc21911"/>
      <w:r>
        <w:rPr>
          <w:rFonts w:hint="eastAsia" w:ascii="宋体" w:hAnsi="宋体"/>
          <w:sz w:val="28"/>
          <w:lang w:val="en-US" w:eastAsia="zh-CN"/>
        </w:rPr>
        <w:t xml:space="preserve">1.3.3 </w:t>
      </w:r>
      <w:bookmarkEnd w:id="78"/>
      <w:r>
        <w:rPr>
          <w:rFonts w:hint="eastAsia" w:ascii="宋体" w:hAnsi="宋体"/>
          <w:sz w:val="28"/>
          <w:lang w:val="en-US" w:eastAsia="zh-CN"/>
        </w:rPr>
        <w:t>资质要求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①具有有效的市政公用工程施工总承包三级及以上 或 石油化工工程施工总承包三级及以上；</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②具有有效的特种设备生产许可证：GB1 级（公用管道）安装、修理、改造（含 PE 管道专项）。原《特种设备安装改造维修许可证》（压力管道）GB1 级仍有效；</w:t>
      </w:r>
    </w:p>
    <w:p>
      <w:pPr>
        <w:ind w:firstLine="480" w:firstLineChars="200"/>
        <w:rPr>
          <w:rFonts w:hint="eastAsia"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rPr>
        <w:t>③具有有效的安全生产许可证</w:t>
      </w:r>
      <w:r>
        <w:rPr>
          <w:rFonts w:hint="eastAsia" w:ascii="Times New Roman" w:hAnsi="Times New Roman" w:eastAsia="宋体" w:cs="Times New Roman"/>
          <w:b w:val="0"/>
          <w:bCs w:val="0"/>
          <w:color w:val="auto"/>
          <w:sz w:val="24"/>
          <w:lang w:eastAsia="zh-CN"/>
        </w:rPr>
        <w:t>。</w:t>
      </w:r>
    </w:p>
    <w:p>
      <w:pPr>
        <w:pStyle w:val="2"/>
        <w:rPr>
          <w:rFonts w:hint="eastAsia" w:ascii="Times New Roman" w:hAnsi="Times New Roman" w:eastAsia="宋体" w:cs="Times New Roman"/>
          <w:b w:val="0"/>
          <w:bCs w:val="0"/>
          <w:color w:val="auto"/>
          <w:sz w:val="24"/>
          <w:lang w:eastAsia="zh-CN"/>
        </w:rPr>
      </w:pPr>
    </w:p>
    <w:p>
      <w:pPr>
        <w:rPr>
          <w:rFonts w:hint="default"/>
          <w:lang w:val="en-US" w:eastAsia="zh-CN"/>
        </w:rPr>
      </w:pPr>
      <w:r>
        <w:rPr>
          <w:rFonts w:hint="eastAsia" w:ascii="Times New Roman" w:hAnsi="Times New Roman" w:eastAsia="宋体" w:cs="Times New Roman"/>
          <w:b w:val="0"/>
          <w:bCs w:val="0"/>
          <w:color w:val="auto"/>
          <w:sz w:val="24"/>
          <w:lang w:val="en-US" w:eastAsia="zh-CN"/>
        </w:rPr>
        <w:t>提供以上资质证明资料并加盖投标人公章。</w:t>
      </w:r>
    </w:p>
    <w:p>
      <w:pPr>
        <w:rPr>
          <w:rFonts w:hint="eastAsia" w:ascii="宋体" w:hAnsi="宋体"/>
          <w:sz w:val="28"/>
          <w:lang w:val="en-US" w:eastAsia="zh-CN"/>
        </w:rPr>
      </w:pPr>
      <w:r>
        <w:rPr>
          <w:rFonts w:hint="eastAsia" w:ascii="宋体" w:hAnsi="宋体"/>
          <w:sz w:val="28"/>
          <w:lang w:val="en-US" w:eastAsia="zh-CN"/>
        </w:rPr>
        <w:br w:type="page"/>
      </w:r>
    </w:p>
    <w:p>
      <w:pPr>
        <w:pStyle w:val="5"/>
        <w:spacing w:before="100" w:after="100" w:line="360" w:lineRule="auto"/>
        <w:rPr>
          <w:rFonts w:hint="default" w:ascii="宋体" w:hAnsi="宋体"/>
          <w:sz w:val="28"/>
          <w:lang w:val="en-US" w:eastAsia="zh-CN"/>
        </w:rPr>
      </w:pPr>
      <w:r>
        <w:rPr>
          <w:rFonts w:hint="eastAsia" w:ascii="宋体" w:hAnsi="宋体"/>
          <w:sz w:val="28"/>
          <w:lang w:val="en-US" w:eastAsia="zh-CN"/>
        </w:rPr>
        <w:t>1.3.4业绩证明</w:t>
      </w:r>
    </w:p>
    <w:p>
      <w:pPr>
        <w:pStyle w:val="5"/>
        <w:spacing w:before="100" w:after="100" w:line="360" w:lineRule="auto"/>
        <w:rPr>
          <w:rFonts w:hint="eastAsia" w:hAnsi="宋体" w:cs="仿宋"/>
          <w:b/>
          <w:bCs/>
          <w:kern w:val="28"/>
          <w:sz w:val="24"/>
          <w:szCs w:val="24"/>
          <w:lang w:val="en-US" w:eastAsia="zh-CN"/>
        </w:rPr>
      </w:pPr>
      <w:bookmarkStart w:id="79" w:name="_Toc20437"/>
      <w:r>
        <w:rPr>
          <w:rFonts w:hint="eastAsia" w:hAnsi="宋体" w:cs="仿宋"/>
          <w:b/>
          <w:bCs/>
          <w:kern w:val="28"/>
          <w:sz w:val="24"/>
          <w:szCs w:val="24"/>
          <w:lang w:val="en-US" w:eastAsia="zh-CN"/>
        </w:rPr>
        <w:t>自公告发布之日起近5年具备2个</w:t>
      </w:r>
      <w:r>
        <w:rPr>
          <w:rFonts w:hint="eastAsia" w:ascii="宋体" w:hAnsi="宋体" w:eastAsia="宋体" w:cs="宋体"/>
          <w:b/>
          <w:bCs/>
          <w:sz w:val="24"/>
          <w:szCs w:val="24"/>
          <w:lang w:val="en-US" w:eastAsia="zh-CN"/>
        </w:rPr>
        <w:t>燃气管道接驳或整改</w:t>
      </w:r>
      <w:r>
        <w:rPr>
          <w:rFonts w:hint="eastAsia" w:eastAsia="宋体" w:cs="宋体"/>
          <w:b/>
          <w:bCs/>
          <w:sz w:val="24"/>
          <w:szCs w:val="24"/>
          <w:lang w:val="en-US" w:eastAsia="zh-CN"/>
        </w:rPr>
        <w:t>项目</w:t>
      </w:r>
      <w:r>
        <w:rPr>
          <w:rFonts w:hint="eastAsia" w:ascii="宋体" w:hAnsi="宋体" w:eastAsia="宋体" w:cs="宋体"/>
          <w:b/>
          <w:bCs/>
          <w:sz w:val="24"/>
          <w:szCs w:val="24"/>
          <w:lang w:val="en-US" w:eastAsia="zh-CN"/>
        </w:rPr>
        <w:t>业绩</w:t>
      </w:r>
      <w:r>
        <w:rPr>
          <w:rFonts w:hint="eastAsia" w:eastAsia="宋体" w:cs="宋体"/>
          <w:b/>
          <w:bCs/>
          <w:sz w:val="24"/>
          <w:szCs w:val="24"/>
          <w:lang w:val="en-US" w:eastAsia="zh-CN"/>
        </w:rPr>
        <w:t>（合同/委托书/采购订单）</w:t>
      </w:r>
      <w:r>
        <w:rPr>
          <w:rFonts w:hint="eastAsia" w:hAnsi="宋体" w:cs="仿宋"/>
          <w:b/>
          <w:bCs/>
          <w:kern w:val="28"/>
          <w:sz w:val="24"/>
          <w:szCs w:val="24"/>
          <w:lang w:val="en-US" w:eastAsia="zh-CN"/>
        </w:rPr>
        <w:t>，提供合同关键页或采购订单或委托书等证明资料(</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pStyle w:val="5"/>
        <w:spacing w:before="100" w:after="100" w:line="360" w:lineRule="auto"/>
        <w:rPr>
          <w:rFonts w:ascii="宋体" w:hAnsi="宋体"/>
          <w:sz w:val="28"/>
        </w:rPr>
      </w:pPr>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r>
        <w:rPr>
          <w:rFonts w:hint="eastAsia" w:ascii="宋体" w:hAnsi="宋体"/>
          <w:b/>
          <w:bCs/>
          <w:sz w:val="28"/>
        </w:rPr>
        <w:br w:type="page"/>
      </w: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珠海正方食品生产管理有限公司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pPr>
      <w:bookmarkStart w:id="80" w:name="_Toc24253"/>
      <w:bookmarkStart w:id="81" w:name="_Toc202251078"/>
      <w:bookmarkStart w:id="82" w:name="_Toc202251703"/>
      <w:bookmarkStart w:id="83" w:name="_Toc202819882"/>
      <w:bookmarkStart w:id="84" w:name="_Toc503427721"/>
      <w:bookmarkStart w:id="85" w:name="_Toc21572"/>
      <w:bookmarkStart w:id="86" w:name="_Toc202254108"/>
      <w:bookmarkStart w:id="87" w:name="_Toc12992"/>
      <w:bookmarkStart w:id="88" w:name="_Toc29543"/>
      <w:bookmarkStart w:id="89" w:name="_Toc202817000"/>
      <w:bookmarkStart w:id="90" w:name="_Toc3330"/>
      <w:bookmarkStart w:id="91" w:name="_Toc202820355"/>
      <w:bookmarkStart w:id="92" w:name="_Toc259090996"/>
      <w:bookmarkStart w:id="93" w:name="_Toc276645592"/>
      <w:bookmarkStart w:id="94" w:name="_Toc202252037"/>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7"/>
          <w:rFonts w:hint="default" w:ascii="Times New Roman" w:hAnsi="Times New Roman" w:cs="Times New Roman"/>
          <w:color w:val="auto"/>
          <w:sz w:val="36"/>
          <w:szCs w:val="36"/>
        </w:rPr>
      </w:pPr>
      <w:r>
        <w:rPr>
          <w:rStyle w:val="17"/>
          <w:rFonts w:hint="eastAsia" w:cs="Times New Roman"/>
          <w:color w:val="auto"/>
          <w:sz w:val="36"/>
          <w:szCs w:val="36"/>
          <w:lang w:val="en-US" w:eastAsia="zh-CN"/>
        </w:rPr>
        <w:t>2.1</w:t>
      </w:r>
      <w:r>
        <w:rPr>
          <w:rStyle w:val="17"/>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珠海正方食品生产管理有限公司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食品加工中心天然气计量柜检测及整改工程</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7"/>
          <w:rFonts w:hint="default" w:ascii="Times New Roman" w:hAnsi="Times New Roman" w:cs="Times New Roman"/>
          <w:color w:val="auto"/>
          <w:sz w:val="40"/>
          <w:szCs w:val="30"/>
        </w:rPr>
        <w:t>报 价 书</w:t>
      </w:r>
    </w:p>
    <w:p>
      <w:pPr>
        <w:spacing w:line="336"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珠海正方食品生产管理有限公司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36" w:lineRule="auto"/>
        <w:ind w:firstLine="560" w:firstLineChars="200"/>
        <w:rPr>
          <w:rFonts w:hint="eastAsia" w:cs="Times New Roman"/>
          <w:color w:val="auto"/>
          <w:sz w:val="28"/>
          <w:szCs w:val="28"/>
          <w:lang w:val="en-US" w:eastAsia="zh-CN"/>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食品加工中心天然气计量柜检测及整改工程</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u w:val="single"/>
          <w:lang w:val="en-US" w:eastAsia="zh-CN"/>
        </w:rPr>
        <w:t xml:space="preserve">                  </w:t>
      </w:r>
      <w:r>
        <w:rPr>
          <w:rFonts w:hint="default" w:ascii="Times New Roman" w:hAnsi="Times New Roman" w:eastAsia="宋体" w:cs="Times New Roman"/>
          <w:color w:val="auto"/>
          <w:sz w:val="28"/>
          <w:szCs w:val="28"/>
        </w:rPr>
        <w:t>元 （¥</w:t>
      </w: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元）承接</w:t>
      </w:r>
      <w:permStart w:id="12" w:edGrp="everyone"/>
      <w:r>
        <w:rPr>
          <w:rFonts w:hint="eastAsia" w:cs="Times New Roman"/>
          <w:color w:val="auto"/>
          <w:sz w:val="28"/>
          <w:szCs w:val="28"/>
          <w:lang w:eastAsia="zh-CN"/>
        </w:rPr>
        <w:t>食品加工中心天然气计量柜检测及整改工程</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具体详见附件*《报价清单》【另册，</w:t>
      </w:r>
      <w:r>
        <w:rPr>
          <w:rFonts w:hint="eastAsia" w:ascii="宋体" w:hAnsi="宋体" w:cs="宋体"/>
          <w:b/>
          <w:bCs/>
          <w:color w:val="auto"/>
          <w:sz w:val="28"/>
          <w:szCs w:val="28"/>
          <w:highlight w:val="yellow"/>
          <w:lang w:val="en-US" w:eastAsia="zh-CN"/>
        </w:rPr>
        <w:t>必须提供</w:t>
      </w:r>
      <w:r>
        <w:rPr>
          <w:rFonts w:hint="eastAsia" w:cs="Times New Roman"/>
          <w:color w:val="auto"/>
          <w:sz w:val="28"/>
          <w:szCs w:val="28"/>
          <w:lang w:val="en-US" w:eastAsia="zh-CN"/>
        </w:rPr>
        <w:t>】。</w:t>
      </w:r>
    </w:p>
    <w:p>
      <w:pPr>
        <w:spacing w:line="336" w:lineRule="auto"/>
        <w:ind w:firstLine="0" w:firstLineChars="0"/>
        <w:rPr>
          <w:rFonts w:hint="eastAsia" w:ascii="宋体" w:hAnsi="宋体" w:eastAsia="宋体" w:cs="宋体"/>
          <w:i w:val="0"/>
          <w:color w:val="000000"/>
          <w:kern w:val="0"/>
          <w:sz w:val="22"/>
          <w:szCs w:val="22"/>
          <w:u w:val="none"/>
          <w:lang w:val="en-US" w:eastAsia="zh-CN" w:bidi="ar"/>
        </w:rPr>
      </w:pPr>
    </w:p>
    <w:p>
      <w:pPr>
        <w:spacing w:line="336" w:lineRule="auto"/>
        <w:ind w:firstLine="0" w:firstLineChars="0"/>
        <w:rPr>
          <w:rFonts w:hint="eastAsia" w:ascii="宋体" w:hAnsi="宋体" w:eastAsia="宋体" w:cs="宋体"/>
          <w:i w:val="0"/>
          <w:color w:val="000000"/>
          <w:kern w:val="0"/>
          <w:sz w:val="22"/>
          <w:szCs w:val="22"/>
          <w:u w:val="none"/>
          <w:lang w:val="en-US" w:eastAsia="zh-CN" w:bidi="ar"/>
        </w:rPr>
      </w:pPr>
    </w:p>
    <w:p>
      <w:pPr>
        <w:spacing w:line="336" w:lineRule="auto"/>
        <w:ind w:firstLine="0" w:firstLineChars="0"/>
        <w:rPr>
          <w:rFonts w:hint="eastAsia" w:ascii="宋体" w:hAnsi="宋体" w:eastAsia="宋体" w:cs="宋体"/>
          <w:color w:val="000000"/>
          <w:kern w:val="0"/>
          <w:sz w:val="28"/>
          <w:szCs w:val="28"/>
          <w:u w:val="none"/>
          <w:lang w:bidi="ar"/>
        </w:rPr>
      </w:pPr>
      <w:r>
        <w:rPr>
          <w:rFonts w:hint="eastAsia" w:ascii="宋体" w:hAnsi="宋体" w:eastAsia="宋体" w:cs="宋体"/>
          <w:i w:val="0"/>
          <w:color w:val="000000"/>
          <w:kern w:val="0"/>
          <w:sz w:val="24"/>
          <w:szCs w:val="24"/>
          <w:u w:val="none"/>
          <w:lang w:val="en-US" w:eastAsia="zh-CN" w:bidi="ar"/>
        </w:rPr>
        <w:t>说明：1.所有报价均为含税价，且已包含人工费、材料费、服务费、交通差旅费、餐饮费等完成本项目的所有费用。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2.</w:t>
      </w:r>
      <w:r>
        <w:rPr>
          <w:rFonts w:hint="eastAsia" w:ascii="宋体" w:hAnsi="宋体" w:eastAsia="宋体" w:cs="宋体"/>
          <w:i w:val="0"/>
          <w:color w:val="0000FF"/>
          <w:kern w:val="0"/>
          <w:sz w:val="24"/>
          <w:szCs w:val="24"/>
          <w:u w:val="none"/>
          <w:lang w:val="en-US" w:eastAsia="zh-CN" w:bidi="ar"/>
        </w:rPr>
        <w:t>发票类型</w:t>
      </w:r>
      <w:r>
        <w:rPr>
          <w:rFonts w:hint="eastAsia" w:ascii="宋体" w:hAnsi="宋体" w:eastAsia="宋体" w:cs="宋体"/>
          <w:i w:val="0"/>
          <w:color w:val="000000"/>
          <w:kern w:val="0"/>
          <w:sz w:val="24"/>
          <w:szCs w:val="24"/>
          <w:u w:val="none"/>
          <w:lang w:val="en-US" w:eastAsia="zh-CN" w:bidi="ar"/>
        </w:rPr>
        <w:t>：   %□增值税专用发票□增值税普通发票。</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3.质量标准：按任务书及甲方要求。</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4.付款方式：验收通过且收到齐套请款资料后付款。</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5.项目地点：</w:t>
      </w:r>
      <w:r>
        <w:rPr>
          <w:rFonts w:hint="eastAsia" w:ascii="宋体" w:hAnsi="宋体" w:eastAsia="宋体" w:cs="宋体"/>
          <w:color w:val="000000"/>
          <w:kern w:val="0"/>
          <w:sz w:val="24"/>
          <w:szCs w:val="24"/>
          <w:u w:val="none"/>
          <w:lang w:bidi="ar"/>
        </w:rPr>
        <w:t>香洲区食品加工中心</w:t>
      </w:r>
      <w:r>
        <w:rPr>
          <w:rFonts w:hint="eastAsia" w:ascii="宋体" w:hAnsi="宋体" w:eastAsia="宋体" w:cs="宋体"/>
          <w:i w:val="0"/>
          <w:color w:val="000000"/>
          <w:kern w:val="0"/>
          <w:sz w:val="24"/>
          <w:szCs w:val="24"/>
          <w:u w:val="none"/>
          <w:lang w:val="en-US" w:eastAsia="zh-CN" w:bidi="ar"/>
        </w:rPr>
        <w:t>，项目对接人：</w:t>
      </w:r>
      <w:r>
        <w:rPr>
          <w:rFonts w:hint="eastAsia" w:ascii="宋体" w:hAnsi="宋体" w:eastAsia="宋体" w:cs="宋体"/>
          <w:color w:val="000000"/>
          <w:kern w:val="0"/>
          <w:sz w:val="24"/>
          <w:szCs w:val="24"/>
          <w:u w:val="none"/>
          <w:lang w:bidi="ar"/>
        </w:rPr>
        <w:t>雷群奇13809645170</w:t>
      </w:r>
    </w:p>
    <w:p>
      <w:pPr>
        <w:spacing w:line="336" w:lineRule="auto"/>
        <w:ind w:firstLine="0" w:firstLineChars="0"/>
        <w:rPr>
          <w:rFonts w:hint="eastAsia" w:cs="Times New Roman"/>
          <w:color w:val="auto"/>
          <w:sz w:val="36"/>
          <w:szCs w:val="36"/>
          <w:lang w:val="en-US" w:eastAsia="zh-CN"/>
        </w:rPr>
      </w:pPr>
    </w:p>
    <w:p>
      <w:pPr>
        <w:spacing w:line="336" w:lineRule="auto"/>
        <w:ind w:firstLine="560" w:firstLineChars="200"/>
        <w:rPr>
          <w:rFonts w:hint="default" w:cs="Times New Roman"/>
          <w:color w:val="auto"/>
          <w:sz w:val="28"/>
          <w:szCs w:val="28"/>
          <w:lang w:val="en-US" w:eastAsia="zh-CN"/>
        </w:rPr>
      </w:pPr>
    </w:p>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pPr>
        <w:spacing w:line="360" w:lineRule="auto"/>
        <w:jc w:val="left"/>
        <w:rPr>
          <w:rFonts w:hint="eastAsia" w:ascii="宋体" w:hAnsi="宋体" w:eastAsia="宋体" w:cs="宋体"/>
          <w:b/>
          <w:bCs/>
          <w:color w:val="auto"/>
          <w:sz w:val="28"/>
          <w:szCs w:val="28"/>
          <w:lang w:val="en-US" w:eastAsia="zh-CN"/>
        </w:rPr>
      </w:pPr>
      <w:bookmarkStart w:id="95" w:name="_Toc47961950"/>
      <w:bookmarkStart w:id="96" w:name="_Hlk41141708"/>
      <w:r>
        <w:rPr>
          <w:rFonts w:hint="eastAsia" w:ascii="宋体" w:hAnsi="宋体" w:cs="宋体"/>
          <w:b/>
          <w:bCs/>
          <w:color w:val="auto"/>
          <w:sz w:val="28"/>
          <w:szCs w:val="28"/>
          <w:lang w:val="en-US" w:eastAsia="zh-CN"/>
        </w:rPr>
        <w:t>附件：</w:t>
      </w:r>
      <w:r>
        <w:rPr>
          <w:rFonts w:hint="eastAsia" w:ascii="宋体" w:hAnsi="宋体" w:eastAsia="宋体" w:cs="宋体"/>
          <w:b/>
          <w:bCs/>
          <w:color w:val="auto"/>
          <w:sz w:val="28"/>
          <w:szCs w:val="28"/>
          <w:lang w:val="en-US" w:eastAsia="zh-CN"/>
        </w:rPr>
        <w:t>技术任务书（另册）</w:t>
      </w:r>
      <w:bookmarkEnd w:id="95"/>
      <w:bookmarkEnd w:id="96"/>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110B32"/>
    <w:rsid w:val="168857E4"/>
    <w:rsid w:val="16D97ADD"/>
    <w:rsid w:val="16E45AEB"/>
    <w:rsid w:val="177F1319"/>
    <w:rsid w:val="17DF53E0"/>
    <w:rsid w:val="1B013FAA"/>
    <w:rsid w:val="1B513E4B"/>
    <w:rsid w:val="1BDC56E2"/>
    <w:rsid w:val="1D556636"/>
    <w:rsid w:val="1DCE44E0"/>
    <w:rsid w:val="1F9A4108"/>
    <w:rsid w:val="202F7D49"/>
    <w:rsid w:val="20CA3147"/>
    <w:rsid w:val="20E0377E"/>
    <w:rsid w:val="210322A7"/>
    <w:rsid w:val="2121293A"/>
    <w:rsid w:val="224D141B"/>
    <w:rsid w:val="23EC6A93"/>
    <w:rsid w:val="259F18F8"/>
    <w:rsid w:val="272E6E27"/>
    <w:rsid w:val="27540AC6"/>
    <w:rsid w:val="278065CC"/>
    <w:rsid w:val="28C56911"/>
    <w:rsid w:val="291B3A89"/>
    <w:rsid w:val="2B943CF0"/>
    <w:rsid w:val="2BED4BFF"/>
    <w:rsid w:val="2D022F1E"/>
    <w:rsid w:val="2E0A4EF7"/>
    <w:rsid w:val="2F8C5B34"/>
    <w:rsid w:val="3035528F"/>
    <w:rsid w:val="303C5477"/>
    <w:rsid w:val="31BE38D0"/>
    <w:rsid w:val="329B19DD"/>
    <w:rsid w:val="338C409C"/>
    <w:rsid w:val="36991F33"/>
    <w:rsid w:val="36D13171"/>
    <w:rsid w:val="37312149"/>
    <w:rsid w:val="37FE2A53"/>
    <w:rsid w:val="38F34C92"/>
    <w:rsid w:val="3BDD1A9B"/>
    <w:rsid w:val="3BF341D2"/>
    <w:rsid w:val="3DDA2166"/>
    <w:rsid w:val="3E7E4135"/>
    <w:rsid w:val="3EC52271"/>
    <w:rsid w:val="3ED65B24"/>
    <w:rsid w:val="40DF147E"/>
    <w:rsid w:val="410E417C"/>
    <w:rsid w:val="41972168"/>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38593E"/>
    <w:rsid w:val="5EBE23CD"/>
    <w:rsid w:val="60E57188"/>
    <w:rsid w:val="617E685D"/>
    <w:rsid w:val="61A2602F"/>
    <w:rsid w:val="61FF0F78"/>
    <w:rsid w:val="63997189"/>
    <w:rsid w:val="63A6159C"/>
    <w:rsid w:val="63F16E5E"/>
    <w:rsid w:val="64847D61"/>
    <w:rsid w:val="665C30B6"/>
    <w:rsid w:val="66852B3E"/>
    <w:rsid w:val="66BB238A"/>
    <w:rsid w:val="67183BE9"/>
    <w:rsid w:val="67DE23FD"/>
    <w:rsid w:val="682078ED"/>
    <w:rsid w:val="68B65BF9"/>
    <w:rsid w:val="6A0D3F8C"/>
    <w:rsid w:val="6A5F4175"/>
    <w:rsid w:val="6A787EA5"/>
    <w:rsid w:val="6A934041"/>
    <w:rsid w:val="6B4E5816"/>
    <w:rsid w:val="6CD54EA3"/>
    <w:rsid w:val="6D535020"/>
    <w:rsid w:val="73CF0EC4"/>
    <w:rsid w:val="76656426"/>
    <w:rsid w:val="768D0B53"/>
    <w:rsid w:val="76DA30C2"/>
    <w:rsid w:val="772E734E"/>
    <w:rsid w:val="775B4F8E"/>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10</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2026-04-29T07:42:29Z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