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公共运营公司夏季送清凉慰问采购</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（珠海正方公共资源运营有限公司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4</w:t>
      </w:r>
      <w:r>
        <w:rPr>
          <w:rFonts w:hint="default" w:ascii="Times New Roman" w:hAnsi="Times New Roman" w:cs="Times New Roman"/>
          <w:b/>
          <w:bCs/>
          <w:color w:val="auto"/>
          <w:sz w:val="32"/>
          <w:szCs w:val="32"/>
          <w:u w:val="thick"/>
        </w:rPr>
        <w:t>月</w:t>
      </w:r>
      <w:r>
        <w:rPr>
          <w:rFonts w:hint="eastAsia" w:cs="Times New Roman"/>
          <w:b/>
          <w:bCs/>
          <w:color w:val="auto"/>
          <w:sz w:val="32"/>
          <w:szCs w:val="32"/>
          <w:u w:val="thick"/>
          <w:lang w:val="en-US" w:eastAsia="zh-CN"/>
        </w:rPr>
        <w:t xml:space="preserve"> 30 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19"/>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19"/>
        <w:rPr>
          <w:rFonts w:hint="default" w:ascii="Times New Roman" w:hAnsi="Times New Roman" w:cs="Times New Roman"/>
          <w:color w:val="auto"/>
        </w:rPr>
      </w:pPr>
    </w:p>
    <w:p>
      <w:pPr>
        <w:numPr>
          <w:ilvl w:val="0"/>
          <w:numId w:val="1"/>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采购人</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珠海正方公共资源运营有限公司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480" w:lineRule="auto"/>
        <w:rPr>
          <w:rFonts w:hint="eastAsia" w:cs="Times New Roman"/>
          <w:b/>
          <w:bCs/>
          <w:color w:val="auto"/>
          <w:sz w:val="24"/>
          <w:lang w:val="en-US" w:eastAsia="zh-CN"/>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r>
        <w:rPr>
          <w:rFonts w:hint="eastAsia" w:cs="Times New Roman"/>
          <w:b w:val="0"/>
          <w:bCs w:val="0"/>
          <w:color w:val="auto"/>
          <w:sz w:val="24"/>
          <w:lang w:val="en-US" w:eastAsia="zh-CN"/>
        </w:rPr>
        <w:t>因我公共运营公司各项目部一线员工多数属于户外作业人员，面对高温天气尤为艰苦，为体现对员工的关爱，拟组织开展的一线员工夏季高温慰问活动，需采购一批食品类清凉慰问品。</w:t>
      </w:r>
    </w:p>
    <w:p>
      <w:pPr>
        <w:numPr>
          <w:ilvl w:val="0"/>
          <w:numId w:val="1"/>
        </w:numPr>
        <w:tabs>
          <w:tab w:val="left" w:pos="720"/>
        </w:tabs>
        <w:spacing w:beforeLines="0" w:afterLines="0" w:line="480" w:lineRule="auto"/>
        <w:ind w:left="0" w:leftChars="0"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采购预算总额</w:t>
      </w:r>
    </w:p>
    <w:p>
      <w:pPr>
        <w:numPr>
          <w:ilvl w:val="0"/>
          <w:numId w:val="0"/>
        </w:numPr>
        <w:tabs>
          <w:tab w:val="left" w:pos="720"/>
        </w:tabs>
        <w:spacing w:beforeLines="0" w:afterLines="0" w:line="480" w:lineRule="auto"/>
        <w:ind w:leftChars="0" w:firstLine="480" w:firstLineChars="200"/>
        <w:rPr>
          <w:rFonts w:hint="default" w:ascii="Times New Roman" w:hAnsi="Times New Roman" w:eastAsia="宋体" w:cs="Times New Roman"/>
          <w:color w:val="auto"/>
          <w:sz w:val="24"/>
        </w:rPr>
      </w:pP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eastAsia="zh-CN"/>
        </w:rPr>
        <w:t>叁万陆仟元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36000.00</w:t>
      </w:r>
      <w:r>
        <w:rPr>
          <w:rFonts w:hint="default" w:ascii="Times New Roman" w:hAnsi="Times New Roman" w:eastAsia="宋体" w:cs="Times New Roman"/>
          <w:color w:val="auto"/>
          <w:sz w:val="24"/>
          <w:u w:val="none"/>
        </w:rPr>
        <w:t>元），报价上限：人民币</w:t>
      </w:r>
      <w:r>
        <w:rPr>
          <w:rFonts w:hint="eastAsia" w:cs="Times New Roman"/>
          <w:color w:val="auto"/>
          <w:sz w:val="24"/>
          <w:u w:val="none"/>
          <w:lang w:eastAsia="zh-CN"/>
        </w:rPr>
        <w:t>叁万陆仟元</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36000.00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48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w:t>
      </w:r>
      <w:r>
        <w:rPr>
          <w:rFonts w:hint="eastAsia" w:cs="Times New Roman"/>
          <w:color w:val="auto"/>
          <w:sz w:val="24"/>
          <w:u w:val="single"/>
          <w:lang w:val="en-US" w:eastAsia="zh-CN"/>
        </w:rPr>
        <w:t>公共运营公司夏季送清凉慰问采购</w:t>
      </w:r>
      <w:r>
        <w:rPr>
          <w:rFonts w:hint="eastAsia" w:cs="Times New Roman"/>
          <w:color w:val="auto"/>
          <w:sz w:val="24"/>
          <w:u w:val="single"/>
          <w:lang w:eastAsia="zh-CN"/>
        </w:rPr>
        <w:t>）</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w:t>
      </w:r>
      <w:r>
        <w:rPr>
          <w:rFonts w:hint="eastAsia" w:cs="Times New Roman"/>
          <w:color w:val="auto"/>
          <w:sz w:val="24"/>
          <w:lang w:eastAsia="zh-CN"/>
        </w:rPr>
        <w:t>。</w:t>
      </w:r>
    </w:p>
    <w:p>
      <w:pPr>
        <w:numPr>
          <w:ilvl w:val="0"/>
          <w:numId w:val="0"/>
        </w:numPr>
        <w:tabs>
          <w:tab w:val="left" w:pos="720"/>
        </w:tabs>
        <w:spacing w:beforeLines="0" w:afterLines="0" w:line="48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1.投标人必须是在中华人民共和国境内注册的、具有独立承担民事责任能力的企业法人或其他组织；</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2.具有有效的食品经营许可证或食品生产许可证资质；</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3.自公告发布之日起近3年具备</w:t>
      </w:r>
      <w:r>
        <w:rPr>
          <w:rFonts w:hint="eastAsia" w:cs="Times New Roman"/>
          <w:b w:val="0"/>
          <w:bCs w:val="0"/>
          <w:color w:val="auto"/>
          <w:sz w:val="24"/>
          <w:lang w:val="en-US" w:eastAsia="zh-CN"/>
        </w:rPr>
        <w:t>2</w:t>
      </w:r>
      <w:r>
        <w:rPr>
          <w:rFonts w:hint="default" w:ascii="Times New Roman" w:hAnsi="Times New Roman" w:eastAsia="宋体" w:cs="Times New Roman"/>
          <w:b w:val="0"/>
          <w:bCs w:val="0"/>
          <w:color w:val="auto"/>
          <w:sz w:val="24"/>
        </w:rPr>
        <w:t>个或以上食品加工或食品配送项目业绩；</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4.供应商未被列入“信用中国”网站(www.creditchina.gov.cn)“记录失信被执行人或重大税收违法失信主体”记录名单；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5.未被纳入正方集团“黑名单”；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6.与其他投标人不存在单位负责人为同一人或者存在控股、管理关系；</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7.本项目不接受联合体投标。</w:t>
      </w:r>
    </w:p>
    <w:p>
      <w:pPr>
        <w:spacing w:beforeLines="0" w:afterLines="0" w:line="48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p>
    <w:p>
      <w:pPr>
        <w:pStyle w:val="7"/>
        <w:spacing w:beforeLines="0" w:afterLines="0" w:line="480" w:lineRule="auto"/>
        <w:ind w:firstLine="482" w:firstLineChars="20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pPr>
        <w:pStyle w:val="7"/>
        <w:spacing w:beforeLines="0" w:afterLines="0" w:line="480" w:lineRule="auto"/>
        <w:ind w:firstLine="482" w:firstLineChars="20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kern w:val="0"/>
          <w:sz w:val="24"/>
          <w:lang w:val="en-US" w:eastAsia="zh-CN"/>
        </w:rPr>
        <w:t>.</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480" w:lineRule="auto"/>
        <w:ind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p>
    <w:p>
      <w:pPr>
        <w:pStyle w:val="6"/>
        <w:keepNext w:val="0"/>
        <w:keepLines w:val="0"/>
        <w:pageBreakBefore w:val="0"/>
        <w:widowControl w:val="0"/>
        <w:kinsoku/>
        <w:wordWrap/>
        <w:overflowPunct/>
        <w:topLinePunct w:val="0"/>
        <w:bidi w:val="0"/>
        <w:snapToGrid/>
        <w:spacing w:beforeLines="0" w:afterLines="0" w:line="480" w:lineRule="auto"/>
        <w:ind w:firstLine="482" w:firstLineChars="200"/>
        <w:rPr>
          <w:rFonts w:hint="eastAsia" w:hAnsi="宋体" w:cs="仿宋"/>
          <w:color w:val="0000FF"/>
          <w:sz w:val="24"/>
          <w:u w:val="none"/>
          <w:lang w:val="en-US" w:eastAsia="zh-CN"/>
        </w:rPr>
      </w:pPr>
      <w:r>
        <w:rPr>
          <w:rFonts w:hint="eastAsia" w:ascii="Times New Roman" w:cs="Times New Roman"/>
          <w:b/>
          <w:bCs/>
          <w:color w:val="auto"/>
          <w:sz w:val="24"/>
          <w:lang w:val="en-US" w:eastAsia="zh-CN"/>
        </w:rPr>
        <w:t>1.</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cs="Times New Roman"/>
          <w:color w:val="auto"/>
          <w:sz w:val="24"/>
          <w:lang w:val="en-US" w:eastAsia="zh-CN"/>
        </w:rPr>
        <w:t>.</w:t>
      </w:r>
      <w:r>
        <w:rPr>
          <w:rFonts w:hint="default" w:ascii="Times New Roman" w:hAnsi="Times New Roman" w:eastAsia="宋体" w:cs="Times New Roman"/>
          <w:color w:val="auto"/>
          <w:sz w:val="24"/>
        </w:rPr>
        <w:t>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5</w:t>
      </w:r>
      <w:r>
        <w:rPr>
          <w:rFonts w:hint="default" w:ascii="Times New Roman" w:hAnsi="Times New Roman" w:eastAsia="宋体" w:cs="Times New Roman"/>
          <w:color w:val="auto"/>
          <w:sz w:val="24"/>
        </w:rPr>
        <w:t>月</w:t>
      </w:r>
      <w:r>
        <w:rPr>
          <w:rFonts w:hint="eastAsia" w:cs="Times New Roman"/>
          <w:color w:val="auto"/>
          <w:sz w:val="24"/>
          <w:lang w:val="en-US" w:eastAsia="zh-CN"/>
        </w:rPr>
        <w:t xml:space="preserve"> 7 </w:t>
      </w:r>
      <w:r>
        <w:rPr>
          <w:rFonts w:hint="default" w:ascii="Times New Roman" w:hAnsi="Times New Roman" w:eastAsia="宋体" w:cs="Times New Roman"/>
          <w:color w:val="auto"/>
          <w:sz w:val="24"/>
        </w:rPr>
        <w:t>日 1</w:t>
      </w:r>
      <w:r>
        <w:rPr>
          <w:rFonts w:hint="eastAsia" w:cs="Times New Roman"/>
          <w:color w:val="auto"/>
          <w:sz w:val="24"/>
          <w:lang w:val="en-US" w:eastAsia="zh-CN"/>
        </w:rPr>
        <w:t>7:3</w:t>
      </w:r>
      <w:r>
        <w:rPr>
          <w:rFonts w:hint="default" w:ascii="Times New Roman" w:hAnsi="Times New Roman" w:eastAsia="宋体" w:cs="Times New Roman"/>
          <w:color w:val="auto"/>
          <w:sz w:val="24"/>
        </w:rPr>
        <w:t>0（北京时间）；</w:t>
      </w:r>
    </w:p>
    <w:permEnd w:id="5"/>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cs="Times New Roman"/>
          <w:color w:val="auto"/>
          <w:sz w:val="24"/>
          <w:lang w:val="en-US" w:eastAsia="zh-CN"/>
        </w:rPr>
        <w:t>.</w:t>
      </w:r>
      <w:r>
        <w:rPr>
          <w:rFonts w:hint="default" w:ascii="Times New Roman" w:hAnsi="Times New Roman" w:eastAsia="宋体" w:cs="Times New Roman"/>
          <w:color w:val="auto"/>
          <w:sz w:val="24"/>
        </w:rPr>
        <w:t>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val="en-US" w:eastAsia="zh-CN"/>
        </w:rPr>
        <w:t>投标单位全称+</w:t>
      </w:r>
      <w:r>
        <w:rPr>
          <w:rFonts w:hint="eastAsia" w:cs="Times New Roman"/>
          <w:color w:val="auto"/>
          <w:sz w:val="24"/>
          <w:lang w:eastAsia="zh-CN"/>
        </w:rPr>
        <w:t>公共运营公司夏季送清凉慰问采购</w:t>
      </w:r>
      <w:r>
        <w:rPr>
          <w:rFonts w:hint="default" w:ascii="Times New Roman" w:hAnsi="Times New Roman" w:eastAsia="宋体" w:cs="Times New Roman"/>
          <w:color w:val="auto"/>
          <w:sz w:val="24"/>
        </w:rPr>
        <w:t>+</w:t>
      </w:r>
      <w:r>
        <w:rPr>
          <w:rFonts w:hint="eastAsia" w:cs="Times New Roman"/>
          <w:color w:val="auto"/>
          <w:sz w:val="24"/>
          <w:lang w:val="en-US" w:eastAsia="zh-CN"/>
        </w:rPr>
        <w:t>许工</w:t>
      </w:r>
      <w:permEnd w:id="6"/>
      <w:r>
        <w:rPr>
          <w:rFonts w:hint="default" w:ascii="Times New Roman" w:hAnsi="Times New Roman" w:eastAsia="宋体" w:cs="Times New Roman"/>
          <w:color w:val="auto"/>
          <w:sz w:val="24"/>
        </w:rPr>
        <w:t>）。</w:t>
      </w:r>
    </w:p>
    <w:p>
      <w:pPr>
        <w:spacing w:beforeLines="0" w:afterLines="0" w:line="48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color w:val="auto"/>
          <w:sz w:val="24"/>
          <w:lang w:val="en-US" w:eastAsia="zh-CN"/>
        </w:rPr>
        <w:t>.</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逾期送达的、未送达指定邮箱地点的或者不按照询价文件要求格式的报价文件，将视为无效报价。</w:t>
      </w:r>
    </w:p>
    <w:p>
      <w:pPr>
        <w:numPr>
          <w:ilvl w:val="0"/>
          <w:numId w:val="0"/>
        </w:numPr>
        <w:spacing w:before="0" w:beforeLines="0" w:after="0" w:afterLines="0" w:line="48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4"/>
        <w:spacing w:beforeLines="0" w:afterLines="0" w:line="48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48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48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48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default" w:ascii="Times New Roman" w:hAnsi="Times New Roman" w:eastAsia="宋体" w:cs="Times New Roman"/>
          <w:b/>
          <w:bCs/>
          <w:color w:val="auto"/>
          <w:sz w:val="24"/>
        </w:rPr>
        <w:t>细微偏差修正</w:t>
      </w:r>
    </w:p>
    <w:p>
      <w:pPr>
        <w:pStyle w:val="34"/>
        <w:spacing w:beforeLines="0" w:afterLines="0" w:line="480" w:lineRule="auto"/>
        <w:ind w:firstLine="480"/>
        <w:rPr>
          <w:rFonts w:hint="default" w:ascii="宋体" w:hAnsi="宋体"/>
          <w:sz w:val="24"/>
        </w:rPr>
      </w:pPr>
      <w:r>
        <w:rPr>
          <w:rFonts w:hint="default" w:ascii="宋体" w:hAnsi="宋体"/>
          <w:sz w:val="24"/>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pStyle w:val="34"/>
        <w:spacing w:beforeLines="0" w:afterLines="0" w:line="480" w:lineRule="auto"/>
        <w:ind w:firstLine="480"/>
        <w:rPr>
          <w:rFonts w:hint="default" w:ascii="宋体" w:hAnsi="宋体"/>
          <w:sz w:val="24"/>
        </w:rPr>
      </w:pPr>
      <w:r>
        <w:rPr>
          <w:rFonts w:hint="default" w:ascii="宋体" w:hAnsi="宋体"/>
          <w:sz w:val="24"/>
        </w:rPr>
        <w:t>2．存在细微偏差的报价文件，采购人应评标时进行认定并要求报价人书面补正细微偏差。报价人书面作出补正之后，应当视为有效报价文件。若报价人拒绝补正，其报价文件将被拒绝。</w:t>
      </w:r>
    </w:p>
    <w:p>
      <w:pPr>
        <w:pStyle w:val="34"/>
        <w:spacing w:beforeLines="0" w:afterLines="0" w:line="480" w:lineRule="auto"/>
        <w:ind w:firstLine="480"/>
        <w:rPr>
          <w:rFonts w:hint="default" w:ascii="宋体" w:hAnsi="宋体"/>
          <w:sz w:val="24"/>
        </w:rPr>
      </w:pPr>
      <w:r>
        <w:rPr>
          <w:rFonts w:hint="default" w:ascii="宋体" w:hAnsi="宋体"/>
          <w:sz w:val="24"/>
        </w:rPr>
        <w:t>3．细微偏差按照下列原则进行补正（次序排先者优先）：</w:t>
      </w:r>
    </w:p>
    <w:p>
      <w:pPr>
        <w:pStyle w:val="34"/>
        <w:spacing w:beforeLines="0" w:afterLines="0" w:line="480" w:lineRule="auto"/>
        <w:ind w:firstLine="480"/>
        <w:rPr>
          <w:rFonts w:hint="default" w:ascii="宋体" w:hAnsi="宋体"/>
          <w:sz w:val="24"/>
        </w:rPr>
      </w:pPr>
      <w:r>
        <w:rPr>
          <w:rFonts w:hint="default" w:ascii="宋体" w:hAnsi="宋体"/>
          <w:sz w:val="24"/>
        </w:rPr>
        <w:t>（1）投标报价大写金额与小写金额不一致的，除非大写金额存在明显的小数点错误，否则，应当以大写金额为准，修改小写金额。</w:t>
      </w:r>
    </w:p>
    <w:p>
      <w:pPr>
        <w:pStyle w:val="34"/>
        <w:spacing w:beforeLines="0" w:afterLines="0" w:line="480" w:lineRule="auto"/>
        <w:ind w:firstLine="480"/>
        <w:rPr>
          <w:rFonts w:hint="default" w:ascii="宋体" w:hAnsi="宋体"/>
          <w:sz w:val="24"/>
        </w:rPr>
      </w:pPr>
      <w:r>
        <w:rPr>
          <w:rFonts w:hint="default" w:ascii="宋体" w:hAnsi="宋体"/>
          <w:sz w:val="24"/>
        </w:rPr>
        <w:t>（2）投标总价金额与分项报价合计金额不一致的，除非投标总价金额存在明显的小数点错误，否则，应当以投标总价金额为准，修改分项报价合计金额。</w:t>
      </w:r>
    </w:p>
    <w:p>
      <w:pPr>
        <w:pStyle w:val="34"/>
        <w:spacing w:beforeLines="0" w:afterLines="0" w:line="480" w:lineRule="auto"/>
        <w:ind w:firstLine="480"/>
        <w:rPr>
          <w:rFonts w:hint="default" w:ascii="宋体" w:hAnsi="宋体"/>
          <w:sz w:val="24"/>
        </w:rPr>
      </w:pPr>
      <w:r>
        <w:rPr>
          <w:rFonts w:hint="default" w:ascii="宋体" w:hAnsi="宋体"/>
          <w:sz w:val="24"/>
        </w:rPr>
        <w:t>（3）若用文字表示的数值与用数字表示的数值不一致，以文字表示的数值为准。</w:t>
      </w:r>
    </w:p>
    <w:p>
      <w:pPr>
        <w:pStyle w:val="34"/>
        <w:spacing w:beforeLines="0" w:afterLines="0" w:line="480" w:lineRule="auto"/>
        <w:ind w:firstLine="480"/>
        <w:rPr>
          <w:rFonts w:hint="eastAsia"/>
        </w:rPr>
      </w:pPr>
      <w:r>
        <w:rPr>
          <w:rFonts w:hint="default" w:ascii="宋体" w:hAnsi="宋体"/>
          <w:sz w:val="24"/>
        </w:rPr>
        <w:t>（4）其他细微偏差按照有利于采购人的原则进行补正。</w:t>
      </w:r>
    </w:p>
    <w:p>
      <w:pPr>
        <w:pStyle w:val="2"/>
        <w:rPr>
          <w:rFonts w:hint="eastAsia"/>
        </w:rPr>
      </w:pP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bookmarkStart w:id="1" w:name="_Toc47961947"/>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pPr>
        <w:numPr>
          <w:ilvl w:val="0"/>
          <w:numId w:val="0"/>
        </w:num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1.</w:t>
      </w:r>
      <w:r>
        <w:rPr>
          <w:rFonts w:hint="default" w:ascii="宋体" w:hAnsi="宋体"/>
          <w:sz w:val="24"/>
          <w:lang w:val="en-US" w:eastAsia="zh-CN"/>
        </w:rPr>
        <w:t>地址：</w:t>
      </w:r>
      <w:r>
        <w:rPr>
          <w:rFonts w:hint="eastAsia" w:ascii="宋体" w:hAnsi="宋体"/>
          <w:sz w:val="24"/>
          <w:lang w:val="en-US" w:eastAsia="zh-CN"/>
        </w:rPr>
        <w:t>珠海市香洲区卫康路199号香洲创港中心17栋14楼。</w:t>
      </w:r>
    </w:p>
    <w:p>
      <w:pPr>
        <w:numPr>
          <w:ilvl w:val="0"/>
          <w:numId w:val="0"/>
        </w:numPr>
        <w:spacing w:beforeLines="0" w:afterLines="0" w:line="480" w:lineRule="auto"/>
        <w:ind w:firstLine="480" w:firstLineChars="200"/>
        <w:rPr>
          <w:rFonts w:hint="default" w:ascii="Times New Roman" w:hAnsi="Times New Roman" w:eastAsia="宋体" w:cs="Times New Roman"/>
          <w:color w:val="auto"/>
        </w:rPr>
      </w:pPr>
      <w:r>
        <w:rPr>
          <w:rFonts w:hint="eastAsia" w:ascii="宋体" w:hAnsi="宋体"/>
          <w:sz w:val="24"/>
          <w:lang w:val="en-US" w:eastAsia="zh-CN"/>
        </w:rPr>
        <w:t>2.报价</w:t>
      </w:r>
      <w:r>
        <w:rPr>
          <w:rFonts w:hint="default" w:ascii="宋体" w:hAnsi="宋体"/>
          <w:sz w:val="24"/>
          <w:lang w:val="en-US" w:eastAsia="zh-CN"/>
        </w:rPr>
        <w:t>咨询联</w:t>
      </w:r>
      <w:r>
        <w:rPr>
          <w:rFonts w:hint="default" w:ascii="Times New Roman" w:hAnsi="Times New Roman" w:eastAsia="宋体" w:cs="Times New Roman"/>
          <w:color w:val="auto"/>
          <w:sz w:val="24"/>
          <w:szCs w:val="24"/>
        </w:rPr>
        <w:t xml:space="preserve">系方式： </w:t>
      </w:r>
      <w:permStart w:id="7" w:edGrp="everyone"/>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许</w:t>
      </w:r>
      <w:r>
        <w:rPr>
          <w:rFonts w:hint="eastAsia" w:cs="Times New Roman"/>
          <w:color w:val="auto"/>
          <w:sz w:val="24"/>
          <w:szCs w:val="24"/>
          <w:lang w:val="en-US" w:eastAsia="zh-CN"/>
        </w:rPr>
        <w:t>工15989798246</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19"/>
        <w:ind w:firstLine="480" w:firstLineChars="200"/>
        <w:rPr>
          <w:rFonts w:hint="default" w:ascii="Times New Roman" w:hAnsi="Times New Roman" w:eastAsia="宋体" w:cs="Times New Roman"/>
          <w:color w:val="auto"/>
          <w:sz w:val="24"/>
          <w:szCs w:val="24"/>
        </w:rPr>
      </w:pPr>
    </w:p>
    <w:p>
      <w:pPr>
        <w:pStyle w:val="19"/>
        <w:jc w:val="right"/>
        <w:rPr>
          <w:rFonts w:hint="eastAsia" w:ascii="宋体" w:hAnsi="宋体" w:eastAsia="宋体" w:cs="宋体"/>
          <w:color w:val="auto"/>
          <w:sz w:val="24"/>
          <w:szCs w:val="24"/>
        </w:rPr>
      </w:pPr>
    </w:p>
    <w:p>
      <w:pPr>
        <w:pStyle w:val="19"/>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珠海正方公共资源运营有限公司</w:t>
      </w:r>
      <w:r>
        <w:rPr>
          <w:rFonts w:hint="eastAsia" w:ascii="宋体" w:hAnsi="宋体" w:eastAsia="宋体" w:cs="宋体"/>
          <w:color w:val="auto"/>
          <w:sz w:val="24"/>
          <w:szCs w:val="24"/>
        </w:rPr>
        <w:t xml:space="preserve">         </w:t>
      </w:r>
    </w:p>
    <w:p>
      <w:pPr>
        <w:pStyle w:val="19"/>
        <w:spacing w:line="48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2026年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 xml:space="preserve">月 </w:t>
      </w:r>
      <w:r>
        <w:rPr>
          <w:rFonts w:hint="eastAsia" w:ascii="宋体" w:hAnsi="宋体" w:cs="宋体"/>
          <w:color w:val="auto"/>
          <w:sz w:val="24"/>
          <w:szCs w:val="24"/>
          <w:lang w:val="en-US" w:eastAsia="zh-CN"/>
        </w:rPr>
        <w:t xml:space="preserve">30 </w:t>
      </w:r>
      <w:r>
        <w:rPr>
          <w:rFonts w:hint="eastAsia" w:ascii="宋体" w:hAnsi="宋体" w:eastAsia="宋体" w:cs="宋体"/>
          <w:color w:val="auto"/>
          <w:sz w:val="24"/>
          <w:szCs w:val="24"/>
        </w:rPr>
        <w:t xml:space="preserve"> 日</w:t>
      </w: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19"/>
        <w:jc w:val="right"/>
        <w:rPr>
          <w:rFonts w:hint="eastAsia" w:ascii="宋体" w:hAnsi="宋体" w:eastAsia="宋体" w:cs="宋体"/>
          <w:color w:val="auto"/>
          <w:sz w:val="24"/>
          <w:szCs w:val="24"/>
        </w:rPr>
      </w:pP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15547"/>
      <w:bookmarkStart w:id="3" w:name="_Toc27664"/>
      <w:bookmarkStart w:id="4" w:name="_Toc9199"/>
      <w:r>
        <w:rPr>
          <w:rFonts w:hint="eastAsia" w:ascii="宋体" w:hAnsi="宋体" w:eastAsia="宋体"/>
          <w:lang w:eastAsia="zh-CN"/>
        </w:rPr>
        <w:t>报价文件格式</w:t>
      </w:r>
      <w:bookmarkEnd w:id="2"/>
      <w:bookmarkEnd w:id="3"/>
      <w:bookmarkEnd w:id="4"/>
      <w:bookmarkStart w:id="5" w:name="_Toc503427708"/>
      <w:bookmarkStart w:id="6" w:name="_Toc276645578"/>
    </w:p>
    <w:p>
      <w:pPr>
        <w:pStyle w:val="4"/>
        <w:spacing w:line="360" w:lineRule="auto"/>
        <w:rPr>
          <w:rFonts w:hint="eastAsia" w:ascii="黑体" w:hAnsi="黑体" w:eastAsia="黑体" w:cs="黑体"/>
          <w:b/>
          <w:bCs w:val="0"/>
          <w:sz w:val="28"/>
          <w:szCs w:val="28"/>
        </w:rPr>
      </w:pPr>
      <w:bookmarkStart w:id="7" w:name="_Toc202251700"/>
      <w:bookmarkStart w:id="8" w:name="_Toc202816996"/>
      <w:bookmarkStart w:id="9" w:name="_Toc698"/>
      <w:bookmarkStart w:id="10" w:name="_Toc17685"/>
      <w:bookmarkStart w:id="11" w:name="_Toc202254105"/>
      <w:bookmarkStart w:id="12" w:name="_Toc503427710"/>
      <w:bookmarkStart w:id="13" w:name="_Toc15317"/>
      <w:bookmarkStart w:id="14" w:name="_Toc202819878"/>
      <w:bookmarkStart w:id="15" w:name="_Toc202252034"/>
      <w:bookmarkStart w:id="16" w:name="_Toc276645579"/>
      <w:bookmarkStart w:id="17" w:name="_Toc259090982"/>
      <w:bookmarkStart w:id="18" w:name="_Toc202251075"/>
      <w:bookmarkStart w:id="19" w:name="_Toc16107"/>
      <w:bookmarkStart w:id="20" w:name="_Toc202820351"/>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13089"/>
      <w:bookmarkStart w:id="22" w:name="_Toc32660"/>
      <w:bookmarkStart w:id="23" w:name="_Toc276645580"/>
      <w:bookmarkStart w:id="24" w:name="_Toc24181"/>
      <w:bookmarkStart w:id="25" w:name="_Toc20366"/>
      <w:bookmarkStart w:id="26" w:name="_Toc259090983"/>
      <w:bookmarkStart w:id="27" w:name="_Toc503427711"/>
      <w:r>
        <w:rPr>
          <w:rFonts w:hint="eastAsia" w:ascii="宋体" w:hAnsi="宋体"/>
          <w:sz w:val="28"/>
        </w:rPr>
        <w:t>1.1投标函</w:t>
      </w:r>
      <w:bookmarkEnd w:id="21"/>
      <w:bookmarkEnd w:id="22"/>
      <w:bookmarkEnd w:id="23"/>
      <w:bookmarkEnd w:id="24"/>
      <w:bookmarkEnd w:id="25"/>
      <w:bookmarkEnd w:id="26"/>
      <w:bookmarkEnd w:id="27"/>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公共运营公司夏季送清凉慰问采购</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w:t>
      </w:r>
      <w:r>
        <w:rPr>
          <w:rFonts w:hint="eastAsia" w:ascii="宋体" w:hAnsi="宋体"/>
          <w:kern w:val="0"/>
          <w:sz w:val="24"/>
          <w:lang w:eastAsia="zh-CN"/>
        </w:rPr>
        <w:t>（</w:t>
      </w:r>
      <w:r>
        <w:rPr>
          <w:rFonts w:hint="eastAsia" w:ascii="宋体" w:hAnsi="宋体"/>
          <w:kern w:val="0"/>
          <w:sz w:val="24"/>
        </w:rPr>
        <w:t>如果有的话</w:t>
      </w:r>
      <w:r>
        <w:rPr>
          <w:rFonts w:hint="eastAsia" w:ascii="宋体" w:hAnsi="宋体"/>
          <w:kern w:val="0"/>
          <w:sz w:val="24"/>
          <w:lang w:eastAsia="zh-CN"/>
        </w:rPr>
        <w:t>）</w:t>
      </w:r>
      <w:r>
        <w:rPr>
          <w:rFonts w:hint="eastAsia" w:ascii="宋体" w:hAnsi="宋体"/>
          <w:kern w:val="0"/>
          <w:sz w:val="24"/>
        </w:rPr>
        <w:t>。我方已完全清晰理解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w:t>
      </w:r>
      <w:r>
        <w:rPr>
          <w:rFonts w:hint="eastAsia" w:ascii="宋体" w:hAnsi="宋体"/>
          <w:kern w:val="0"/>
          <w:sz w:val="24"/>
          <w:lang w:val="en-US" w:eastAsia="zh-CN"/>
        </w:rPr>
        <w:t>成分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人名称</w:t>
      </w:r>
      <w:r>
        <w:rPr>
          <w:rFonts w:hint="eastAsia" w:ascii="宋体" w:hAnsi="宋体"/>
          <w:sz w:val="24"/>
          <w:lang w:eastAsia="zh-CN"/>
        </w:rPr>
        <w:t>（</w:t>
      </w:r>
      <w:r>
        <w:rPr>
          <w:rFonts w:hint="eastAsia" w:ascii="宋体" w:hAnsi="宋体"/>
          <w:sz w:val="24"/>
        </w:rPr>
        <w:t>公章</w:t>
      </w:r>
      <w:r>
        <w:rPr>
          <w:rFonts w:hint="eastAsia" w:ascii="宋体" w:hAnsi="宋体"/>
          <w:sz w:val="24"/>
          <w:lang w:eastAsia="zh-CN"/>
        </w:rPr>
        <w:t>）</w:t>
      </w:r>
      <w:r>
        <w:rPr>
          <w:rFonts w:hint="eastAsia" w:ascii="宋体" w:hAnsi="宋体"/>
          <w:sz w:val="24"/>
        </w:rPr>
        <w:t xml:space="preserve">：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1.2法</w:t>
      </w:r>
      <w:r>
        <w:rPr>
          <w:rFonts w:hint="eastAsia" w:ascii="宋体" w:hAnsi="宋体" w:eastAsia="宋体"/>
          <w:sz w:val="28"/>
        </w:rPr>
        <w:t>定代表人</w:t>
      </w:r>
      <w:r>
        <w:rPr>
          <w:rFonts w:hint="eastAsia" w:ascii="宋体" w:hAnsi="宋体" w:eastAsia="宋体"/>
          <w:sz w:val="28"/>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t xml:space="preserve"> </w:t>
      </w:r>
    </w:p>
    <w:p>
      <w:pPr>
        <w:rPr>
          <w:rStyle w:val="17"/>
          <w:rFonts w:hint="eastAsia" w:ascii="Times New Roman" w:hAnsi="Times New Roman" w:eastAsia="黑体" w:cs="Times New Roman"/>
          <w:b w:val="0"/>
          <w:bCs w:val="0"/>
          <w:color w:val="auto"/>
          <w:sz w:val="28"/>
          <w:szCs w:val="28"/>
          <w:lang w:val="en-US" w:eastAsia="zh-CN"/>
        </w:rPr>
      </w:pPr>
      <w:r>
        <w:rPr>
          <w:rStyle w:val="17"/>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hint="eastAsia" w:ascii="宋体" w:hAnsi="宋体" w:eastAsia="宋体"/>
          <w:sz w:val="28"/>
          <w:lang w:val="en-US" w:eastAsia="zh-CN"/>
        </w:rPr>
      </w:pPr>
      <w:bookmarkStart w:id="29" w:name="_Toc19817"/>
      <w:bookmarkStart w:id="30" w:name="_Toc19171"/>
      <w:bookmarkStart w:id="31" w:name="_Toc17080"/>
      <w:bookmarkStart w:id="32" w:name="_Toc503427713"/>
      <w:bookmarkStart w:id="33" w:name="_Toc528"/>
      <w:bookmarkStart w:id="34" w:name="_Toc27591"/>
      <w:r>
        <w:rPr>
          <w:rFonts w:hint="eastAsia" w:ascii="宋体" w:hAnsi="宋体" w:eastAsia="宋体"/>
          <w:sz w:val="28"/>
          <w:lang w:val="en-US" w:eastAsia="zh-CN"/>
        </w:rPr>
        <w:t>1.3关于资格的声明函</w:t>
      </w:r>
      <w:bookmarkEnd w:id="29"/>
      <w:bookmarkEnd w:id="30"/>
      <w:bookmarkEnd w:id="31"/>
      <w:bookmarkEnd w:id="32"/>
      <w:bookmarkEnd w:id="33"/>
      <w:bookmarkEnd w:id="34"/>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珠海正方公共资源运营有限公司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公共运营公司夏季送清凉慰问采购</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未被列入“信用中国”网站(www.creditchina.gov.cn)“记录失信被执行人或重大税收违法失信主体或政府采购严重违法失信行为”记录名单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w:t>
      </w:r>
      <w:r>
        <w:rPr>
          <w:rFonts w:hint="eastAsia" w:ascii="宋体" w:hAnsi="宋体"/>
          <w:sz w:val="24"/>
          <w:highlight w:val="none"/>
          <w:lang w:val="en-US" w:eastAsia="zh-CN"/>
        </w:rPr>
        <w:t>满足第一部分第五条“供应商资格要求”所</w:t>
      </w:r>
      <w:r>
        <w:rPr>
          <w:rFonts w:hint="eastAsia" w:ascii="宋体" w:hAnsi="宋体"/>
          <w:sz w:val="24"/>
          <w:lang w:val="en-US" w:eastAsia="zh-CN"/>
        </w:rPr>
        <w:t>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35" w:name="_Toc19796"/>
      <w:bookmarkStart w:id="36" w:name="_Toc31767"/>
      <w:bookmarkStart w:id="37" w:name="_Toc6220"/>
      <w:bookmarkStart w:id="38" w:name="_Toc31877"/>
      <w:bookmarkStart w:id="39" w:name="_Toc32141"/>
      <w:bookmarkStart w:id="40" w:name="_Toc24356"/>
      <w:bookmarkStart w:id="41" w:name="_Toc13922"/>
      <w:bookmarkStart w:id="42" w:name="_Toc5048"/>
      <w:bookmarkStart w:id="43" w:name="_Toc19969"/>
      <w:bookmarkStart w:id="44" w:name="_Toc9476"/>
      <w:bookmarkStart w:id="45" w:name="_Toc15464"/>
      <w:bookmarkStart w:id="46" w:name="_Toc26971"/>
      <w:bookmarkStart w:id="47" w:name="_Toc14285"/>
      <w:bookmarkStart w:id="48" w:name="_Toc10585"/>
      <w:bookmarkStart w:id="49" w:name="_Toc24969"/>
      <w:bookmarkStart w:id="50" w:name="_Toc10559"/>
      <w:bookmarkStart w:id="51" w:name="_Toc6275"/>
      <w:bookmarkStart w:id="52" w:name="_Toc27468"/>
      <w:bookmarkStart w:id="53" w:name="_Toc264628882"/>
      <w:bookmarkStart w:id="54" w:name="_Toc503427714"/>
      <w:bookmarkStart w:id="55" w:name="_Toc32498"/>
      <w:bookmarkStart w:id="56" w:name="_Toc4427"/>
      <w:bookmarkStart w:id="57" w:name="_Toc4726"/>
      <w:bookmarkStart w:id="58" w:name="_Toc276645583"/>
      <w:r>
        <w:rPr>
          <w:rFonts w:hint="eastAsia" w:ascii="宋体" w:hAnsi="宋体" w:eastAsia="宋体"/>
          <w:sz w:val="28"/>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hAnsi="宋体" w:eastAsia="宋体" w:cs="宋体"/>
          <w:b/>
          <w:bCs/>
          <w:kern w:val="28"/>
          <w:sz w:val="24"/>
          <w:szCs w:val="24"/>
          <w:lang w:eastAsia="zh-CN"/>
        </w:r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baseline"/>
        <w:rPr>
          <w:rFonts w:hint="eastAsia"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59" w:name="_Toc21911"/>
      <w:r>
        <w:rPr>
          <w:rFonts w:hint="eastAsia" w:ascii="宋体" w:hAnsi="宋体" w:eastAsia="宋体"/>
          <w:sz w:val="28"/>
          <w:lang w:val="en-US" w:eastAsia="zh-CN"/>
        </w:rPr>
        <w:t>1.3.1营业执照</w:t>
      </w:r>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hAnsi="宋体" w:eastAsia="宋体" w:cs="宋体"/>
          <w:b/>
          <w:bCs/>
          <w:kern w:val="28"/>
          <w:sz w:val="24"/>
          <w:szCs w:val="24"/>
          <w:lang w:eastAsia="zh-CN"/>
        </w:r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rPr>
          <w:rFonts w:hint="eastAsia" w:ascii="宋体" w:hAnsi="宋体" w:eastAsia="宋体"/>
          <w:sz w:val="28"/>
          <w:lang w:val="en-US" w:eastAsia="zh-CN"/>
        </w:rPr>
      </w:pPr>
      <w:r>
        <w:rPr>
          <w:rFonts w:hint="eastAsia" w:ascii="宋体" w:hAnsi="宋体" w:eastAsia="宋体"/>
          <w:sz w:val="28"/>
          <w:lang w:val="en-US" w:eastAsia="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1.3.2资质要求</w:t>
      </w:r>
    </w:p>
    <w:p>
      <w:pPr>
        <w:numPr>
          <w:ilvl w:val="0"/>
          <w:numId w:val="0"/>
        </w:numPr>
        <w:rPr>
          <w:rFonts w:hint="eastAsia"/>
          <w:b/>
          <w:sz w:val="24"/>
          <w:szCs w:val="24"/>
          <w:lang w:val="en-US" w:eastAsia="zh-CN"/>
        </w:rPr>
      </w:pPr>
      <w:r>
        <w:rPr>
          <w:rFonts w:hint="eastAsia"/>
          <w:b/>
          <w:sz w:val="24"/>
          <w:szCs w:val="24"/>
          <w:lang w:val="en-US" w:eastAsia="zh-CN"/>
        </w:rPr>
        <w:t>示例：</w:t>
      </w:r>
    </w:p>
    <w:p>
      <w:pPr>
        <w:numPr>
          <w:ilvl w:val="0"/>
          <w:numId w:val="0"/>
        </w:numPr>
        <w:rPr>
          <w:rFonts w:hint="default"/>
          <w:b/>
          <w:sz w:val="24"/>
          <w:szCs w:val="24"/>
          <w:lang w:val="en-US" w:eastAsia="zh-CN"/>
        </w:rPr>
      </w:pPr>
      <w:r>
        <w:rPr>
          <w:rFonts w:hint="default"/>
          <w:b/>
          <w:sz w:val="24"/>
          <w:szCs w:val="24"/>
          <w:lang w:val="en-US" w:eastAsia="zh-CN"/>
        </w:rPr>
        <w:drawing>
          <wp:inline distT="0" distB="0" distL="114300" distR="114300">
            <wp:extent cx="4287520" cy="5797550"/>
            <wp:effectExtent l="0" t="0" r="17780" b="12700"/>
            <wp:docPr id="6" name="图片 6" descr="177432415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74324157713"/>
                    <pic:cNvPicPr>
                      <a:picLocks noChangeAspect="1"/>
                    </pic:cNvPicPr>
                  </pic:nvPicPr>
                  <pic:blipFill>
                    <a:blip r:embed="rId8"/>
                    <a:stretch>
                      <a:fillRect/>
                    </a:stretch>
                  </pic:blipFill>
                  <pic:spPr>
                    <a:xfrm>
                      <a:off x="0" y="0"/>
                      <a:ext cx="4287520" cy="5797550"/>
                    </a:xfrm>
                    <a:prstGeom prst="rect">
                      <a:avLst/>
                    </a:prstGeom>
                  </pic:spPr>
                </pic:pic>
              </a:graphicData>
            </a:graphic>
          </wp:inline>
        </w:drawing>
      </w:r>
    </w:p>
    <w:p>
      <w:pPr>
        <w:pStyle w:val="5"/>
        <w:spacing w:before="100" w:after="100" w:line="360" w:lineRule="auto"/>
        <w:rPr>
          <w:rFonts w:hint="eastAsia" w:ascii="宋体" w:hAnsi="宋体" w:eastAsia="宋体"/>
          <w:sz w:val="28"/>
          <w:lang w:val="en-US" w:eastAsia="zh-CN"/>
        </w:rPr>
      </w:pPr>
    </w:p>
    <w:p>
      <w:pPr>
        <w:rPr>
          <w:rFonts w:hint="eastAsia" w:ascii="宋体" w:hAnsi="宋体" w:eastAsia="宋体"/>
          <w:sz w:val="28"/>
          <w:lang w:val="en-US" w:eastAsia="zh-CN"/>
        </w:rPr>
      </w:pPr>
    </w:p>
    <w:p>
      <w:pPr>
        <w:pStyle w:val="2"/>
        <w:rPr>
          <w:rFonts w:hint="eastAsia" w:ascii="宋体" w:hAnsi="宋体" w:eastAsia="宋体"/>
          <w:sz w:val="28"/>
          <w:lang w:val="en-US" w:eastAsia="zh-CN"/>
        </w:rPr>
      </w:pPr>
    </w:p>
    <w:p>
      <w:pPr>
        <w:rPr>
          <w:rFonts w:hint="eastAsia" w:ascii="宋体" w:hAnsi="宋体" w:eastAsia="宋体"/>
          <w:sz w:val="28"/>
          <w:lang w:val="en-US" w:eastAsia="zh-CN"/>
        </w:rPr>
      </w:pPr>
    </w:p>
    <w:p>
      <w:pPr>
        <w:pStyle w:val="2"/>
        <w:rPr>
          <w:rFonts w:hint="eastAsia"/>
          <w:lang w:val="en-US" w:eastAsia="zh-CN"/>
        </w:rPr>
      </w:pPr>
    </w:p>
    <w:p>
      <w:pPr>
        <w:pStyle w:val="5"/>
        <w:spacing w:before="100" w:after="100" w:line="360" w:lineRule="auto"/>
        <w:rPr>
          <w:rFonts w:hint="eastAsia" w:ascii="宋体" w:hAnsi="宋体" w:eastAsia="宋体"/>
          <w:sz w:val="28"/>
          <w:lang w:val="en-US" w:eastAsia="zh-CN"/>
        </w:rPr>
      </w:pPr>
      <w:r>
        <w:rPr>
          <w:rFonts w:hint="eastAsia" w:ascii="宋体" w:hAnsi="宋体" w:eastAsia="宋体"/>
          <w:sz w:val="28"/>
          <w:lang w:val="en-US" w:eastAsia="zh-CN"/>
        </w:rPr>
        <w:t>1.3.</w:t>
      </w:r>
      <w:bookmarkEnd w:id="59"/>
      <w:r>
        <w:rPr>
          <w:rFonts w:hint="eastAsia" w:ascii="宋体" w:hAnsi="宋体"/>
          <w:sz w:val="28"/>
          <w:lang w:val="en-US" w:eastAsia="zh-CN"/>
        </w:rPr>
        <w:t>3</w:t>
      </w:r>
      <w:r>
        <w:rPr>
          <w:rFonts w:hint="eastAsia" w:ascii="宋体" w:hAnsi="宋体" w:eastAsia="宋体"/>
          <w:sz w:val="28"/>
          <w:lang w:val="en-US" w:eastAsia="zh-CN"/>
        </w:rPr>
        <w:t>相关业绩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8"/>
          <w:sz w:val="24"/>
          <w:szCs w:val="24"/>
          <w:lang w:val="en-US" w:eastAsia="zh-CN" w:bidi="ar-SA"/>
        </w:rPr>
      </w:pPr>
      <w:r>
        <w:rPr>
          <w:rFonts w:hint="eastAsia" w:ascii="宋体" w:hAnsi="宋体" w:eastAsia="宋体" w:cs="宋体"/>
          <w:kern w:val="28"/>
          <w:sz w:val="24"/>
          <w:szCs w:val="24"/>
          <w:lang w:val="en-US" w:eastAsia="zh-CN" w:bidi="ar-SA"/>
        </w:rPr>
        <w:t>投标供应商提供合同或采购订单</w:t>
      </w:r>
      <w:r>
        <w:rPr>
          <w:rFonts w:hint="eastAsia" w:ascii="宋体" w:hAnsi="宋体" w:cs="宋体"/>
          <w:kern w:val="28"/>
          <w:sz w:val="24"/>
          <w:szCs w:val="24"/>
          <w:lang w:val="en-US" w:eastAsia="zh-CN" w:bidi="ar-SA"/>
        </w:rPr>
        <w:t>截图</w:t>
      </w:r>
      <w:r>
        <w:rPr>
          <w:rFonts w:hint="eastAsia" w:ascii="宋体" w:hAnsi="宋体" w:eastAsia="宋体" w:cs="宋体"/>
          <w:kern w:val="28"/>
          <w:sz w:val="24"/>
          <w:szCs w:val="24"/>
          <w:lang w:val="en-US" w:eastAsia="zh-CN" w:bidi="ar-SA"/>
        </w:rPr>
        <w:t>，要求有采购方</w:t>
      </w:r>
      <w:r>
        <w:rPr>
          <w:rFonts w:hint="eastAsia" w:ascii="宋体" w:hAnsi="宋体" w:cs="宋体"/>
          <w:kern w:val="28"/>
          <w:sz w:val="24"/>
          <w:szCs w:val="24"/>
          <w:lang w:val="en-US" w:eastAsia="zh-CN" w:bidi="ar-SA"/>
        </w:rPr>
        <w:t>及供货方</w:t>
      </w:r>
      <w:r>
        <w:rPr>
          <w:rFonts w:hint="eastAsia" w:ascii="宋体" w:hAnsi="宋体" w:eastAsia="宋体" w:cs="宋体"/>
          <w:kern w:val="28"/>
          <w:sz w:val="24"/>
          <w:szCs w:val="24"/>
          <w:lang w:val="en-US" w:eastAsia="zh-CN" w:bidi="ar-SA"/>
        </w:rPr>
        <w:t>名称</w:t>
      </w:r>
      <w:r>
        <w:rPr>
          <w:rFonts w:hint="eastAsia" w:ascii="宋体" w:hAnsi="宋体" w:cs="宋体"/>
          <w:kern w:val="28"/>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sz w:val="24"/>
          <w:szCs w:val="24"/>
          <w:lang w:val="en-US" w:eastAsia="zh-CN"/>
        </w:rPr>
      </w:pPr>
      <w:bookmarkStart w:id="60" w:name="_Toc20437"/>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9"/>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p>
    <w:p>
      <w:pPr>
        <w:numPr>
          <w:ilvl w:val="0"/>
          <w:numId w:val="0"/>
        </w:numPr>
        <w:rPr>
          <w:rFonts w:hint="default" w:ascii="宋体" w:hAnsi="宋体" w:eastAsia="宋体" w:cs="宋体"/>
          <w:bCs/>
          <w:sz w:val="28"/>
          <w:szCs w:val="28"/>
          <w:lang w:val="en-US" w:eastAsia="zh-CN"/>
        </w:rPr>
      </w:pPr>
    </w:p>
    <w:p/>
    <w:p>
      <w:pPr>
        <w:pStyle w:val="5"/>
        <w:spacing w:before="100" w:after="100" w:line="360" w:lineRule="auto"/>
        <w:rPr>
          <w:rFonts w:hint="eastAsia" w:ascii="宋体" w:hAnsi="宋体" w:eastAsia="宋体"/>
          <w:sz w:val="28"/>
          <w:lang w:val="en-US" w:eastAsia="zh-CN"/>
        </w:rPr>
      </w:pPr>
      <w:r>
        <w:rPr>
          <w:rFonts w:hint="eastAsia" w:ascii="宋体" w:hAnsi="宋体" w:eastAsia="宋体"/>
          <w:sz w:val="28"/>
          <w:lang w:val="en-US" w:eastAsia="zh-CN"/>
        </w:rPr>
        <w:t>1.4关于无重大违法记录的声明函</w:t>
      </w:r>
      <w:bookmarkEnd w:id="51"/>
      <w:bookmarkEnd w:id="52"/>
      <w:bookmarkEnd w:id="53"/>
      <w:bookmarkEnd w:id="54"/>
      <w:bookmarkEnd w:id="55"/>
      <w:bookmarkEnd w:id="56"/>
      <w:bookmarkEnd w:id="57"/>
      <w:bookmarkEnd w:id="58"/>
      <w:bookmarkEnd w:id="60"/>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珠海正方公共资源运营有限公司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3"/>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3"/>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2"/>
        <w:rPr>
          <w:rFonts w:hint="default"/>
          <w:lang w:val="en-US" w:eastAsia="zh-CN"/>
        </w:rPr>
      </w:pPr>
    </w:p>
    <w:p>
      <w:pPr>
        <w:rPr>
          <w:rFonts w:hint="eastAsia" w:ascii="黑体" w:hAnsi="黑体" w:cs="黑体"/>
          <w:b/>
          <w:bCs w:val="0"/>
          <w:sz w:val="28"/>
          <w:szCs w:val="28"/>
          <w:lang w:val="en-US" w:eastAsia="zh-CN"/>
        </w:rPr>
        <w:sectPr>
          <w:footerReference r:id="rId5" w:type="default"/>
          <w:pgSz w:w="11906" w:h="16838"/>
          <w:pgMar w:top="1304" w:right="1531" w:bottom="1247" w:left="1531" w:header="851" w:footer="992" w:gutter="0"/>
          <w:cols w:space="425" w:num="1"/>
          <w:docGrid w:type="lines" w:linePitch="312" w:charSpace="0"/>
        </w:sectPr>
      </w:pPr>
      <w:bookmarkStart w:id="61" w:name="_Toc202251703"/>
      <w:bookmarkStart w:id="62" w:name="_Toc3330"/>
      <w:bookmarkStart w:id="63" w:name="_Toc21572"/>
      <w:bookmarkStart w:id="64" w:name="_Toc12992"/>
      <w:bookmarkStart w:id="65" w:name="_Toc29543"/>
      <w:bookmarkStart w:id="66" w:name="_Toc24253"/>
      <w:bookmarkStart w:id="67" w:name="_Toc276645592"/>
      <w:bookmarkStart w:id="68" w:name="_Toc202817000"/>
      <w:bookmarkStart w:id="69" w:name="_Toc202254108"/>
      <w:bookmarkStart w:id="70" w:name="_Toc503427721"/>
      <w:bookmarkStart w:id="71" w:name="_Toc202819882"/>
      <w:bookmarkStart w:id="72" w:name="_Toc259090996"/>
      <w:bookmarkStart w:id="73" w:name="_Toc202252037"/>
      <w:bookmarkStart w:id="74" w:name="_Toc202251078"/>
      <w:bookmarkStart w:id="75" w:name="_Toc202820355"/>
      <w:r>
        <w:rPr>
          <w:rFonts w:hint="eastAsia" w:ascii="黑体" w:hAnsi="黑体" w:cs="黑体"/>
          <w:b/>
          <w:bCs w:val="0"/>
          <w:sz w:val="28"/>
          <w:szCs w:val="28"/>
          <w:lang w:val="en-US" w:eastAsia="zh-CN"/>
        </w:rPr>
        <w:br w:type="page"/>
      </w:r>
    </w:p>
    <w:p>
      <w:pPr>
        <w:pStyle w:val="5"/>
        <w:spacing w:before="100" w:after="100" w:line="360" w:lineRule="auto"/>
        <w:rPr>
          <w:rFonts w:hint="eastAsia" w:ascii="宋体" w:hAnsi="宋体" w:eastAsia="宋体"/>
          <w:sz w:val="28"/>
          <w:lang w:val="en-US" w:eastAsia="zh-CN"/>
        </w:rPr>
      </w:pPr>
      <w:bookmarkStart w:id="76" w:name="_Toc10726"/>
      <w:bookmarkStart w:id="77" w:name="_Toc7304"/>
      <w:bookmarkStart w:id="78" w:name="_Toc5662"/>
      <w:bookmarkStart w:id="79" w:name="_Toc24446"/>
      <w:bookmarkStart w:id="80" w:name="_Toc3193"/>
      <w:bookmarkStart w:id="81" w:name="_Toc29470"/>
      <w:bookmarkStart w:id="82" w:name="_Toc30192"/>
      <w:bookmarkStart w:id="83" w:name="_Toc5278"/>
      <w:bookmarkStart w:id="84" w:name="_Toc22499"/>
      <w:bookmarkStart w:id="85" w:name="_Toc6669"/>
      <w:bookmarkStart w:id="86" w:name="_Toc32145"/>
      <w:bookmarkStart w:id="87" w:name="_Toc9094"/>
      <w:bookmarkStart w:id="88" w:name="_Toc113"/>
      <w:bookmarkStart w:id="89" w:name="_Toc500"/>
      <w:bookmarkStart w:id="90" w:name="_Toc16860"/>
      <w:bookmarkStart w:id="91" w:name="_Toc2576"/>
      <w:r>
        <w:rPr>
          <w:rFonts w:hint="eastAsia" w:ascii="宋体" w:hAnsi="宋体" w:eastAsia="宋体"/>
          <w:sz w:val="28"/>
          <w:lang w:val="en-US" w:eastAsia="zh-CN"/>
        </w:rPr>
        <w:t>1.</w:t>
      </w:r>
      <w:r>
        <w:rPr>
          <w:rFonts w:hint="eastAsia" w:ascii="宋体" w:hAnsi="宋体"/>
          <w:sz w:val="28"/>
          <w:lang w:val="en-US" w:eastAsia="zh-CN"/>
        </w:rPr>
        <w:t>4</w:t>
      </w:r>
      <w:r>
        <w:rPr>
          <w:rFonts w:hint="eastAsia" w:ascii="宋体" w:hAnsi="宋体" w:eastAsia="宋体"/>
          <w:sz w:val="28"/>
          <w:lang w:val="en-US" w:eastAsia="zh-CN"/>
        </w:rPr>
        <w:t>.</w:t>
      </w:r>
      <w:bookmarkEnd w:id="76"/>
      <w:bookmarkEnd w:id="77"/>
      <w:bookmarkEnd w:id="78"/>
      <w:bookmarkStart w:id="92" w:name="_Toc28886"/>
      <w:bookmarkStart w:id="93" w:name="_Toc17294"/>
      <w:bookmarkStart w:id="94" w:name="_Toc29247"/>
      <w:r>
        <w:rPr>
          <w:rFonts w:hint="eastAsia" w:ascii="宋体" w:hAnsi="宋体"/>
          <w:sz w:val="28"/>
          <w:lang w:val="en-US" w:eastAsia="zh-CN"/>
        </w:rPr>
        <w:t>1</w:t>
      </w:r>
      <w:r>
        <w:rPr>
          <w:rFonts w:hint="eastAsia" w:ascii="宋体" w:hAnsi="宋体" w:eastAsia="宋体"/>
          <w:sz w:val="28"/>
          <w:lang w:val="en-US" w:eastAsia="zh-CN"/>
        </w:rPr>
        <w:t>信用信息</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eastAsia="zh-CN"/>
        </w:rPr>
        <w:t>投标供应商</w:t>
      </w:r>
      <w:r>
        <w:rPr>
          <w:rFonts w:hint="eastAsia" w:ascii="宋体" w:hAnsi="宋体" w:eastAsia="宋体" w:cs="宋体"/>
          <w:b w:val="0"/>
          <w:bCs w:val="0"/>
          <w:color w:val="000000"/>
          <w:sz w:val="24"/>
          <w:szCs w:val="24"/>
          <w:highlight w:val="none"/>
          <w:lang w:val="en-US" w:eastAsia="zh-CN"/>
        </w:rPr>
        <w:t>提供报价时间截止前的网页截图并加盖投标供应商公章</w:t>
      </w:r>
      <w:r>
        <w:rPr>
          <w:rFonts w:hint="eastAsia" w:ascii="宋体" w:hAnsi="宋体" w:cs="宋体"/>
          <w:b w:val="0"/>
          <w:bCs w:val="0"/>
          <w:color w:val="000000"/>
          <w:sz w:val="24"/>
          <w:szCs w:val="24"/>
          <w:highlight w:val="none"/>
          <w:lang w:val="en-US" w:eastAsia="zh-CN"/>
        </w:rPr>
        <w:t>。</w:t>
      </w:r>
    </w:p>
    <w:p>
      <w:pPr>
        <w:numPr>
          <w:ilvl w:val="0"/>
          <w:numId w:val="0"/>
        </w:numPr>
        <w:rPr>
          <w:rFonts w:hint="eastAsia"/>
          <w:b/>
          <w:bCs/>
          <w:sz w:val="22"/>
          <w:szCs w:val="22"/>
          <w:lang w:val="en-US" w:eastAsia="zh-CN"/>
        </w:rPr>
      </w:pPr>
      <w:r>
        <w:rPr>
          <w:rFonts w:hint="eastAsia"/>
          <w:b/>
          <w:bCs/>
          <w:sz w:val="22"/>
          <w:szCs w:val="22"/>
          <w:lang w:val="en-US" w:eastAsia="zh-CN"/>
        </w:rPr>
        <w:t>未被列入“信用中国”网站(www.creditchina.gov.cn)“记录失信被执行人或重大税收违法失信主体”记录名单证明文件</w:t>
      </w: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lang w:val="en-US" w:eastAsia="zh-CN"/>
        </w:rPr>
        <w:sectPr>
          <w:pgSz w:w="11906" w:h="16838"/>
          <w:pgMar w:top="1304" w:right="1531" w:bottom="1247" w:left="1531" w:header="851" w:footer="992" w:gutter="0"/>
          <w:cols w:space="425" w:num="1"/>
          <w:docGrid w:type="lines" w:linePitch="312" w:charSpace="0"/>
        </w:sect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12"/>
                    <a:stretch>
                      <a:fillRect/>
                    </a:stretch>
                  </pic:blipFill>
                  <pic:spPr>
                    <a:xfrm>
                      <a:off x="0" y="0"/>
                      <a:ext cx="5270500" cy="6628130"/>
                    </a:xfrm>
                    <a:prstGeom prst="rect">
                      <a:avLst/>
                    </a:prstGeom>
                  </pic:spPr>
                </pic:pic>
              </a:graphicData>
            </a:graphic>
          </wp:inline>
        </w:drawing>
      </w:r>
    </w:p>
    <w:p>
      <w:pPr>
        <w:pStyle w:val="4"/>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lang w:val="en-US" w:eastAsia="zh-CN"/>
        </w:rPr>
        <w:t>二</w:t>
      </w:r>
      <w:r>
        <w:rPr>
          <w:rFonts w:hint="eastAsia" w:ascii="黑体" w:hAnsi="黑体" w:eastAsia="黑体" w:cs="黑体"/>
          <w:b/>
          <w:bCs w:val="0"/>
          <w:sz w:val="28"/>
          <w:szCs w:val="28"/>
        </w:rPr>
        <w:t>、经济价格文件</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pStyle w:val="5"/>
        <w:spacing w:before="100" w:after="100" w:line="360" w:lineRule="auto"/>
        <w:rPr>
          <w:rFonts w:hint="default" w:ascii="Times New Roman" w:hAnsi="Times New Roman" w:eastAsia="仿宋" w:cs="Times New Roman"/>
          <w:b/>
          <w:color w:val="auto"/>
          <w:sz w:val="24"/>
        </w:rPr>
      </w:pPr>
      <w:r>
        <w:rPr>
          <w:rFonts w:hint="eastAsia" w:ascii="宋体" w:hAnsi="宋体" w:eastAsia="宋体"/>
          <w:sz w:val="28"/>
          <w:lang w:val="en-US" w:eastAsia="zh-CN"/>
        </w:rPr>
        <w:t>2.1</w:t>
      </w:r>
      <w:r>
        <w:rPr>
          <w:rFonts w:hint="default" w:ascii="宋体" w:hAnsi="宋体" w:eastAsia="宋体"/>
          <w:sz w:val="28"/>
          <w:lang w:val="en-US" w:eastAsia="zh-CN"/>
        </w:rPr>
        <w:t>报 价 承 诺 书</w:t>
      </w: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珠海正方公共资源运营有限公司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公共运营公司夏季送清凉慰问采购</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如果有的话</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val="en-US"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19"/>
        <w:spacing w:line="360" w:lineRule="auto"/>
        <w:ind w:firstLine="480" w:firstLineChars="200"/>
        <w:rPr>
          <w:rFonts w:hint="default" w:ascii="Times New Roman" w:hAnsi="Times New Roman" w:eastAsia="宋体" w:cs="Times New Roman"/>
          <w:color w:val="auto"/>
          <w:sz w:val="24"/>
          <w:szCs w:val="24"/>
        </w:rPr>
      </w:pPr>
    </w:p>
    <w:p>
      <w:pPr>
        <w:pStyle w:val="19"/>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2.2</w:t>
      </w:r>
      <w:r>
        <w:rPr>
          <w:rFonts w:hint="default" w:ascii="宋体" w:hAnsi="宋体" w:eastAsia="宋体"/>
          <w:sz w:val="28"/>
          <w:lang w:val="en-US" w:eastAsia="zh-CN"/>
        </w:rPr>
        <w:t>报 价 书</w:t>
      </w:r>
    </w:p>
    <w:p>
      <w:pPr>
        <w:spacing w:line="360" w:lineRule="auto"/>
        <w:rPr>
          <w:rFonts w:hint="default" w:ascii="Times New Roman" w:hAnsi="Times New Roman" w:eastAsia="宋体" w:cs="Times New Roman"/>
          <w:color w:val="auto"/>
          <w:sz w:val="28"/>
          <w:szCs w:val="28"/>
        </w:rPr>
      </w:pPr>
      <w:permStart w:id="10" w:edGrp="everyone"/>
      <w:r>
        <w:rPr>
          <w:rFonts w:hint="eastAsia" w:cs="Times New Roman"/>
          <w:color w:val="auto"/>
          <w:sz w:val="28"/>
          <w:szCs w:val="28"/>
          <w:lang w:eastAsia="zh-CN"/>
        </w:rPr>
        <w:t>（</w:t>
      </w:r>
      <w:r>
        <w:rPr>
          <w:rFonts w:hint="eastAsia" w:cs="Times New Roman"/>
          <w:color w:val="auto"/>
          <w:sz w:val="28"/>
          <w:szCs w:val="28"/>
          <w:lang w:val="en-US" w:eastAsia="zh-CN"/>
        </w:rPr>
        <w:t>珠海正方公共资源运营有限公司</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w:t>
      </w:r>
    </w:p>
    <w:permEnd w:id="10"/>
    <w:p>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根据已收到的</w:t>
      </w:r>
      <w:permStart w:id="11" w:edGrp="everyone"/>
      <w:r>
        <w:rPr>
          <w:rFonts w:hint="eastAsia" w:cs="Times New Roman"/>
          <w:color w:val="auto"/>
          <w:sz w:val="28"/>
          <w:szCs w:val="28"/>
          <w:lang w:eastAsia="zh-CN"/>
        </w:rPr>
        <w:t>（</w:t>
      </w:r>
      <w:r>
        <w:rPr>
          <w:rFonts w:hint="eastAsia" w:cs="Times New Roman"/>
          <w:color w:val="auto"/>
          <w:sz w:val="28"/>
          <w:szCs w:val="28"/>
          <w:lang w:val="en-US" w:eastAsia="zh-CN"/>
        </w:rPr>
        <w:t>公共运营公司夏季送清凉慰问采购</w:t>
      </w:r>
      <w:r>
        <w:rPr>
          <w:rFonts w:hint="eastAsia" w:cs="Times New Roman"/>
          <w:color w:val="auto"/>
          <w:sz w:val="28"/>
          <w:szCs w:val="28"/>
          <w:lang w:eastAsia="zh-CN"/>
        </w:rPr>
        <w:t>）</w:t>
      </w:r>
      <w:permEnd w:id="11"/>
      <w:r>
        <w:rPr>
          <w:rFonts w:hint="default" w:ascii="Times New Roman" w:hAnsi="Times New Roman" w:eastAsia="宋体" w:cs="Times New Roman"/>
          <w:color w:val="auto"/>
          <w:sz w:val="28"/>
          <w:szCs w:val="28"/>
        </w:rPr>
        <w:t>的询价文件，根据有关法律、法规、规章规定，我单位经研究上述询价文件和其他相关文件后，愿意接受询价文件的全部内容和条件，并承诺按总价人民币大写：</w:t>
      </w:r>
    </w:p>
    <w:p>
      <w:pPr>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 xml:space="preserve">            元 （¥          元）承接</w:t>
      </w:r>
      <w:permStart w:id="12" w:edGrp="everyone"/>
      <w:r>
        <w:rPr>
          <w:rFonts w:hint="eastAsia" w:cs="Times New Roman"/>
          <w:color w:val="auto"/>
          <w:sz w:val="28"/>
          <w:szCs w:val="28"/>
          <w:lang w:eastAsia="zh-CN"/>
        </w:rPr>
        <w:t>（</w:t>
      </w:r>
      <w:r>
        <w:rPr>
          <w:rFonts w:hint="eastAsia" w:cs="Times New Roman"/>
          <w:color w:val="auto"/>
          <w:sz w:val="28"/>
          <w:szCs w:val="28"/>
          <w:lang w:val="en-US" w:eastAsia="zh-CN"/>
        </w:rPr>
        <w:t>公共运营公司夏季送清凉慰问采购</w:t>
      </w:r>
      <w:r>
        <w:rPr>
          <w:rFonts w:hint="eastAsia" w:cs="Times New Roman"/>
          <w:color w:val="auto"/>
          <w:sz w:val="28"/>
          <w:szCs w:val="28"/>
          <w:lang w:eastAsia="zh-CN"/>
        </w:rPr>
        <w:t>）</w:t>
      </w:r>
      <w:r>
        <w:rPr>
          <w:rFonts w:hint="default" w:ascii="Times New Roman" w:hAnsi="Times New Roman" w:eastAsia="宋体" w:cs="Times New Roman"/>
          <w:color w:val="auto"/>
          <w:sz w:val="28"/>
          <w:szCs w:val="28"/>
          <w:lang w:val="en-US" w:eastAsia="zh-CN"/>
        </w:rPr>
        <w:t xml:space="preserve"> </w:t>
      </w:r>
      <w:permEnd w:id="12"/>
      <w:r>
        <w:rPr>
          <w:rFonts w:hint="default" w:ascii="Times New Roman" w:hAnsi="Times New Roman" w:eastAsia="宋体" w:cs="Times New Roman"/>
          <w:color w:val="auto"/>
          <w:sz w:val="28"/>
          <w:szCs w:val="28"/>
        </w:rPr>
        <w:t>项目</w:t>
      </w:r>
      <w:r>
        <w:rPr>
          <w:rFonts w:hint="eastAsia" w:cs="Times New Roman"/>
          <w:color w:val="auto"/>
          <w:sz w:val="28"/>
          <w:szCs w:val="28"/>
          <w:lang w:eastAsia="zh-CN"/>
        </w:rPr>
        <w:t>，</w:t>
      </w:r>
      <w:r>
        <w:rPr>
          <w:rFonts w:hint="eastAsia" w:cs="Times New Roman"/>
          <w:color w:val="auto"/>
          <w:sz w:val="28"/>
          <w:szCs w:val="28"/>
          <w:lang w:val="en-US" w:eastAsia="zh-CN"/>
        </w:rPr>
        <w:t>具体详见下表：</w:t>
      </w:r>
    </w:p>
    <w:tbl>
      <w:tblPr>
        <w:tblStyle w:val="14"/>
        <w:tblW w:w="9496" w:type="dxa"/>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16"/>
        <w:gridCol w:w="1336"/>
        <w:gridCol w:w="2091"/>
        <w:gridCol w:w="825"/>
        <w:gridCol w:w="900"/>
        <w:gridCol w:w="1140"/>
        <w:gridCol w:w="1260"/>
        <w:gridCol w:w="12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133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项目名称</w:t>
            </w:r>
          </w:p>
        </w:tc>
        <w:tc>
          <w:tcPr>
            <w:tcW w:w="209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项目特征描述</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cs="宋体"/>
                <w:b/>
                <w:i w:val="0"/>
                <w:color w:val="000000"/>
                <w:kern w:val="0"/>
                <w:sz w:val="24"/>
                <w:szCs w:val="24"/>
                <w:u w:val="none"/>
                <w:lang w:val="en-US" w:eastAsia="zh-CN" w:bidi="ar"/>
              </w:rPr>
              <w:t>数</w:t>
            </w:r>
            <w:r>
              <w:rPr>
                <w:rFonts w:hint="eastAsia" w:ascii="宋体" w:hAnsi="宋体" w:eastAsia="宋体" w:cs="宋体"/>
                <w:b/>
                <w:i w:val="0"/>
                <w:color w:val="000000"/>
                <w:kern w:val="0"/>
                <w:sz w:val="24"/>
                <w:szCs w:val="24"/>
                <w:u w:val="none"/>
                <w:lang w:val="en-US" w:eastAsia="zh-CN" w:bidi="ar"/>
              </w:rPr>
              <w:t>量</w:t>
            </w:r>
          </w:p>
        </w:tc>
        <w:tc>
          <w:tcPr>
            <w:tcW w:w="24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金额（元） </w:t>
            </w:r>
          </w:p>
        </w:tc>
        <w:tc>
          <w:tcPr>
            <w:tcW w:w="1228" w:type="dxa"/>
            <w:vMerge w:val="restart"/>
            <w:tcBorders>
              <w:top w:val="single" w:color="000000" w:sz="4" w:space="0"/>
              <w:left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716"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336"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2091"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825"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900"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140" w:type="dxa"/>
            <w:tcBorders>
              <w:top w:val="single" w:color="000000" w:sz="4" w:space="0"/>
              <w:left w:val="single" w:color="000000" w:sz="4" w:space="0"/>
              <w:bottom w:val="single" w:color="auto"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单价 </w:t>
            </w:r>
          </w:p>
        </w:tc>
        <w:tc>
          <w:tcPr>
            <w:tcW w:w="1260" w:type="dxa"/>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合价 </w:t>
            </w:r>
          </w:p>
        </w:tc>
        <w:tc>
          <w:tcPr>
            <w:tcW w:w="1228" w:type="dxa"/>
            <w:vMerge w:val="continue"/>
            <w:tcBorders>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34"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33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服务</w:t>
            </w:r>
          </w:p>
        </w:tc>
        <w:tc>
          <w:tcPr>
            <w:tcW w:w="2091"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清凉慰问品： 1份面包 + 1份饮品</w:t>
            </w:r>
          </w:p>
        </w:tc>
        <w:tc>
          <w:tcPr>
            <w:tcW w:w="825"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份</w:t>
            </w:r>
          </w:p>
        </w:tc>
        <w:tc>
          <w:tcPr>
            <w:tcW w:w="900"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6000</w:t>
            </w:r>
          </w:p>
        </w:tc>
        <w:tc>
          <w:tcPr>
            <w:tcW w:w="114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6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2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75"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w:t>
            </w:r>
          </w:p>
        </w:tc>
        <w:tc>
          <w:tcPr>
            <w:tcW w:w="6292" w:type="dxa"/>
            <w:gridSpan w:val="5"/>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合计（元）</w:t>
            </w:r>
          </w:p>
        </w:tc>
        <w:tc>
          <w:tcPr>
            <w:tcW w:w="126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1228"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46" w:hRule="atLeast"/>
        </w:trPr>
        <w:tc>
          <w:tcPr>
            <w:tcW w:w="9496" w:type="dxa"/>
            <w:gridSpan w:val="8"/>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color w:val="auto"/>
                <w:sz w:val="22"/>
                <w:szCs w:val="22"/>
                <w:lang w:eastAsia="zh-CN"/>
              </w:rPr>
            </w:pPr>
            <w:r>
              <w:rPr>
                <w:rFonts w:hint="eastAsia" w:ascii="宋体" w:hAnsi="宋体" w:eastAsia="宋体" w:cs="宋体"/>
                <w:color w:val="auto"/>
                <w:sz w:val="22"/>
                <w:szCs w:val="22"/>
              </w:rPr>
              <w:t>注：</w:t>
            </w:r>
            <w:r>
              <w:rPr>
                <w:rFonts w:hint="eastAsia" w:ascii="宋体" w:hAnsi="宋体" w:eastAsia="宋体" w:cs="宋体"/>
                <w:color w:val="auto"/>
                <w:sz w:val="22"/>
                <w:szCs w:val="22"/>
                <w:lang w:val="en-US" w:eastAsia="zh-CN"/>
              </w:rPr>
              <w:t>1</w:t>
            </w:r>
            <w:r>
              <w:rPr>
                <w:rFonts w:hint="eastAsia" w:ascii="宋体" w:hAnsi="宋体" w:cs="宋体"/>
                <w:color w:val="auto"/>
                <w:sz w:val="22"/>
                <w:szCs w:val="22"/>
                <w:lang w:val="en-US" w:eastAsia="zh-CN"/>
              </w:rPr>
              <w:t>.</w:t>
            </w:r>
            <w:r>
              <w:rPr>
                <w:rFonts w:hint="eastAsia" w:ascii="宋体" w:hAnsi="宋体" w:eastAsia="宋体" w:cs="宋体"/>
                <w:color w:val="auto"/>
                <w:sz w:val="22"/>
                <w:szCs w:val="22"/>
              </w:rPr>
              <w:t>所有报价均为含税价，且已包含本项目包括但不限于配餐集采项目本身价格、包装费、人工费、材料费、食品成本费、交通费、加班费、管理费、保险费、利润和国家规定的任何收费、商检费、质检费、各项税金(不限于增值税等)、本地存仓费、预期的市场价格的涨跌、国家与地方政府政策发生改变及投标人提供服务过程中所产生的其它费用等所有费用。所有报价金额均保留2位小数</w:t>
            </w:r>
            <w:r>
              <w:rPr>
                <w:rFonts w:hint="eastAsia" w:ascii="宋体" w:hAnsi="宋体" w:cs="宋体"/>
                <w:color w:val="auto"/>
                <w:sz w:val="22"/>
                <w:szCs w:val="22"/>
                <w:lang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rPr>
            </w:pPr>
            <w:r>
              <w:rPr>
                <w:rFonts w:hint="eastAsia" w:ascii="宋体" w:hAnsi="宋体" w:cs="宋体"/>
                <w:color w:val="auto"/>
                <w:sz w:val="22"/>
                <w:szCs w:val="22"/>
                <w:highlight w:val="yellow"/>
                <w:lang w:val="en-US" w:eastAsia="zh-CN"/>
              </w:rPr>
              <w:t>2.</w:t>
            </w:r>
            <w:r>
              <w:rPr>
                <w:rFonts w:hint="eastAsia" w:ascii="宋体" w:hAnsi="宋体" w:eastAsia="宋体" w:cs="宋体"/>
                <w:color w:val="auto"/>
                <w:sz w:val="22"/>
                <w:szCs w:val="22"/>
                <w:highlight w:val="yellow"/>
                <w:lang w:val="en-US" w:eastAsia="zh-CN"/>
              </w:rPr>
              <w:t>发票类型</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none"/>
              </w:rPr>
              <w:t>%</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w:t>
            </w:r>
            <w:r>
              <w:rPr>
                <w:rFonts w:hint="eastAsia" w:ascii="宋体" w:hAnsi="宋体" w:eastAsia="宋体" w:cs="宋体"/>
                <w:color w:val="auto"/>
                <w:sz w:val="22"/>
                <w:szCs w:val="22"/>
              </w:rPr>
              <w:t>专用发票</w:t>
            </w:r>
            <w:r>
              <w:rPr>
                <w:rFonts w:hint="eastAsia" w:ascii="宋体" w:hAnsi="宋体" w:eastAsia="宋体" w:cs="宋体"/>
                <w:color w:val="auto"/>
                <w:sz w:val="22"/>
                <w:szCs w:val="22"/>
              </w:rPr>
              <w:sym w:font="Wingdings 2" w:char="00A3"/>
            </w:r>
            <w:r>
              <w:rPr>
                <w:rFonts w:hint="eastAsia" w:ascii="宋体" w:hAnsi="宋体" w:eastAsia="宋体" w:cs="宋体"/>
                <w:color w:val="auto"/>
                <w:sz w:val="22"/>
                <w:szCs w:val="22"/>
                <w:lang w:val="en-US" w:eastAsia="zh-CN"/>
              </w:rPr>
              <w:t>增值税普通发票</w:t>
            </w:r>
            <w:r>
              <w:rPr>
                <w:rFonts w:hint="eastAsia" w:ascii="宋体" w:hAnsi="宋体" w:cs="宋体"/>
                <w:color w:val="auto"/>
                <w:sz w:val="22"/>
                <w:szCs w:val="22"/>
                <w:lang w:val="en-US"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注：如因国家政策变化导致增值税税率发生变化的，本</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项下不含增值税的价款金额不变，对应增值税金额按照新税率计算，价款总额作对应调整</w:t>
            </w:r>
            <w:r>
              <w:rPr>
                <w:rFonts w:hint="eastAsia" w:ascii="宋体" w:hAnsi="宋体" w:cs="宋体"/>
                <w:color w:val="auto"/>
                <w:sz w:val="22"/>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lang w:eastAsia="zh-CN"/>
              </w:rPr>
            </w:pPr>
            <w:r>
              <w:rPr>
                <w:rFonts w:hint="eastAsia" w:ascii="宋体" w:hAnsi="宋体" w:eastAsia="宋体" w:cs="宋体"/>
                <w:color w:val="auto"/>
                <w:kern w:val="0"/>
                <w:sz w:val="22"/>
                <w:szCs w:val="22"/>
                <w:lang w:val="en-US" w:eastAsia="zh-CN" w:bidi="ar-SA"/>
              </w:rPr>
              <w:t>3.质量标准：合格，符合相关要求及规定</w:t>
            </w:r>
            <w:r>
              <w:rPr>
                <w:rFonts w:hint="eastAsia" w:ascii="宋体" w:hAnsi="宋体" w:cs="宋体"/>
                <w:color w:val="auto"/>
                <w:kern w:val="0"/>
                <w:sz w:val="22"/>
                <w:szCs w:val="22"/>
                <w:lang w:val="en-US" w:eastAsia="zh-CN" w:bidi="ar-SA"/>
              </w:rPr>
              <w:t>；</w:t>
            </w:r>
          </w:p>
          <w:p>
            <w:pPr>
              <w:pStyle w:val="6"/>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i w:val="0"/>
                <w:color w:val="000000"/>
                <w:kern w:val="0"/>
                <w:sz w:val="24"/>
                <w:szCs w:val="24"/>
                <w:u w:val="none"/>
                <w:lang w:val="en-US" w:eastAsia="zh-CN" w:bidi="ar"/>
              </w:rPr>
            </w:pPr>
            <w:r>
              <w:rPr>
                <w:rFonts w:hint="eastAsia" w:hAnsi="宋体" w:cs="宋体"/>
                <w:color w:val="auto"/>
                <w:sz w:val="22"/>
                <w:szCs w:val="22"/>
                <w:lang w:val="en-US" w:eastAsia="zh-CN"/>
              </w:rPr>
              <w:t>4.</w:t>
            </w:r>
            <w:r>
              <w:rPr>
                <w:rFonts w:hint="eastAsia" w:ascii="宋体" w:hAnsi="宋体" w:eastAsia="宋体" w:cs="宋体"/>
                <w:color w:val="auto"/>
                <w:sz w:val="22"/>
                <w:szCs w:val="22"/>
                <w:lang w:val="en-US" w:eastAsia="zh-CN"/>
              </w:rPr>
              <w:t>本次采购数量为预估量，以实际用量结算，</w:t>
            </w:r>
            <w:r>
              <w:rPr>
                <w:rFonts w:hint="eastAsia" w:hAnsi="宋体" w:cs="宋体"/>
                <w:color w:val="auto"/>
                <w:sz w:val="22"/>
                <w:szCs w:val="22"/>
                <w:lang w:val="en-US" w:eastAsia="zh-CN"/>
              </w:rPr>
              <w:t>按需求书清单分批配送</w:t>
            </w:r>
            <w:r>
              <w:rPr>
                <w:rFonts w:hint="eastAsia" w:ascii="宋体" w:hAnsi="宋体" w:eastAsia="宋体" w:cs="宋体"/>
                <w:color w:val="auto"/>
                <w:sz w:val="22"/>
                <w:szCs w:val="22"/>
                <w:lang w:val="en-US" w:eastAsia="zh-CN"/>
              </w:rPr>
              <w:t>。</w:t>
            </w:r>
          </w:p>
        </w:tc>
      </w:tr>
    </w:tbl>
    <w:p>
      <w:pPr>
        <w:pStyle w:val="19"/>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法定代表人或其授权代理人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（签字或盖章）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联系方式</w:t>
      </w:r>
      <w:r>
        <w:rPr>
          <w:rFonts w:hint="eastAsia" w:cs="Times New Roman"/>
          <w:color w:val="auto"/>
          <w:kern w:val="2"/>
          <w:sz w:val="24"/>
          <w:szCs w:val="24"/>
          <w:lang w:val="en-US" w:eastAsia="zh-CN" w:bidi="ar-SA"/>
        </w:rPr>
        <w:t>：</w:t>
      </w:r>
    </w:p>
    <w:p>
      <w:pPr>
        <w:autoSpaceDE w:val="0"/>
        <w:autoSpaceDN w:val="0"/>
        <w:spacing w:before="312" w:beforeLines="100" w:line="360" w:lineRule="auto"/>
        <w:jc w:val="left"/>
        <w:rPr>
          <w:rFonts w:hint="eastAsia" w:ascii="宋体" w:hAnsi="宋体"/>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before="120" w:after="120" w:line="288" w:lineRule="auto"/>
        <w:ind w:left="0"/>
        <w:jc w:val="both"/>
        <w:rPr>
          <w:rFonts w:hint="default"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附件一：需求书</w:t>
      </w:r>
    </w:p>
    <w:p>
      <w:pPr>
        <w:spacing w:before="120" w:after="120" w:line="288" w:lineRule="auto"/>
        <w:ind w:left="0"/>
        <w:jc w:val="center"/>
        <w:rPr>
          <w:rFonts w:hint="eastAsia" w:ascii="仿宋" w:hAnsi="仿宋" w:eastAsia="仿宋" w:cs="仿宋"/>
          <w:b/>
          <w:kern w:val="0"/>
          <w:sz w:val="24"/>
          <w:szCs w:val="24"/>
        </w:rPr>
      </w:pPr>
      <w:r>
        <w:rPr>
          <w:rFonts w:hint="eastAsia" w:ascii="仿宋" w:hAnsi="仿宋" w:eastAsia="仿宋" w:cs="仿宋"/>
          <w:b/>
          <w:kern w:val="0"/>
          <w:sz w:val="24"/>
          <w:szCs w:val="24"/>
        </w:rPr>
        <w:t>公共运营公司夏季送清凉慰问采购需求书</w:t>
      </w:r>
    </w:p>
    <w:p>
      <w:pPr>
        <w:keepNext w:val="0"/>
        <w:keepLines w:val="0"/>
        <w:pageBreakBefore w:val="0"/>
        <w:kinsoku/>
        <w:wordWrap/>
        <w:overflowPunct/>
        <w:topLinePunct w:val="0"/>
        <w:autoSpaceDE/>
        <w:autoSpaceDN/>
        <w:bidi w:val="0"/>
        <w:adjustRightInd/>
        <w:snapToGrid/>
        <w:spacing w:before="320" w:after="120" w:line="360" w:lineRule="auto"/>
        <w:ind w:left="0" w:firstLine="482" w:firstLineChars="200"/>
        <w:jc w:val="left"/>
        <w:textAlignment w:val="auto"/>
        <w:outlineLvl w:val="1"/>
        <w:rPr>
          <w:rFonts w:hint="eastAsia" w:ascii="仿宋" w:hAnsi="仿宋" w:eastAsia="仿宋" w:cs="仿宋"/>
          <w:kern w:val="0"/>
          <w:sz w:val="24"/>
          <w:szCs w:val="24"/>
        </w:rPr>
      </w:pPr>
      <w:bookmarkStart w:id="95" w:name="heading_0"/>
      <w:r>
        <w:rPr>
          <w:rFonts w:hint="eastAsia" w:ascii="仿宋" w:hAnsi="仿宋" w:eastAsia="仿宋" w:cs="仿宋"/>
          <w:b/>
          <w:kern w:val="0"/>
          <w:sz w:val="24"/>
          <w:szCs w:val="24"/>
        </w:rPr>
        <w:t>一、总体质量要求</w:t>
      </w:r>
      <w:bookmarkEnd w:id="95"/>
    </w:p>
    <w:p>
      <w:pPr>
        <w:keepNext w:val="0"/>
        <w:keepLines w:val="0"/>
        <w:pageBreakBefore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1.供应商严格执行《中华人民共和国食品安全法》、《中华人民共和国食品安全法实施条例》、《餐饮服务食品安全监督管理办法》和《餐饮业和集体用餐配送单位卫生规范》等法律法规的规定，</w:t>
      </w:r>
      <w:r>
        <w:rPr>
          <w:rFonts w:hint="eastAsia" w:ascii="仿宋" w:hAnsi="仿宋" w:eastAsia="仿宋" w:cs="仿宋"/>
          <w:kern w:val="0"/>
          <w:sz w:val="24"/>
          <w:szCs w:val="24"/>
        </w:rPr>
        <w:t>所有供应的面包、饮品须符合国家食品安全相关法律法规及行业标准，确保安全、新鲜、合格，无过期、变质、三无、污染等问题；实际供货须与</w:t>
      </w:r>
      <w:r>
        <w:rPr>
          <w:rFonts w:hint="eastAsia" w:ascii="仿宋" w:hAnsi="仿宋" w:eastAsia="仿宋" w:cs="仿宋"/>
          <w:kern w:val="0"/>
          <w:sz w:val="24"/>
          <w:szCs w:val="24"/>
          <w:lang w:val="en-US" w:eastAsia="zh-CN"/>
        </w:rPr>
        <w:t>提供的配送方案内产品</w:t>
      </w:r>
      <w:r>
        <w:rPr>
          <w:rFonts w:hint="eastAsia" w:ascii="仿宋" w:hAnsi="仿宋" w:eastAsia="仿宋" w:cs="仿宋"/>
          <w:kern w:val="0"/>
          <w:sz w:val="24"/>
          <w:szCs w:val="24"/>
        </w:rPr>
        <w:t>保持一致，不得降质、减量、更换品牌，严格遵守单份产品规格要求，满足采购方福利使用需求。</w:t>
      </w:r>
    </w:p>
    <w:p>
      <w:pPr>
        <w:keepNext w:val="0"/>
        <w:keepLines w:val="0"/>
        <w:pageBreakBefore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b/>
          <w:kern w:val="0"/>
          <w:sz w:val="24"/>
          <w:szCs w:val="24"/>
          <w:lang w:val="en-US" w:eastAsia="zh-CN"/>
        </w:rPr>
      </w:pPr>
      <w:r>
        <w:rPr>
          <w:rFonts w:hint="eastAsia" w:ascii="仿宋" w:hAnsi="仿宋" w:eastAsia="仿宋" w:cs="仿宋"/>
          <w:kern w:val="0"/>
          <w:sz w:val="24"/>
          <w:szCs w:val="24"/>
          <w:lang w:val="en-US" w:eastAsia="zh-CN"/>
        </w:rPr>
        <w:t>二、</w:t>
      </w:r>
      <w:r>
        <w:rPr>
          <w:rFonts w:hint="eastAsia" w:ascii="仿宋" w:hAnsi="仿宋" w:eastAsia="仿宋" w:cs="仿宋"/>
          <w:b/>
          <w:kern w:val="0"/>
          <w:sz w:val="24"/>
          <w:szCs w:val="24"/>
          <w:lang w:val="en-US" w:eastAsia="zh-CN"/>
        </w:rPr>
        <w:t>资格要求</w:t>
      </w:r>
    </w:p>
    <w:p>
      <w:pPr>
        <w:keepNext w:val="0"/>
        <w:keepLines w:val="0"/>
        <w:pageBreakBefore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1.具有独立法人资格或其他组织；</w:t>
      </w:r>
    </w:p>
    <w:p>
      <w:pPr>
        <w:keepNext w:val="0"/>
        <w:keepLines w:val="0"/>
        <w:pageBreakBefore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2.持有有效的食品经营许可证/食品生产许可证；</w:t>
      </w:r>
    </w:p>
    <w:p>
      <w:pPr>
        <w:keepNext w:val="0"/>
        <w:keepLines w:val="0"/>
        <w:pageBreakBefore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3.具有配送能力，能按时保质送达，近3年具备3个或以上食品类供应项目业绩；</w:t>
      </w:r>
    </w:p>
    <w:p>
      <w:pPr>
        <w:keepNext w:val="0"/>
        <w:keepLines w:val="0"/>
        <w:pageBreakBefore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4.近 3 年无食品安全事故，无严重违法失信记录。</w:t>
      </w:r>
    </w:p>
    <w:p>
      <w:pPr>
        <w:keepNext w:val="0"/>
        <w:keepLines w:val="0"/>
        <w:pageBreakBefore w:val="0"/>
        <w:kinsoku/>
        <w:wordWrap/>
        <w:overflowPunct/>
        <w:topLinePunct w:val="0"/>
        <w:autoSpaceDE/>
        <w:autoSpaceDN/>
        <w:bidi w:val="0"/>
        <w:adjustRightInd/>
        <w:snapToGrid/>
        <w:spacing w:before="120" w:after="120" w:line="360" w:lineRule="auto"/>
        <w:ind w:left="0" w:firstLine="482" w:firstLineChars="200"/>
        <w:jc w:val="left"/>
        <w:textAlignment w:val="auto"/>
        <w:rPr>
          <w:rFonts w:hint="eastAsia"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三、采购需求</w:t>
      </w:r>
    </w:p>
    <w:tbl>
      <w:tblPr>
        <w:tblStyle w:val="14"/>
        <w:tblW w:w="83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21"/>
        <w:gridCol w:w="2182"/>
        <w:gridCol w:w="777"/>
        <w:gridCol w:w="824"/>
        <w:gridCol w:w="1110"/>
        <w:gridCol w:w="1111"/>
        <w:gridCol w:w="11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0" w:hRule="atLeast"/>
        </w:trPr>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序号</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地点</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单次份数</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合计份数</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预算单价（元）</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合计预算金额（元）</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0" w:hRule="atLeast"/>
        </w:trPr>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前河一期管理房</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83</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830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4980</w:t>
            </w:r>
          </w:p>
        </w:tc>
        <w:tc>
          <w:tcPr>
            <w:tcW w:w="111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cs="宋体"/>
                <w:i w:val="0"/>
                <w:color w:val="000000"/>
                <w:kern w:val="0"/>
                <w:sz w:val="18"/>
                <w:szCs w:val="18"/>
                <w:u w:val="none"/>
                <w:lang w:val="en-US" w:eastAsia="zh-CN" w:bidi="ar"/>
              </w:rPr>
              <w:t>预计</w:t>
            </w:r>
            <w:r>
              <w:rPr>
                <w:rFonts w:hint="eastAsia" w:ascii="宋体" w:hAnsi="宋体" w:eastAsia="宋体" w:cs="宋体"/>
                <w:i w:val="0"/>
                <w:color w:val="000000"/>
                <w:kern w:val="0"/>
                <w:sz w:val="18"/>
                <w:szCs w:val="18"/>
                <w:u w:val="none"/>
                <w:lang w:val="en-US" w:eastAsia="zh-CN" w:bidi="ar"/>
              </w:rPr>
              <w:t>配送频率：5-9月，每月2次，合计10次。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0" w:hRule="atLeast"/>
        </w:trPr>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2</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旅游路苗圃</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22</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220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1320</w:t>
            </w:r>
          </w:p>
        </w:tc>
        <w:tc>
          <w:tcPr>
            <w:tcW w:w="111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0" w:hRule="atLeast"/>
        </w:trPr>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南屏屏工二路工程部仓库</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32</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320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1920</w:t>
            </w:r>
          </w:p>
        </w:tc>
        <w:tc>
          <w:tcPr>
            <w:tcW w:w="111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0" w:hRule="atLeast"/>
        </w:trPr>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香山湖公园</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62</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620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3720</w:t>
            </w:r>
          </w:p>
        </w:tc>
        <w:tc>
          <w:tcPr>
            <w:tcW w:w="111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17" w:hRule="atLeast"/>
        </w:trPr>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5</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香山云道</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105</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1050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6300</w:t>
            </w:r>
          </w:p>
        </w:tc>
        <w:tc>
          <w:tcPr>
            <w:tcW w:w="111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0" w:hRule="atLeast"/>
        </w:trPr>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海湾驿站</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46</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460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2760</w:t>
            </w:r>
          </w:p>
        </w:tc>
        <w:tc>
          <w:tcPr>
            <w:tcW w:w="111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7</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海滨泳场</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82</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820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4920</w:t>
            </w:r>
          </w:p>
        </w:tc>
        <w:tc>
          <w:tcPr>
            <w:tcW w:w="111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8</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海霞驿站</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85</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850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5100</w:t>
            </w:r>
          </w:p>
        </w:tc>
        <w:tc>
          <w:tcPr>
            <w:tcW w:w="111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0" w:hRule="atLeast"/>
        </w:trPr>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9</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海天驿站</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83</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830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rPr>
            </w:pPr>
            <w:r>
              <w:rPr>
                <w:rFonts w:hint="eastAsia" w:ascii="宋体" w:hAnsi="宋体" w:eastAsia="宋体" w:cs="宋体"/>
                <w:i w:val="0"/>
                <w:color w:val="000000"/>
                <w:kern w:val="0"/>
                <w:sz w:val="18"/>
                <w:szCs w:val="18"/>
                <w:u w:val="none"/>
                <w:lang w:val="en-US" w:eastAsia="zh-CN" w:bidi="ar"/>
              </w:rPr>
              <w:t>4980</w:t>
            </w:r>
          </w:p>
        </w:tc>
        <w:tc>
          <w:tcPr>
            <w:tcW w:w="111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480" w:hRule="atLeast"/>
        </w:trPr>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合计</w:t>
            </w:r>
          </w:p>
        </w:tc>
        <w:tc>
          <w:tcPr>
            <w:tcW w:w="7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600</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6000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36000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p>
        </w:tc>
      </w:tr>
    </w:tbl>
    <w:p>
      <w:pPr>
        <w:keepNext w:val="0"/>
        <w:keepLines w:val="0"/>
        <w:pageBreakBefore w:val="0"/>
        <w:kinsoku/>
        <w:wordWrap/>
        <w:overflowPunct/>
        <w:topLinePunct w:val="0"/>
        <w:autoSpaceDE/>
        <w:autoSpaceDN/>
        <w:bidi w:val="0"/>
        <w:adjustRightInd/>
        <w:snapToGrid/>
        <w:spacing w:before="120" w:after="120" w:line="360" w:lineRule="auto"/>
        <w:ind w:left="0" w:firstLine="482" w:firstLineChars="200"/>
        <w:jc w:val="left"/>
        <w:textAlignment w:val="auto"/>
        <w:rPr>
          <w:rFonts w:hint="eastAsia" w:ascii="仿宋" w:hAnsi="仿宋" w:eastAsia="仿宋" w:cs="仿宋"/>
          <w:b/>
          <w:kern w:val="0"/>
          <w:sz w:val="24"/>
          <w:szCs w:val="24"/>
        </w:rPr>
      </w:pPr>
      <w:r>
        <w:rPr>
          <w:rFonts w:hint="eastAsia" w:ascii="仿宋" w:hAnsi="仿宋" w:eastAsia="仿宋" w:cs="仿宋"/>
          <w:b/>
          <w:bCs/>
          <w:kern w:val="0"/>
          <w:sz w:val="24"/>
          <w:szCs w:val="24"/>
          <w:lang w:val="en-US" w:eastAsia="zh-CN"/>
        </w:rPr>
        <w:t>四、</w:t>
      </w:r>
      <w:r>
        <w:rPr>
          <w:rFonts w:hint="eastAsia" w:ascii="仿宋" w:hAnsi="仿宋" w:eastAsia="仿宋" w:cs="仿宋"/>
          <w:b/>
          <w:bCs/>
          <w:kern w:val="0"/>
          <w:sz w:val="24"/>
          <w:szCs w:val="24"/>
        </w:rPr>
        <w:t>采购需求标</w:t>
      </w:r>
      <w:r>
        <w:rPr>
          <w:rFonts w:hint="eastAsia" w:ascii="仿宋" w:hAnsi="仿宋" w:eastAsia="仿宋" w:cs="仿宋"/>
          <w:b/>
          <w:kern w:val="0"/>
          <w:sz w:val="24"/>
          <w:szCs w:val="24"/>
        </w:rPr>
        <w:t>准</w:t>
      </w:r>
    </w:p>
    <w:p>
      <w:pPr>
        <w:keepNext w:val="0"/>
        <w:keepLines w:val="0"/>
        <w:pageBreakBefore w:val="0"/>
        <w:kinsoku/>
        <w:wordWrap/>
        <w:overflowPunct/>
        <w:topLinePunct w:val="0"/>
        <w:autoSpaceDE/>
        <w:autoSpaceDN/>
        <w:bidi w:val="0"/>
        <w:adjustRightInd/>
        <w:snapToGrid/>
        <w:spacing w:before="120" w:after="120" w:line="360" w:lineRule="auto"/>
        <w:ind w:left="0" w:firstLine="482" w:firstLineChars="200"/>
        <w:jc w:val="left"/>
        <w:textAlignment w:val="auto"/>
        <w:rPr>
          <w:rFonts w:hint="eastAsia"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1.产品标准</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2" w:firstLineChars="200"/>
        <w:jc w:val="left"/>
        <w:textAlignment w:val="auto"/>
        <w:rPr>
          <w:rFonts w:hint="eastAsia"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1.1 面包/蛋糕类</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①独立包装，单个净含量≥80g；</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②产品保质期≥24小时，配送当日为新鲜产品；</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③产品符合GB 7099-2015《食品安全国家标准 糕点、面包》要求，生产、加工、包装、贮存、运输等环节均符合食品安全相关规定，产品无异味、发霉、异物、变质等情况；</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④产品须为具备合法食品生产资质企业生产，质量稳定，品质优良，满足市场主流消费品质要求。</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2" w:firstLineChars="200"/>
        <w:jc w:val="left"/>
        <w:textAlignment w:val="auto"/>
        <w:rPr>
          <w:rFonts w:hint="eastAsia"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1.2 饮品类（牛奶/饮料/果汁任选）</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①独立包装，净含量≥250ml；</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②产品保质期≥3天，配送时剩余保质期不少于2/3；</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③产品符合对应食品安全国家标准，乳制品执行GB 25190-2010、GB 25191-2010，饮料类执行GB 7101-2022等相关标准；</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④产品包装完好，无胀包、漏液、浑浊、异味、变质等问题，各项指标合格。</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2" w:firstLineChars="200"/>
        <w:jc w:val="left"/>
        <w:textAlignment w:val="auto"/>
        <w:rPr>
          <w:rFonts w:hint="eastAsia"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1.3 组合要求</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①1 份套餐包含1份面包/蛋糕+1份饮品；</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②单份套餐总价≤6元。</w:t>
      </w:r>
    </w:p>
    <w:p>
      <w:pPr>
        <w:keepNext w:val="0"/>
        <w:keepLines w:val="0"/>
        <w:pageBreakBefore w:val="0"/>
        <w:numPr>
          <w:ilvl w:val="0"/>
          <w:numId w:val="0"/>
        </w:numPr>
        <w:kinsoku/>
        <w:wordWrap/>
        <w:overflowPunct/>
        <w:topLinePunct w:val="0"/>
        <w:autoSpaceDE/>
        <w:autoSpaceDN/>
        <w:bidi w:val="0"/>
        <w:adjustRightInd/>
        <w:snapToGrid/>
        <w:spacing w:before="120" w:after="120" w:line="360" w:lineRule="auto"/>
        <w:ind w:leftChars="200"/>
        <w:jc w:val="left"/>
        <w:textAlignment w:val="auto"/>
        <w:rPr>
          <w:rFonts w:hint="eastAsia" w:ascii="仿宋" w:hAnsi="仿宋" w:eastAsia="仿宋" w:cs="仿宋"/>
          <w:b/>
          <w:kern w:val="0"/>
          <w:sz w:val="24"/>
          <w:szCs w:val="24"/>
          <w:lang w:val="en-US" w:eastAsia="zh-CN"/>
        </w:rPr>
      </w:pPr>
      <w:r>
        <w:rPr>
          <w:rFonts w:hint="eastAsia" w:ascii="仿宋" w:hAnsi="仿宋" w:eastAsia="仿宋" w:cs="仿宋"/>
          <w:b/>
          <w:kern w:val="0"/>
          <w:sz w:val="24"/>
          <w:szCs w:val="24"/>
          <w:lang w:val="en-US" w:eastAsia="zh-CN"/>
        </w:rPr>
        <w:t>2.服务要求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b w:val="0"/>
          <w:bCs/>
          <w:color w:val="1F2329"/>
          <w:kern w:val="0"/>
          <w:sz w:val="24"/>
          <w:szCs w:val="24"/>
          <w:lang w:val="en-US" w:eastAsia="zh-CN"/>
        </w:rPr>
      </w:pPr>
      <w:r>
        <w:rPr>
          <w:rFonts w:hint="eastAsia" w:ascii="仿宋" w:hAnsi="仿宋" w:eastAsia="仿宋" w:cs="仿宋"/>
          <w:b w:val="0"/>
          <w:bCs/>
          <w:color w:val="1F2329"/>
          <w:kern w:val="0"/>
          <w:sz w:val="24"/>
          <w:szCs w:val="24"/>
          <w:lang w:val="en-US" w:eastAsia="zh-CN"/>
        </w:rPr>
        <w:t>①每日固定时间配送到位；</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b w:val="0"/>
          <w:bCs/>
          <w:color w:val="1F2329"/>
          <w:kern w:val="0"/>
          <w:sz w:val="24"/>
          <w:szCs w:val="24"/>
          <w:lang w:val="en-US" w:eastAsia="zh-CN"/>
        </w:rPr>
      </w:pPr>
      <w:r>
        <w:rPr>
          <w:rFonts w:hint="eastAsia" w:ascii="仿宋" w:hAnsi="仿宋" w:eastAsia="仿宋" w:cs="仿宋"/>
          <w:b w:val="0"/>
          <w:bCs/>
          <w:color w:val="1F2329"/>
          <w:kern w:val="0"/>
          <w:sz w:val="24"/>
          <w:szCs w:val="24"/>
          <w:lang w:val="en-US" w:eastAsia="zh-CN"/>
        </w:rPr>
        <w:t>②提供多口味轮换，避免长期单一；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仿宋" w:hAnsi="仿宋" w:eastAsia="仿宋" w:cs="仿宋"/>
          <w:b w:val="0"/>
          <w:bCs/>
          <w:color w:val="1F2329"/>
          <w:kern w:val="0"/>
          <w:sz w:val="24"/>
          <w:szCs w:val="24"/>
          <w:lang w:val="en-US" w:eastAsia="zh-CN"/>
        </w:rPr>
      </w:pPr>
      <w:r>
        <w:rPr>
          <w:rFonts w:hint="eastAsia" w:ascii="仿宋" w:hAnsi="仿宋" w:eastAsia="仿宋" w:cs="仿宋"/>
          <w:b w:val="0"/>
          <w:bCs/>
          <w:color w:val="1F2329"/>
          <w:kern w:val="0"/>
          <w:sz w:val="24"/>
          <w:szCs w:val="24"/>
          <w:lang w:val="en-US" w:eastAsia="zh-CN"/>
        </w:rPr>
        <w:t>③变质、过期无条件退换。</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2" w:firstLineChars="200"/>
        <w:jc w:val="left"/>
        <w:textAlignment w:val="auto"/>
        <w:rPr>
          <w:rFonts w:hint="default"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五、产品质量保证措施</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严禁供应过期、变质、三无（无生产日期、无质量合格证、无生产厂家）、无标签或标签不全的产品，严禁使用违规添加剂、过期原料生产加工</w:t>
      </w:r>
      <w:r>
        <w:rPr>
          <w:rFonts w:hint="eastAsia" w:ascii="仿宋" w:hAnsi="仿宋" w:eastAsia="仿宋" w:cs="仿宋"/>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2.中标供应商须建立完善的原料进货查验制度，留存原料供应商资质、原料检验报告等相关凭证，确保原料来源合法、合格；采购方有权随时抽查原料相关资料及储存情况</w:t>
      </w:r>
      <w:r>
        <w:rPr>
          <w:rFonts w:hint="eastAsia" w:ascii="仿宋" w:hAnsi="仿宋" w:eastAsia="仿宋" w:cs="仿宋"/>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3.严禁使用过期面粉、油脂、乳制品、添加剂等原料，严禁使用不合格、污染或来源不明的原料生产加工产品</w:t>
      </w:r>
      <w:r>
        <w:rPr>
          <w:rFonts w:hint="eastAsia" w:ascii="仿宋" w:hAnsi="仿宋" w:eastAsia="仿宋" w:cs="仿宋"/>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rPr>
        <w:t>饮品类产品须在保质期内供应，且剩余保质期不少于总保质期的2/3；严禁供应临近过期（剩余保质期不足总保质期1/3）或已过期的饮品</w:t>
      </w:r>
      <w:r>
        <w:rPr>
          <w:rFonts w:hint="eastAsia" w:ascii="仿宋" w:hAnsi="仿宋" w:eastAsia="仿宋" w:cs="仿宋"/>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5.</w:t>
      </w:r>
      <w:r>
        <w:rPr>
          <w:rFonts w:hint="eastAsia" w:ascii="仿宋" w:hAnsi="仿宋" w:eastAsia="仿宋" w:cs="仿宋"/>
          <w:kern w:val="0"/>
          <w:sz w:val="24"/>
          <w:szCs w:val="24"/>
        </w:rPr>
        <w:t>产品配送过程中须做好温度控制、密封包装，防止运输过程中污染、变质、漏液，确保送达时产品状态与生产时一致</w:t>
      </w:r>
      <w:r>
        <w:rPr>
          <w:rFonts w:hint="eastAsia" w:ascii="仿宋" w:hAnsi="仿宋" w:eastAsia="仿宋" w:cs="仿宋"/>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b w:val="0"/>
          <w:bCs w:val="0"/>
          <w:kern w:val="0"/>
          <w:sz w:val="24"/>
          <w:szCs w:val="24"/>
          <w:highlight w:val="yellow"/>
          <w:lang w:eastAsia="zh-CN"/>
        </w:rPr>
      </w:pPr>
      <w:r>
        <w:rPr>
          <w:rFonts w:hint="eastAsia" w:ascii="仿宋" w:hAnsi="仿宋" w:eastAsia="仿宋" w:cs="仿宋"/>
          <w:b w:val="0"/>
          <w:bCs w:val="0"/>
          <w:kern w:val="0"/>
          <w:sz w:val="24"/>
          <w:szCs w:val="24"/>
          <w:highlight w:val="yellow"/>
          <w:lang w:val="en-US" w:eastAsia="zh-CN"/>
        </w:rPr>
        <w:t>6.送货前</w:t>
      </w:r>
      <w:r>
        <w:rPr>
          <w:rFonts w:hint="eastAsia" w:ascii="仿宋" w:hAnsi="仿宋" w:eastAsia="仿宋" w:cs="仿宋"/>
          <w:b w:val="0"/>
          <w:bCs w:val="0"/>
          <w:kern w:val="0"/>
          <w:sz w:val="24"/>
          <w:szCs w:val="24"/>
          <w:highlight w:val="yellow"/>
        </w:rPr>
        <w:t>，供应商须提交</w:t>
      </w:r>
      <w:r>
        <w:rPr>
          <w:rFonts w:hint="eastAsia" w:ascii="仿宋" w:hAnsi="仿宋" w:eastAsia="仿宋" w:cs="仿宋"/>
          <w:b w:val="0"/>
          <w:bCs w:val="0"/>
          <w:kern w:val="0"/>
          <w:sz w:val="24"/>
          <w:szCs w:val="24"/>
          <w:highlight w:val="yellow"/>
          <w:lang w:val="en-US" w:eastAsia="zh-CN"/>
        </w:rPr>
        <w:t>方案确认</w:t>
      </w:r>
      <w:r>
        <w:rPr>
          <w:rFonts w:hint="eastAsia" w:ascii="仿宋" w:hAnsi="仿宋" w:eastAsia="仿宋" w:cs="仿宋"/>
          <w:b w:val="0"/>
          <w:bCs w:val="0"/>
          <w:kern w:val="0"/>
          <w:sz w:val="24"/>
          <w:szCs w:val="24"/>
          <w:highlight w:val="yellow"/>
          <w:lang w:eastAsia="zh-CN"/>
        </w:rPr>
        <w:t>；</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7.</w:t>
      </w:r>
      <w:r>
        <w:rPr>
          <w:rFonts w:hint="eastAsia" w:ascii="仿宋" w:hAnsi="仿宋" w:eastAsia="仿宋" w:cs="仿宋"/>
          <w:kern w:val="0"/>
          <w:sz w:val="24"/>
          <w:szCs w:val="24"/>
        </w:rPr>
        <w:t>实际供货的产品，其品牌、规格、净含量、口感、配料、包装等须与</w:t>
      </w:r>
      <w:r>
        <w:rPr>
          <w:rFonts w:hint="eastAsia" w:ascii="仿宋" w:hAnsi="仿宋" w:eastAsia="仿宋" w:cs="仿宋"/>
          <w:kern w:val="0"/>
          <w:sz w:val="24"/>
          <w:szCs w:val="24"/>
          <w:lang w:val="en-US" w:eastAsia="zh-CN"/>
        </w:rPr>
        <w:t>经确认的产品</w:t>
      </w:r>
      <w:r>
        <w:rPr>
          <w:rFonts w:hint="eastAsia" w:ascii="仿宋" w:hAnsi="仿宋" w:eastAsia="仿宋" w:cs="仿宋"/>
          <w:kern w:val="0"/>
          <w:sz w:val="24"/>
          <w:szCs w:val="24"/>
        </w:rPr>
        <w:t>完全一致，不得擅自更换品牌、降低规格、减少重量或改变配料</w:t>
      </w:r>
      <w:r>
        <w:rPr>
          <w:rFonts w:hint="eastAsia" w:ascii="仿宋" w:hAnsi="仿宋" w:eastAsia="仿宋" w:cs="仿宋"/>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9.</w:t>
      </w:r>
      <w:r>
        <w:rPr>
          <w:rFonts w:hint="eastAsia" w:ascii="仿宋" w:hAnsi="仿宋" w:eastAsia="仿宋" w:cs="仿宋"/>
          <w:kern w:val="0"/>
          <w:sz w:val="24"/>
          <w:szCs w:val="24"/>
        </w:rPr>
        <w:t>若实际到货与样品不符，视为供货不合格，采购方有权拒收该批次产品、要求供应商无条件更换，并追究其违约责任；累计2次及以上不符，采购方有权终止合同。</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2" w:firstLineChars="200"/>
        <w:jc w:val="left"/>
        <w:textAlignment w:val="auto"/>
        <w:rPr>
          <w:rFonts w:hint="default"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六、送货要求</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1.由供应商分批次配送至配送点，由采购方指定的收货人验收确认并在收货单据上签字；</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.配送时，采购方安排专人进行现场验收，重点检查产品生产日期、保质期、外观、包装、数量及完好情况，验收合格后方可签收；不合格产品当场拒收，供应商须及时补送合格产品</w:t>
      </w:r>
      <w:r>
        <w:rPr>
          <w:rFonts w:hint="eastAsia" w:ascii="仿宋" w:hAnsi="仿宋" w:eastAsia="仿宋" w:cs="仿宋"/>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.采购方不定期开展抽样检查，包括感官检查（口感、外观、气味）、称重检查、资质抽查（检验报告、生产日期等），抽检不合格的，整批产品拒收，供应商承担全部损失</w:t>
      </w:r>
      <w:r>
        <w:rPr>
          <w:rFonts w:hint="eastAsia" w:ascii="仿宋" w:hAnsi="仿宋" w:eastAsia="仿宋" w:cs="仿宋"/>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4</w:t>
      </w:r>
      <w:r>
        <w:rPr>
          <w:rFonts w:hint="eastAsia" w:ascii="仿宋" w:hAnsi="仿宋" w:eastAsia="仿宋" w:cs="仿宋"/>
          <w:kern w:val="0"/>
          <w:sz w:val="24"/>
          <w:szCs w:val="24"/>
        </w:rPr>
        <w:t>.验收过程中发现产品发霉、异味、异物、变质、漏液等问题，供应商须无条件退换该批次产品，并承担由此给采购方造成的一切损失。</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2" w:firstLineChars="200"/>
        <w:jc w:val="left"/>
        <w:textAlignment w:val="auto"/>
        <w:rPr>
          <w:rFonts w:hint="default" w:ascii="仿宋" w:hAnsi="仿宋" w:eastAsia="仿宋" w:cs="仿宋"/>
          <w:b/>
          <w:bCs/>
          <w:kern w:val="0"/>
          <w:sz w:val="24"/>
          <w:szCs w:val="24"/>
          <w:lang w:val="en-US" w:eastAsia="zh-CN"/>
        </w:rPr>
      </w:pPr>
      <w:r>
        <w:rPr>
          <w:rFonts w:hint="eastAsia" w:ascii="仿宋" w:hAnsi="仿宋" w:eastAsia="仿宋" w:cs="仿宋"/>
          <w:b/>
          <w:bCs/>
          <w:kern w:val="0"/>
          <w:sz w:val="24"/>
          <w:szCs w:val="24"/>
          <w:lang w:val="en-US" w:eastAsia="zh-CN"/>
        </w:rPr>
        <w:t>七、安全保障</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lang w:eastAsia="zh-CN"/>
        </w:rPr>
      </w:pPr>
      <w:r>
        <w:rPr>
          <w:rFonts w:hint="eastAsia" w:ascii="仿宋" w:hAnsi="仿宋" w:eastAsia="仿宋" w:cs="仿宋"/>
          <w:kern w:val="0"/>
          <w:sz w:val="24"/>
          <w:szCs w:val="24"/>
        </w:rPr>
        <w:t>1.若因供应商供应的产品质量问题，引发食品安全事故（如人员食物中毒、肠胃不适等），由供应商承担全部责任，包括但不限于医疗费用、赔偿费用、行政处罚费用、声誉损失等</w:t>
      </w:r>
      <w:r>
        <w:rPr>
          <w:rFonts w:hint="eastAsia" w:ascii="仿宋" w:hAnsi="仿宋" w:eastAsia="仿宋" w:cs="仿宋"/>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20" w:after="120" w:line="360" w:lineRule="auto"/>
        <w:ind w:left="0" w:firstLine="480" w:firstLineChars="200"/>
        <w:jc w:val="left"/>
        <w:textAlignment w:val="auto"/>
        <w:rPr>
          <w:rFonts w:hint="eastAsia" w:ascii="仿宋" w:hAnsi="仿宋" w:eastAsia="仿宋" w:cs="仿宋"/>
          <w:kern w:val="0"/>
          <w:sz w:val="24"/>
          <w:szCs w:val="24"/>
        </w:rPr>
      </w:pPr>
      <w:r>
        <w:rPr>
          <w:rFonts w:hint="eastAsia" w:ascii="仿宋" w:hAnsi="仿宋" w:eastAsia="仿宋" w:cs="仿宋"/>
          <w:kern w:val="0"/>
          <w:sz w:val="24"/>
          <w:szCs w:val="24"/>
        </w:rPr>
        <w:t>2.出现严重食品安全问题（如批量变质、违规添加、重大食物中毒事件），采购方立即终止合同，将供应商列入单位采购黑名单，不再与其合作，并保留追究其法律责任的权利。</w:t>
      </w:r>
      <w:bookmarkStart w:id="96" w:name="_GoBack"/>
      <w:bookmarkEnd w:id="96"/>
    </w:p>
    <w:p>
      <w:pPr>
        <w:spacing w:before="120" w:after="120" w:line="288" w:lineRule="auto"/>
        <w:ind w:left="0"/>
        <w:jc w:val="left"/>
        <w:rPr>
          <w:rFonts w:hint="eastAsia" w:ascii="仿宋" w:hAnsi="仿宋" w:eastAsia="仿宋" w:cs="仿宋"/>
          <w:kern w:val="0"/>
          <w:sz w:val="24"/>
          <w:szCs w:val="24"/>
        </w:rPr>
      </w:pPr>
    </w:p>
    <w:p>
      <w:pPr>
        <w:rPr>
          <w:rFonts w:hint="eastAsia"/>
          <w:lang w:val="en-US" w:eastAsia="zh-CN"/>
        </w:rPr>
      </w:pPr>
    </w:p>
    <w:sectPr>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38BD52"/>
    <w:multiLevelType w:val="singleLevel"/>
    <w:tmpl w:val="B438BD52"/>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1F6306B"/>
    <w:rsid w:val="022B3855"/>
    <w:rsid w:val="025E0102"/>
    <w:rsid w:val="04103632"/>
    <w:rsid w:val="04B61AA3"/>
    <w:rsid w:val="05B1555F"/>
    <w:rsid w:val="0671572A"/>
    <w:rsid w:val="067D1626"/>
    <w:rsid w:val="0841052C"/>
    <w:rsid w:val="097558B4"/>
    <w:rsid w:val="09770F2A"/>
    <w:rsid w:val="0A261215"/>
    <w:rsid w:val="0A4F74B7"/>
    <w:rsid w:val="0C1C2D99"/>
    <w:rsid w:val="0D8F41B1"/>
    <w:rsid w:val="0DB93286"/>
    <w:rsid w:val="0DCB0AAA"/>
    <w:rsid w:val="0E49720A"/>
    <w:rsid w:val="0EC420D1"/>
    <w:rsid w:val="0EC93FBB"/>
    <w:rsid w:val="10E91871"/>
    <w:rsid w:val="11DD4B3A"/>
    <w:rsid w:val="129618DC"/>
    <w:rsid w:val="14DC73BB"/>
    <w:rsid w:val="14DF1426"/>
    <w:rsid w:val="14EB65E0"/>
    <w:rsid w:val="1588048B"/>
    <w:rsid w:val="168857E4"/>
    <w:rsid w:val="16D97ADD"/>
    <w:rsid w:val="16E45AEB"/>
    <w:rsid w:val="177F1319"/>
    <w:rsid w:val="17DF53E0"/>
    <w:rsid w:val="1AA32475"/>
    <w:rsid w:val="1B013FAA"/>
    <w:rsid w:val="1B513E4B"/>
    <w:rsid w:val="1BDC56E2"/>
    <w:rsid w:val="1C186A2A"/>
    <w:rsid w:val="1D556636"/>
    <w:rsid w:val="1DCE44E0"/>
    <w:rsid w:val="202F7D49"/>
    <w:rsid w:val="210322A7"/>
    <w:rsid w:val="2121293A"/>
    <w:rsid w:val="23EC6A93"/>
    <w:rsid w:val="24957E2A"/>
    <w:rsid w:val="259F18F8"/>
    <w:rsid w:val="26497039"/>
    <w:rsid w:val="272E6E27"/>
    <w:rsid w:val="27540AC6"/>
    <w:rsid w:val="278065CC"/>
    <w:rsid w:val="287C62B4"/>
    <w:rsid w:val="28C56911"/>
    <w:rsid w:val="291B3A89"/>
    <w:rsid w:val="2B3335F6"/>
    <w:rsid w:val="2BED4BFF"/>
    <w:rsid w:val="2C747F9D"/>
    <w:rsid w:val="2D022F1E"/>
    <w:rsid w:val="2E0A4EF7"/>
    <w:rsid w:val="2EBF0175"/>
    <w:rsid w:val="2F8C5B34"/>
    <w:rsid w:val="3035528F"/>
    <w:rsid w:val="303C5477"/>
    <w:rsid w:val="305D6B4A"/>
    <w:rsid w:val="31BE38D0"/>
    <w:rsid w:val="329B19DD"/>
    <w:rsid w:val="338C409C"/>
    <w:rsid w:val="347C7347"/>
    <w:rsid w:val="36991F33"/>
    <w:rsid w:val="36D13171"/>
    <w:rsid w:val="37FE2A53"/>
    <w:rsid w:val="38812374"/>
    <w:rsid w:val="38F12B0E"/>
    <w:rsid w:val="38F34C92"/>
    <w:rsid w:val="3BDD1A9B"/>
    <w:rsid w:val="3BF341D2"/>
    <w:rsid w:val="3DDA2166"/>
    <w:rsid w:val="3E7E4135"/>
    <w:rsid w:val="3EC52271"/>
    <w:rsid w:val="3ED65B24"/>
    <w:rsid w:val="3F676A9B"/>
    <w:rsid w:val="408829A2"/>
    <w:rsid w:val="40DF147E"/>
    <w:rsid w:val="410E417C"/>
    <w:rsid w:val="43F34101"/>
    <w:rsid w:val="44086874"/>
    <w:rsid w:val="4483748A"/>
    <w:rsid w:val="46291EEF"/>
    <w:rsid w:val="467170E3"/>
    <w:rsid w:val="46B354B7"/>
    <w:rsid w:val="47C0473A"/>
    <w:rsid w:val="484138CD"/>
    <w:rsid w:val="4B0F1E17"/>
    <w:rsid w:val="4C032E3E"/>
    <w:rsid w:val="4C8E76F1"/>
    <w:rsid w:val="4D1202BB"/>
    <w:rsid w:val="4E8C1884"/>
    <w:rsid w:val="4F971260"/>
    <w:rsid w:val="5067110C"/>
    <w:rsid w:val="506979EA"/>
    <w:rsid w:val="507D3B91"/>
    <w:rsid w:val="508467D4"/>
    <w:rsid w:val="50DB0041"/>
    <w:rsid w:val="50E46FDC"/>
    <w:rsid w:val="518A0729"/>
    <w:rsid w:val="54032B60"/>
    <w:rsid w:val="545F0E76"/>
    <w:rsid w:val="551F30DA"/>
    <w:rsid w:val="55233FA3"/>
    <w:rsid w:val="555801ED"/>
    <w:rsid w:val="55AF6717"/>
    <w:rsid w:val="56213D59"/>
    <w:rsid w:val="56DB22E8"/>
    <w:rsid w:val="57852512"/>
    <w:rsid w:val="57AB174E"/>
    <w:rsid w:val="584F6981"/>
    <w:rsid w:val="59A575EF"/>
    <w:rsid w:val="5AC64570"/>
    <w:rsid w:val="5B7B0426"/>
    <w:rsid w:val="5BD82D7C"/>
    <w:rsid w:val="5BE44C27"/>
    <w:rsid w:val="5BFB7194"/>
    <w:rsid w:val="5D497B32"/>
    <w:rsid w:val="5EBE23CD"/>
    <w:rsid w:val="617E685D"/>
    <w:rsid w:val="61A2602F"/>
    <w:rsid w:val="61FF0F78"/>
    <w:rsid w:val="63A6159C"/>
    <w:rsid w:val="63F16E5E"/>
    <w:rsid w:val="64847D61"/>
    <w:rsid w:val="665C30B6"/>
    <w:rsid w:val="66852B3E"/>
    <w:rsid w:val="67183BE9"/>
    <w:rsid w:val="67DE23FD"/>
    <w:rsid w:val="682078ED"/>
    <w:rsid w:val="68B65BF9"/>
    <w:rsid w:val="6A0D3F8C"/>
    <w:rsid w:val="6A934041"/>
    <w:rsid w:val="6B4E5816"/>
    <w:rsid w:val="6BB9773A"/>
    <w:rsid w:val="6BF03405"/>
    <w:rsid w:val="6CD54EA3"/>
    <w:rsid w:val="6D535020"/>
    <w:rsid w:val="73CF0EC4"/>
    <w:rsid w:val="76656426"/>
    <w:rsid w:val="768D0B53"/>
    <w:rsid w:val="76DA30C2"/>
    <w:rsid w:val="775B4F8E"/>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2"/>
    <w:qFormat/>
    <w:uiPriority w:val="0"/>
    <w:pPr>
      <w:spacing w:line="480" w:lineRule="exact"/>
      <w:jc w:val="left"/>
    </w:pPr>
    <w:rPr>
      <w:rFonts w:ascii="宋体" w:hAnsi="宋体"/>
    </w:rPr>
  </w:style>
  <w:style w:type="paragraph" w:styleId="8">
    <w:name w:val="Body Text Indent"/>
    <w:basedOn w:val="1"/>
    <w:link w:val="25"/>
    <w:unhideWhenUsed/>
    <w:qFormat/>
    <w:uiPriority w:val="0"/>
    <w:pPr>
      <w:spacing w:after="120"/>
      <w:ind w:left="420" w:leftChars="200"/>
    </w:pPr>
  </w:style>
  <w:style w:type="paragraph" w:styleId="9">
    <w:name w:val="Plain Text"/>
    <w:basedOn w:val="1"/>
    <w:link w:val="30"/>
    <w:qFormat/>
    <w:uiPriority w:val="0"/>
    <w:pPr>
      <w:spacing w:line="360" w:lineRule="auto"/>
      <w:ind w:firstLine="510"/>
    </w:pPr>
    <w:rPr>
      <w:rFonts w:ascii="宋体" w:hAnsi="Courier New" w:eastAsia="仿宋_GB2312"/>
      <w:sz w:val="24"/>
      <w:szCs w:val="20"/>
    </w:rPr>
  </w:style>
  <w:style w:type="paragraph" w:styleId="10">
    <w:name w:val="Balloon Text"/>
    <w:basedOn w:val="1"/>
    <w:link w:val="27"/>
    <w:qFormat/>
    <w:uiPriority w:val="0"/>
    <w:rPr>
      <w:sz w:val="18"/>
      <w:szCs w:val="18"/>
    </w:rPr>
  </w:style>
  <w:style w:type="paragraph" w:styleId="11">
    <w:name w:val="footer"/>
    <w:basedOn w:val="1"/>
    <w:link w:val="21"/>
    <w:qFormat/>
    <w:uiPriority w:val="99"/>
    <w:pPr>
      <w:tabs>
        <w:tab w:val="center" w:pos="4153"/>
        <w:tab w:val="right" w:pos="8306"/>
      </w:tabs>
      <w:snapToGrid w:val="0"/>
      <w:jc w:val="left"/>
    </w:pPr>
    <w:rPr>
      <w:sz w:val="18"/>
      <w:szCs w:val="18"/>
    </w:rPr>
  </w:style>
  <w:style w:type="paragraph" w:styleId="12">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7"/>
    <w:link w:val="29"/>
    <w:semiHidden/>
    <w:unhideWhenUsed/>
    <w:qFormat/>
    <w:uiPriority w:val="0"/>
    <w:pPr>
      <w:spacing w:after="120" w:line="240" w:lineRule="auto"/>
      <w:ind w:firstLine="420" w:firstLineChars="100"/>
      <w:jc w:val="both"/>
    </w:pPr>
    <w:rPr>
      <w:rFonts w:ascii="Times New Roman" w:hAnsi="Times New Roman"/>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basedOn w:val="16"/>
    <w:qFormat/>
    <w:uiPriority w:val="0"/>
    <w:rPr>
      <w:b/>
      <w:bCs/>
    </w:rPr>
  </w:style>
  <w:style w:type="character" w:styleId="18">
    <w:name w:val="Hyperlink"/>
    <w:basedOn w:val="16"/>
    <w:semiHidden/>
    <w:unhideWhenUsed/>
    <w:qFormat/>
    <w:uiPriority w:val="0"/>
    <w:rPr>
      <w:color w:val="0000FF"/>
      <w:u w:val="single"/>
    </w:rPr>
  </w:style>
  <w:style w:type="paragraph" w:customStyle="1" w:styleId="19">
    <w:name w:val="正文1"/>
    <w:qFormat/>
    <w:uiPriority w:val="0"/>
    <w:pPr>
      <w:jc w:val="both"/>
    </w:pPr>
    <w:rPr>
      <w:rFonts w:ascii="Calibri" w:hAnsi="Calibri" w:eastAsia="宋体" w:cs="宋体"/>
      <w:kern w:val="2"/>
      <w:sz w:val="21"/>
      <w:szCs w:val="21"/>
      <w:lang w:val="en-US" w:eastAsia="zh-CN" w:bidi="ar-SA"/>
    </w:rPr>
  </w:style>
  <w:style w:type="character" w:customStyle="1" w:styleId="20">
    <w:name w:val="页眉 字符"/>
    <w:basedOn w:val="16"/>
    <w:link w:val="12"/>
    <w:qFormat/>
    <w:uiPriority w:val="0"/>
    <w:rPr>
      <w:kern w:val="2"/>
      <w:sz w:val="18"/>
      <w:szCs w:val="18"/>
    </w:rPr>
  </w:style>
  <w:style w:type="character" w:customStyle="1" w:styleId="21">
    <w:name w:val="页脚 字符"/>
    <w:basedOn w:val="16"/>
    <w:link w:val="11"/>
    <w:qFormat/>
    <w:uiPriority w:val="99"/>
    <w:rPr>
      <w:kern w:val="2"/>
      <w:sz w:val="18"/>
      <w:szCs w:val="18"/>
    </w:rPr>
  </w:style>
  <w:style w:type="character" w:customStyle="1" w:styleId="22">
    <w:name w:val="正文文本 字符"/>
    <w:basedOn w:val="16"/>
    <w:link w:val="7"/>
    <w:qFormat/>
    <w:uiPriority w:val="0"/>
    <w:rPr>
      <w:rFonts w:ascii="宋体" w:hAnsi="宋体"/>
      <w:kern w:val="2"/>
      <w:sz w:val="21"/>
      <w:szCs w:val="24"/>
    </w:rPr>
  </w:style>
  <w:style w:type="character" w:customStyle="1" w:styleId="23">
    <w:name w:val="普通 (Web) Char Char"/>
    <w:link w:val="24"/>
    <w:qFormat/>
    <w:uiPriority w:val="0"/>
    <w:rPr>
      <w:rFonts w:ascii="宋体" w:hAnsi="宋体"/>
      <w:sz w:val="24"/>
    </w:rPr>
  </w:style>
  <w:style w:type="paragraph" w:customStyle="1" w:styleId="24">
    <w:name w:val="普通 (Web)"/>
    <w:basedOn w:val="1"/>
    <w:link w:val="23"/>
    <w:qFormat/>
    <w:uiPriority w:val="0"/>
    <w:pPr>
      <w:widowControl/>
      <w:spacing w:before="100" w:beforeAutospacing="1" w:after="100" w:afterAutospacing="1"/>
      <w:jc w:val="left"/>
    </w:pPr>
    <w:rPr>
      <w:rFonts w:ascii="宋体" w:hAnsi="宋体"/>
      <w:kern w:val="0"/>
      <w:sz w:val="24"/>
      <w:szCs w:val="20"/>
    </w:rPr>
  </w:style>
  <w:style w:type="character" w:customStyle="1" w:styleId="25">
    <w:name w:val="正文文本缩进 字符"/>
    <w:basedOn w:val="16"/>
    <w:link w:val="8"/>
    <w:qFormat/>
    <w:uiPriority w:val="0"/>
    <w:rPr>
      <w:kern w:val="2"/>
      <w:sz w:val="21"/>
      <w:szCs w:val="24"/>
    </w:rPr>
  </w:style>
  <w:style w:type="paragraph" w:customStyle="1" w:styleId="26">
    <w:name w:val="Char"/>
    <w:basedOn w:val="1"/>
    <w:qFormat/>
    <w:uiPriority w:val="0"/>
    <w:rPr>
      <w:rFonts w:ascii="Tahoma" w:hAnsi="Tahoma"/>
      <w:sz w:val="24"/>
    </w:rPr>
  </w:style>
  <w:style w:type="character" w:customStyle="1" w:styleId="27">
    <w:name w:val="批注框文本 字符"/>
    <w:basedOn w:val="16"/>
    <w:link w:val="10"/>
    <w:qFormat/>
    <w:uiPriority w:val="0"/>
    <w:rPr>
      <w:kern w:val="2"/>
      <w:sz w:val="18"/>
      <w:szCs w:val="18"/>
    </w:rPr>
  </w:style>
  <w:style w:type="character" w:customStyle="1" w:styleId="28">
    <w:name w:val="标题 1 字符"/>
    <w:basedOn w:val="16"/>
    <w:link w:val="3"/>
    <w:qFormat/>
    <w:uiPriority w:val="0"/>
    <w:rPr>
      <w:b/>
      <w:bCs/>
      <w:kern w:val="44"/>
      <w:sz w:val="44"/>
      <w:szCs w:val="44"/>
    </w:rPr>
  </w:style>
  <w:style w:type="character" w:customStyle="1" w:styleId="29">
    <w:name w:val="正文文本首行缩进 字符"/>
    <w:basedOn w:val="22"/>
    <w:link w:val="13"/>
    <w:semiHidden/>
    <w:qFormat/>
    <w:uiPriority w:val="0"/>
    <w:rPr>
      <w:rFonts w:ascii="宋体" w:hAnsi="宋体"/>
      <w:kern w:val="2"/>
      <w:sz w:val="21"/>
      <w:szCs w:val="24"/>
    </w:rPr>
  </w:style>
  <w:style w:type="character" w:customStyle="1" w:styleId="30">
    <w:name w:val="纯文本 字符"/>
    <w:link w:val="9"/>
    <w:qFormat/>
    <w:uiPriority w:val="0"/>
    <w:rPr>
      <w:rFonts w:ascii="宋体" w:hAnsi="Courier New" w:eastAsia="仿宋_GB2312"/>
      <w:kern w:val="2"/>
      <w:sz w:val="24"/>
    </w:rPr>
  </w:style>
  <w:style w:type="character" w:customStyle="1" w:styleId="31">
    <w:name w:val="font31"/>
    <w:basedOn w:val="16"/>
    <w:qFormat/>
    <w:uiPriority w:val="0"/>
    <w:rPr>
      <w:rFonts w:hint="eastAsia" w:ascii="宋体" w:hAnsi="宋体" w:eastAsia="宋体" w:cs="宋体"/>
      <w:b/>
      <w:color w:val="000000"/>
      <w:sz w:val="14"/>
      <w:szCs w:val="14"/>
      <w:u w:val="none"/>
    </w:rPr>
  </w:style>
  <w:style w:type="character" w:customStyle="1" w:styleId="32">
    <w:name w:val="font01"/>
    <w:basedOn w:val="16"/>
    <w:qFormat/>
    <w:uiPriority w:val="0"/>
    <w:rPr>
      <w:rFonts w:hint="eastAsia" w:ascii="宋体" w:hAnsi="宋体" w:eastAsia="宋体" w:cs="宋体"/>
      <w:color w:val="000000"/>
      <w:sz w:val="14"/>
      <w:szCs w:val="14"/>
      <w:u w:val="none"/>
    </w:rPr>
  </w:style>
  <w:style w:type="paragraph" w:customStyle="1" w:styleId="33">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4">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18</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许丹绮</cp:lastModifiedBy>
  <dcterms:modified xsi:type="dcterms:W3CDTF">2026-04-30T09:11:55Z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