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城市客厅冲凉房门票手腕带</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（珠海正方公共资源运营有限公司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7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珠海正方公共资源运营有限公司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因冲凉房运营需求，需采购一次性防水腕带，采购数量20000条。</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贰万元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20000.00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贰万元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20000.00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城市客厅冲凉房门票手腕带</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2.供应商未被列入“信用中国”网站(www.creditchina.gov.cn)“记录失信被执行人或重大税收违法失信主体或政府采购严重违法失信行为”记录名单；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9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城市客厅冲凉房门票手腕带</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若中标供应商放弃中标资格、不符合中标条件的、因不可抗力不能履行合同或者被查实存在影响中标结果的违法行为等情形，招标人可按照确定的【费率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珠海正方公共资源运营有限公司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 xml:space="preserve">5 </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7</w:t>
      </w:r>
      <w:bookmarkStart w:id="94" w:name="_GoBack"/>
      <w:bookmarkEnd w:id="94"/>
      <w:r>
        <w:rPr>
          <w:rFonts w:hint="eastAsia" w:ascii="宋体" w:hAnsi="宋体" w:eastAsia="宋体" w:cs="宋体"/>
          <w:color w:val="auto"/>
          <w:sz w:val="24"/>
          <w:szCs w:val="24"/>
        </w:rPr>
        <w:t>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15547"/>
      <w:bookmarkStart w:id="3" w:name="_Toc27664"/>
      <w:bookmarkStart w:id="4" w:name="_Toc9199"/>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698"/>
      <w:bookmarkStart w:id="8" w:name="_Toc259090982"/>
      <w:bookmarkStart w:id="9" w:name="_Toc202819878"/>
      <w:bookmarkStart w:id="10" w:name="_Toc17685"/>
      <w:bookmarkStart w:id="11" w:name="_Toc202251700"/>
      <w:bookmarkStart w:id="12" w:name="_Toc503427710"/>
      <w:bookmarkStart w:id="13" w:name="_Toc202820351"/>
      <w:bookmarkStart w:id="14" w:name="_Toc202251075"/>
      <w:bookmarkStart w:id="15" w:name="_Toc202254105"/>
      <w:bookmarkStart w:id="16" w:name="_Toc202816996"/>
      <w:bookmarkStart w:id="17" w:name="_Toc276645579"/>
      <w:bookmarkStart w:id="18" w:name="_Toc15317"/>
      <w:bookmarkStart w:id="19" w:name="_Toc16107"/>
      <w:bookmarkStart w:id="20" w:name="_Toc202252034"/>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32660"/>
      <w:bookmarkStart w:id="22" w:name="_Toc13089"/>
      <w:bookmarkStart w:id="23" w:name="_Toc276645580"/>
      <w:bookmarkStart w:id="24" w:name="_Toc20366"/>
      <w:bookmarkStart w:id="25" w:name="_Toc503427711"/>
      <w:bookmarkStart w:id="26" w:name="_Toc259090983"/>
      <w:bookmarkStart w:id="27" w:name="_Toc24181"/>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城市客厅冲凉房门票手腕带</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528"/>
      <w:bookmarkStart w:id="30" w:name="_Toc19817"/>
      <w:bookmarkStart w:id="31" w:name="_Toc27591"/>
      <w:bookmarkStart w:id="32" w:name="_Toc17080"/>
      <w:bookmarkStart w:id="33" w:name="_Toc503427713"/>
      <w:bookmarkStart w:id="34" w:name="_Toc19171"/>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城市客厅冲凉房门票手腕带</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未被列入“信用中国”网站(www.creditchina.gov.cn)“记录失信被执行人或重大税收违法失信主体或政府采购严重违法失信行为”记录名单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5464"/>
      <w:bookmarkStart w:id="36" w:name="_Toc19969"/>
      <w:bookmarkStart w:id="37" w:name="_Toc32141"/>
      <w:bookmarkStart w:id="38" w:name="_Toc31767"/>
      <w:bookmarkStart w:id="39" w:name="_Toc6220"/>
      <w:bookmarkStart w:id="40" w:name="_Toc10585"/>
      <w:bookmarkStart w:id="41" w:name="_Toc24356"/>
      <w:bookmarkStart w:id="42" w:name="_Toc10559"/>
      <w:bookmarkStart w:id="43" w:name="_Toc14285"/>
      <w:bookmarkStart w:id="44" w:name="_Toc19796"/>
      <w:bookmarkStart w:id="45" w:name="_Toc26971"/>
      <w:bookmarkStart w:id="46" w:name="_Toc24969"/>
      <w:bookmarkStart w:id="47" w:name="_Toc9476"/>
      <w:bookmarkStart w:id="48" w:name="_Toc13922"/>
      <w:bookmarkStart w:id="49" w:name="_Toc31877"/>
      <w:bookmarkStart w:id="50" w:name="_Toc5048"/>
      <w:bookmarkStart w:id="51" w:name="_Toc27468"/>
      <w:bookmarkStart w:id="52" w:name="_Toc264628882"/>
      <w:bookmarkStart w:id="53" w:name="_Toc4427"/>
      <w:bookmarkStart w:id="54" w:name="_Toc32498"/>
      <w:bookmarkStart w:id="55" w:name="_Toc276645583"/>
      <w:bookmarkStart w:id="56" w:name="_Toc6275"/>
      <w:bookmarkStart w:id="57" w:name="_Toc503427714"/>
      <w:bookmarkStart w:id="58" w:name="_Toc4726"/>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w:t>
      </w:r>
    </w:p>
    <w:p>
      <w:bookmarkStart w:id="59" w:name="_Toc20437"/>
    </w:p>
    <w:p>
      <w:pPr>
        <w:pStyle w:val="5"/>
        <w:spacing w:before="100" w:after="100" w:line="360" w:lineRule="auto"/>
        <w:rPr>
          <w:rFonts w:hint="eastAsia" w:ascii="宋体" w:hAnsi="宋体" w:eastAsia="宋体"/>
          <w:sz w:val="28"/>
          <w:lang w:val="en-US" w:eastAsia="zh-CN"/>
        </w:rPr>
      </w:pPr>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珠海正方公共资源运营有限公司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76645592"/>
      <w:bookmarkStart w:id="61" w:name="_Toc24253"/>
      <w:bookmarkStart w:id="62" w:name="_Toc202820355"/>
      <w:bookmarkStart w:id="63" w:name="_Toc202819882"/>
      <w:bookmarkStart w:id="64" w:name="_Toc503427721"/>
      <w:bookmarkStart w:id="65" w:name="_Toc12992"/>
      <w:bookmarkStart w:id="66" w:name="_Toc21572"/>
      <w:bookmarkStart w:id="67" w:name="_Toc3330"/>
      <w:bookmarkStart w:id="68" w:name="_Toc202251078"/>
      <w:bookmarkStart w:id="69" w:name="_Toc259090996"/>
      <w:bookmarkStart w:id="70" w:name="_Toc202254108"/>
      <w:bookmarkStart w:id="71" w:name="_Toc202252037"/>
      <w:bookmarkStart w:id="72" w:name="_Toc202251703"/>
      <w:bookmarkStart w:id="73" w:name="_Toc29543"/>
      <w:bookmarkStart w:id="74" w:name="_Toc202817000"/>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7304"/>
      <w:bookmarkStart w:id="76" w:name="_Toc5662"/>
      <w:bookmarkStart w:id="77" w:name="_Toc10726"/>
      <w:bookmarkStart w:id="78" w:name="_Toc24446"/>
      <w:bookmarkStart w:id="79" w:name="_Toc500"/>
      <w:bookmarkStart w:id="80" w:name="_Toc5278"/>
      <w:bookmarkStart w:id="81" w:name="_Toc3193"/>
      <w:bookmarkStart w:id="82" w:name="_Toc6669"/>
      <w:bookmarkStart w:id="83" w:name="_Toc32145"/>
      <w:bookmarkStart w:id="84" w:name="_Toc9094"/>
      <w:bookmarkStart w:id="85" w:name="_Toc113"/>
      <w:bookmarkStart w:id="86" w:name="_Toc2576"/>
      <w:bookmarkStart w:id="87" w:name="_Toc22499"/>
      <w:bookmarkStart w:id="88" w:name="_Toc29470"/>
      <w:bookmarkStart w:id="89" w:name="_Toc30192"/>
      <w:bookmarkStart w:id="90" w:name="_Toc16860"/>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9247"/>
      <w:bookmarkStart w:id="92" w:name="_Toc28886"/>
      <w:bookmarkStart w:id="93" w:name="_Toc17294"/>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城市客厅冲凉房门票手腕带</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珠海正方公共资源运营有限公司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城市客厅冲凉房门票手腕带</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城市客厅冲凉房门票手腕带</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091"/>
        <w:gridCol w:w="825"/>
        <w:gridCol w:w="1012"/>
        <w:gridCol w:w="1028"/>
        <w:gridCol w:w="126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2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2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012"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028"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2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一次性热敏防水腕带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（带扣子）</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260x27mm，热敏材质、防水，可现场打印票码，带固定扣，防止中途脱落及换人弊端。（颜色待定）</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套</w:t>
            </w:r>
          </w:p>
        </w:tc>
        <w:tc>
          <w:tcPr>
            <w:tcW w:w="1012"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20000.00</w:t>
            </w:r>
          </w:p>
        </w:tc>
        <w:tc>
          <w:tcPr>
            <w:tcW w:w="10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需与现有机器相匹配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629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w:t>
            </w:r>
            <w:r>
              <w:rPr>
                <w:rFonts w:hint="eastAsia" w:hAnsi="宋体" w:cs="宋体"/>
                <w:color w:val="auto"/>
                <w:sz w:val="22"/>
                <w:szCs w:val="22"/>
                <w:lang w:val="en-US" w:eastAsia="zh-CN"/>
              </w:rPr>
              <w:t>收货地址：情侣路海滨泳场冲凉房</w:t>
            </w:r>
            <w:r>
              <w:rPr>
                <w:rFonts w:hint="eastAsia" w:ascii="宋体" w:hAnsi="宋体" w:eastAsia="宋体" w:cs="宋体"/>
                <w:color w:val="auto"/>
                <w:sz w:val="22"/>
                <w:szCs w:val="22"/>
                <w:lang w:val="en-US" w:eastAsia="zh-CN"/>
              </w:rPr>
              <w:t>，收货人：周灵生 15989776617。</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宋体" w:hAnsi="宋体"/>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2"/>
        <w:rPr>
          <w:rFonts w:hint="eastAsia" w:ascii="宋体" w:hAnsi="宋体"/>
          <w:sz w:val="24"/>
          <w:szCs w:val="24"/>
        </w:rPr>
      </w:pPr>
    </w:p>
    <w:p>
      <w:pPr>
        <w:rPr>
          <w:rFonts w:hint="eastAsia" w:ascii="宋体" w:hAnsi="宋体"/>
          <w:sz w:val="24"/>
          <w:szCs w:val="24"/>
        </w:rPr>
      </w:pPr>
    </w:p>
    <w:p>
      <w:pPr>
        <w:pStyle w:val="2"/>
        <w:rPr>
          <w:rFonts w:hint="default"/>
          <w:lang w:val="en-US" w:eastAsia="zh-CN"/>
        </w:rPr>
      </w:pPr>
      <w:r>
        <w:rPr>
          <w:rFonts w:hint="eastAsia"/>
          <w:lang w:val="en-US" w:eastAsia="zh-CN"/>
        </w:rPr>
        <w:t>附件一：手腕带规格</w:t>
      </w:r>
    </w:p>
    <w:p>
      <w:pPr>
        <w:rPr>
          <w:rFonts w:hint="default"/>
          <w:lang w:val="en-US" w:eastAsia="zh-CN"/>
        </w:rPr>
      </w:pPr>
      <w:r>
        <w:rPr>
          <w:rFonts w:hint="default"/>
          <w:lang w:val="en-US" w:eastAsia="zh-CN"/>
        </w:rPr>
        <w:drawing>
          <wp:inline distT="0" distB="0" distL="114300" distR="114300">
            <wp:extent cx="5612130" cy="2483485"/>
            <wp:effectExtent l="0" t="0" r="7620" b="12065"/>
            <wp:docPr id="4" name="图片 4" descr="27d69379e17211bf87cabe2433b47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7d69379e17211bf87cabe2433b47d8"/>
                    <pic:cNvPicPr>
                      <a:picLocks noChangeAspect="1"/>
                    </pic:cNvPicPr>
                  </pic:nvPicPr>
                  <pic:blipFill>
                    <a:blip r:embed="rId9"/>
                    <a:stretch>
                      <a:fillRect/>
                    </a:stretch>
                  </pic:blipFill>
                  <pic:spPr>
                    <a:xfrm>
                      <a:off x="0" y="0"/>
                      <a:ext cx="5612130" cy="2483485"/>
                    </a:xfrm>
                    <a:prstGeom prst="rect">
                      <a:avLst/>
                    </a:prstGeom>
                  </pic:spPr>
                </pic:pic>
              </a:graphicData>
            </a:graphic>
          </wp:inline>
        </w:drawing>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4F817EF"/>
    <w:rsid w:val="05B1555F"/>
    <w:rsid w:val="0671572A"/>
    <w:rsid w:val="067D1626"/>
    <w:rsid w:val="0841052C"/>
    <w:rsid w:val="097558B4"/>
    <w:rsid w:val="09770F2A"/>
    <w:rsid w:val="0A261215"/>
    <w:rsid w:val="0A4F74B7"/>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DD1A9B"/>
    <w:rsid w:val="3BF341D2"/>
    <w:rsid w:val="3D632E20"/>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FF0F78"/>
    <w:rsid w:val="63A6159C"/>
    <w:rsid w:val="63F16E5E"/>
    <w:rsid w:val="64847D61"/>
    <w:rsid w:val="665C30B6"/>
    <w:rsid w:val="66852B3E"/>
    <w:rsid w:val="67183BE9"/>
    <w:rsid w:val="67DE23FD"/>
    <w:rsid w:val="682078ED"/>
    <w:rsid w:val="68B65BF9"/>
    <w:rsid w:val="6A0D3F8C"/>
    <w:rsid w:val="6A934041"/>
    <w:rsid w:val="6AE67C1E"/>
    <w:rsid w:val="6B4E5816"/>
    <w:rsid w:val="6BB9773A"/>
    <w:rsid w:val="6CD54EA3"/>
    <w:rsid w:val="6D535020"/>
    <w:rsid w:val="73CF0EC4"/>
    <w:rsid w:val="76656426"/>
    <w:rsid w:val="768D0B53"/>
    <w:rsid w:val="76DA30C2"/>
    <w:rsid w:val="775B4F8E"/>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0</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2026-05-07T10:50:40Z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