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cs="Times New Roman"/>
          <w:b/>
          <w:bCs w:val="0"/>
          <w:color w:val="auto"/>
          <w:spacing w:val="-10"/>
          <w:sz w:val="56"/>
          <w:szCs w:val="56"/>
          <w:lang w:val="en-US" w:eastAsia="zh-CN"/>
        </w:rPr>
        <w:t>香山云道南门泵房水管维修（第二次）</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（珠海正方公共资源运营有限公司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2026年5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8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珠海正方公共资源运营有限公司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因香山云道南门泵房出水管腐蚀漏水，现需更换管道进行维修。</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伍仟贰佰元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5200.00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eastAsia="zh-CN"/>
        </w:rPr>
        <w:t>伍仟贰佰元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5200.00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val="en-US" w:eastAsia="zh-CN"/>
        </w:rPr>
        <w:t>香山云道南门泵房水管维修（第二次）</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11</w:t>
      </w:r>
      <w:r>
        <w:rPr>
          <w:rFonts w:hint="default" w:ascii="Times New Roman" w:hAnsi="Times New Roman" w:eastAsia="宋体" w:cs="Times New Roman"/>
          <w:color w:val="auto"/>
          <w:sz w:val="24"/>
        </w:rPr>
        <w:t>日 1</w:t>
      </w:r>
      <w:r>
        <w:rPr>
          <w:rFonts w:hint="eastAsia" w:cs="Times New Roman"/>
          <w:color w:val="auto"/>
          <w:sz w:val="24"/>
          <w:lang w:val="en-US" w:eastAsia="zh-CN"/>
        </w:rPr>
        <w:t>8:00</w:t>
      </w:r>
      <w:r>
        <w:rPr>
          <w:rFonts w:hint="default" w:ascii="Times New Roman" w:hAnsi="Times New Roman" w:eastAsia="宋体" w:cs="Times New Roman"/>
          <w:color w:val="auto"/>
          <w:sz w:val="24"/>
        </w:rPr>
        <w:t>（北京时间）；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香山云道南门泵房水管维修（第二次）</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2.8若中标供应商放弃中标资格、不符合中标条件的、因不可抗力不能履行合同或者被查实存在影响中标结果的违法行为等情形，招标人可按照确定的【</w:t>
      </w:r>
      <w:r>
        <w:rPr>
          <w:rFonts w:hint="eastAsia" w:hAnsi="宋体" w:cs="仿宋"/>
          <w:color w:val="auto"/>
          <w:sz w:val="24"/>
          <w:u w:val="none"/>
          <w:lang w:val="en-US" w:eastAsia="zh-CN"/>
        </w:rPr>
        <w:t>经评审的投标报价</w:t>
      </w:r>
      <w:r>
        <w:rPr>
          <w:rFonts w:hint="eastAsia" w:ascii="宋体" w:hAnsi="宋体"/>
          <w:sz w:val="24"/>
          <w:lang w:val="en-US" w:eastAsia="zh-CN"/>
        </w:rPr>
        <w:t>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珠海正方公共资源运营有限公司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8</w:t>
      </w:r>
      <w:bookmarkStart w:id="94" w:name="_GoBack"/>
      <w:bookmarkEnd w:id="94"/>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rPr>
          <w:rFonts w:hint="eastAsia" w:ascii="宋体" w:hAnsi="宋体" w:eastAsia="宋体"/>
          <w:lang w:eastAsia="zh-CN"/>
        </w:rPr>
      </w:pPr>
      <w:bookmarkStart w:id="2" w:name="_Toc15547"/>
      <w:bookmarkStart w:id="3" w:name="_Toc27664"/>
      <w:bookmarkStart w:id="4" w:name="_Toc9199"/>
      <w:r>
        <w:rPr>
          <w:rFonts w:hint="eastAsia" w:ascii="宋体" w:hAnsi="宋体" w:eastAsia="宋体"/>
          <w:lang w:eastAsia="zh-CN"/>
        </w:rPr>
        <w:br w:type="page"/>
      </w: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202820351"/>
      <w:bookmarkStart w:id="8" w:name="_Toc15317"/>
      <w:bookmarkStart w:id="9" w:name="_Toc202252034"/>
      <w:bookmarkStart w:id="10" w:name="_Toc17685"/>
      <w:bookmarkStart w:id="11" w:name="_Toc698"/>
      <w:bookmarkStart w:id="12" w:name="_Toc259090982"/>
      <w:bookmarkStart w:id="13" w:name="_Toc16107"/>
      <w:bookmarkStart w:id="14" w:name="_Toc503427710"/>
      <w:bookmarkStart w:id="15" w:name="_Toc202254105"/>
      <w:bookmarkStart w:id="16" w:name="_Toc202819878"/>
      <w:bookmarkStart w:id="17" w:name="_Toc276645579"/>
      <w:bookmarkStart w:id="18" w:name="_Toc202816996"/>
      <w:bookmarkStart w:id="19" w:name="_Toc202251700"/>
      <w:bookmarkStart w:id="20" w:name="_Toc202251075"/>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32660"/>
      <w:bookmarkStart w:id="22" w:name="_Toc276645580"/>
      <w:bookmarkStart w:id="23" w:name="_Toc503427711"/>
      <w:bookmarkStart w:id="24" w:name="_Toc24181"/>
      <w:bookmarkStart w:id="25" w:name="_Toc13089"/>
      <w:bookmarkStart w:id="26" w:name="_Toc259090983"/>
      <w:bookmarkStart w:id="27" w:name="_Toc20366"/>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香山云道南门泵房水管维修（第二次）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9171"/>
      <w:bookmarkStart w:id="30" w:name="_Toc528"/>
      <w:bookmarkStart w:id="31" w:name="_Toc503427713"/>
      <w:bookmarkStart w:id="32" w:name="_Toc27591"/>
      <w:bookmarkStart w:id="33" w:name="_Toc17080"/>
      <w:bookmarkStart w:id="34" w:name="_Toc19817"/>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香山云道南门泵房水管维修（第二次）</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未被列入“信用中国”网站(www.creditchina.gov.cn)“记录失信被执行人或重大税收违法失信主体或政府采购严重违法失信行为”记录名单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9476"/>
      <w:bookmarkStart w:id="36" w:name="_Toc6220"/>
      <w:bookmarkStart w:id="37" w:name="_Toc10585"/>
      <w:bookmarkStart w:id="38" w:name="_Toc5048"/>
      <w:bookmarkStart w:id="39" w:name="_Toc19969"/>
      <w:bookmarkStart w:id="40" w:name="_Toc31767"/>
      <w:bookmarkStart w:id="41" w:name="_Toc24969"/>
      <w:bookmarkStart w:id="42" w:name="_Toc32141"/>
      <w:bookmarkStart w:id="43" w:name="_Toc26971"/>
      <w:bookmarkStart w:id="44" w:name="_Toc13922"/>
      <w:bookmarkStart w:id="45" w:name="_Toc14285"/>
      <w:bookmarkStart w:id="46" w:name="_Toc15464"/>
      <w:bookmarkStart w:id="47" w:name="_Toc19796"/>
      <w:bookmarkStart w:id="48" w:name="_Toc10559"/>
      <w:bookmarkStart w:id="49" w:name="_Toc24356"/>
      <w:bookmarkStart w:id="50" w:name="_Toc31877"/>
      <w:bookmarkStart w:id="51" w:name="_Toc27468"/>
      <w:bookmarkStart w:id="52" w:name="_Toc264628882"/>
      <w:bookmarkStart w:id="53" w:name="_Toc4427"/>
      <w:bookmarkStart w:id="54" w:name="_Toc6275"/>
      <w:bookmarkStart w:id="55" w:name="_Toc32498"/>
      <w:bookmarkStart w:id="56" w:name="_Toc276645583"/>
      <w:bookmarkStart w:id="57" w:name="_Toc4726"/>
      <w:bookmarkStart w:id="58" w:name="_Toc503427714"/>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珠海正方公共资源运营有限公司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819882"/>
      <w:bookmarkStart w:id="61" w:name="_Toc503427721"/>
      <w:bookmarkStart w:id="62" w:name="_Toc24253"/>
      <w:bookmarkStart w:id="63" w:name="_Toc21572"/>
      <w:bookmarkStart w:id="64" w:name="_Toc259090996"/>
      <w:bookmarkStart w:id="65" w:name="_Toc202251078"/>
      <w:bookmarkStart w:id="66" w:name="_Toc3330"/>
      <w:bookmarkStart w:id="67" w:name="_Toc202252037"/>
      <w:bookmarkStart w:id="68" w:name="_Toc12992"/>
      <w:bookmarkStart w:id="69" w:name="_Toc202817000"/>
      <w:bookmarkStart w:id="70" w:name="_Toc202820355"/>
      <w:bookmarkStart w:id="71" w:name="_Toc29543"/>
      <w:bookmarkStart w:id="72" w:name="_Toc202254108"/>
      <w:bookmarkStart w:id="73" w:name="_Toc276645592"/>
      <w:bookmarkStart w:id="74" w:name="_Toc202251703"/>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7304"/>
      <w:bookmarkStart w:id="76" w:name="_Toc10726"/>
      <w:bookmarkStart w:id="77" w:name="_Toc5662"/>
      <w:bookmarkStart w:id="78" w:name="_Toc500"/>
      <w:bookmarkStart w:id="79" w:name="_Toc3193"/>
      <w:bookmarkStart w:id="80" w:name="_Toc2576"/>
      <w:bookmarkStart w:id="81" w:name="_Toc113"/>
      <w:bookmarkStart w:id="82" w:name="_Toc6669"/>
      <w:bookmarkStart w:id="83" w:name="_Toc16860"/>
      <w:bookmarkStart w:id="84" w:name="_Toc32145"/>
      <w:bookmarkStart w:id="85" w:name="_Toc9094"/>
      <w:bookmarkStart w:id="86" w:name="_Toc30192"/>
      <w:bookmarkStart w:id="87" w:name="_Toc29470"/>
      <w:bookmarkStart w:id="88" w:name="_Toc22499"/>
      <w:bookmarkStart w:id="89" w:name="_Toc24446"/>
      <w:bookmarkStart w:id="90" w:name="_Toc5278"/>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17294"/>
      <w:bookmarkStart w:id="92" w:name="_Toc28886"/>
      <w:bookmarkStart w:id="93" w:name="_Toc29247"/>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val="en-US" w:eastAsia="zh-CN"/>
        </w:rPr>
        <w:t>香山云道南门泵房水管维修（第二次）</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4"/>
          <w:szCs w:val="24"/>
        </w:rPr>
      </w:pPr>
      <w:permStart w:id="10"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10"/>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根据已收到的</w:t>
      </w:r>
      <w:permStart w:id="11" w:edGrp="everyone"/>
      <w:r>
        <w:rPr>
          <w:rFonts w:hint="eastAsia" w:cs="Times New Roman"/>
          <w:color w:val="auto"/>
          <w:sz w:val="24"/>
          <w:szCs w:val="24"/>
          <w:lang w:val="en-US" w:eastAsia="zh-CN"/>
        </w:rPr>
        <w:t>香山云道南门泵房水管维修（第二次）</w:t>
      </w:r>
      <w:permEnd w:id="11"/>
      <w:r>
        <w:rPr>
          <w:rFonts w:hint="default" w:ascii="Times New Roman" w:hAnsi="Times New Roman" w:eastAsia="宋体" w:cs="Times New Roman"/>
          <w:color w:val="auto"/>
          <w:sz w:val="24"/>
          <w:szCs w:val="24"/>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元 （¥          元）承接</w:t>
      </w:r>
      <w:permStart w:id="12" w:edGrp="everyone"/>
      <w:r>
        <w:rPr>
          <w:rFonts w:hint="eastAsia" w:cs="Times New Roman"/>
          <w:color w:val="auto"/>
          <w:sz w:val="24"/>
          <w:szCs w:val="24"/>
          <w:lang w:val="en-US" w:eastAsia="zh-CN"/>
        </w:rPr>
        <w:t>香山云道南门泵房水管维修（第二次）</w:t>
      </w:r>
      <w:permEnd w:id="12"/>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cs="Times New Roman"/>
          <w:color w:val="auto"/>
          <w:sz w:val="24"/>
          <w:szCs w:val="24"/>
          <w:lang w:val="en-US" w:eastAsia="zh-CN"/>
        </w:rPr>
        <w:t>具体详见下表：</w:t>
      </w:r>
    </w:p>
    <w:tbl>
      <w:tblPr>
        <w:tblStyle w:val="14"/>
        <w:tblW w:w="9379"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763"/>
        <w:gridCol w:w="3412"/>
        <w:gridCol w:w="638"/>
        <w:gridCol w:w="687"/>
        <w:gridCol w:w="975"/>
        <w:gridCol w:w="975"/>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4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13"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76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3412"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8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75"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975"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13"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消防管更换维修服务</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1、切除原旧消防镀锌管DN100；</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2、磨平旧孔口，水泥砂浆封堵原旧洞口；砂浆找平，抹灰刮腻子；</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3、混凝土墙新开孔D150，孔口加套管堵漏，接通外墙管；</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4、新接通消防镀锌管DN100,包含4个弯头；</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5、外墙管用堵板堵防止水灌；</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5、外围更换消防管土方开挖、土方回填。</w:t>
            </w:r>
          </w:p>
        </w:tc>
        <w:tc>
          <w:tcPr>
            <w:tcW w:w="638"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val="en-US" w:eastAsia="zh-CN"/>
              </w:rPr>
              <w:t>项</w:t>
            </w:r>
          </w:p>
        </w:tc>
        <w:tc>
          <w:tcPr>
            <w:tcW w:w="687"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按</w:t>
            </w:r>
            <w:r>
              <w:rPr>
                <w:rFonts w:hint="default" w:ascii="宋体" w:hAnsi="宋体" w:eastAsia="宋体" w:cs="宋体"/>
                <w:i w:val="0"/>
                <w:color w:val="000000"/>
                <w:sz w:val="22"/>
                <w:szCs w:val="22"/>
                <w:u w:val="none"/>
                <w:lang w:val="en-US" w:eastAsia="zh-CN"/>
              </w:rPr>
              <w:t>GB50874-2014消防给水及消火栓系统施工验收规范</w:t>
            </w:r>
            <w:r>
              <w:rPr>
                <w:rFonts w:hint="eastAsia" w:ascii="宋体" w:hAnsi="宋体" w:cs="宋体"/>
                <w:i w:val="0"/>
                <w:color w:val="00000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5"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6475"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1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379"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 xml:space="preserve">4.项目联系人：陈工 </w:t>
            </w:r>
            <w:r>
              <w:rPr>
                <w:rFonts w:ascii="宋体" w:hAnsi="宋体" w:eastAsia="宋体" w:cs="宋体"/>
                <w:sz w:val="24"/>
                <w:szCs w:val="24"/>
              </w:rPr>
              <w:t>13825647186</w:t>
            </w:r>
            <w:r>
              <w:rPr>
                <w:rFonts w:hint="eastAsia" w:ascii="宋体" w:hAnsi="宋体" w:eastAsia="宋体" w:cs="宋体"/>
                <w:sz w:val="24"/>
                <w:szCs w:val="24"/>
                <w:lang w:eastAsia="zh-CN"/>
              </w:rPr>
              <w:t>。</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宋体" w:hAnsi="宋体"/>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2"/>
        <w:rPr>
          <w:rFonts w:hint="eastAsia" w:ascii="宋体" w:hAnsi="宋体"/>
          <w:sz w:val="24"/>
          <w:szCs w:val="24"/>
        </w:rPr>
      </w:pPr>
    </w:p>
    <w:p>
      <w:pPr>
        <w:rPr>
          <w:rFonts w:hint="default" w:ascii="宋体" w:hAnsi="宋体"/>
          <w:sz w:val="24"/>
          <w:szCs w:val="24"/>
          <w:lang w:val="en-US" w:eastAsia="zh-CN"/>
        </w:rPr>
      </w:pPr>
      <w:r>
        <w:rPr>
          <w:rFonts w:hint="eastAsia" w:ascii="宋体" w:hAnsi="宋体"/>
          <w:sz w:val="24"/>
          <w:szCs w:val="24"/>
          <w:lang w:val="en-US" w:eastAsia="zh-CN"/>
        </w:rPr>
        <w:t>附件1：现场图片</w:t>
      </w:r>
    </w:p>
    <w:p>
      <w:pPr>
        <w:pStyle w:val="2"/>
        <w:ind w:left="0" w:leftChars="0" w:firstLine="0" w:firstLineChars="0"/>
        <w:rPr>
          <w:rFonts w:hint="default"/>
          <w:lang w:val="en-US" w:eastAsia="zh-CN"/>
        </w:rPr>
      </w:pPr>
      <w:r>
        <w:rPr>
          <w:rFonts w:hint="default"/>
          <w:lang w:val="en-US" w:eastAsia="zh-CN"/>
        </w:rPr>
        <w:drawing>
          <wp:inline distT="0" distB="0" distL="114300" distR="114300">
            <wp:extent cx="2374900" cy="3168015"/>
            <wp:effectExtent l="0" t="0" r="6350" b="13335"/>
            <wp:docPr id="4" name="图片 4" descr="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3)"/>
                    <pic:cNvPicPr>
                      <a:picLocks noChangeAspect="1"/>
                    </pic:cNvPicPr>
                  </pic:nvPicPr>
                  <pic:blipFill>
                    <a:blip r:embed="rId9"/>
                    <a:stretch>
                      <a:fillRect/>
                    </a:stretch>
                  </pic:blipFill>
                  <pic:spPr>
                    <a:xfrm>
                      <a:off x="0" y="0"/>
                      <a:ext cx="2374900" cy="3168015"/>
                    </a:xfrm>
                    <a:prstGeom prst="rect">
                      <a:avLst/>
                    </a:prstGeom>
                  </pic:spPr>
                </pic:pic>
              </a:graphicData>
            </a:graphic>
          </wp:inline>
        </w:drawing>
      </w:r>
    </w:p>
    <w:p>
      <w:pPr>
        <w:rPr>
          <w:rFonts w:hint="default" w:eastAsia="宋体"/>
          <w:b/>
          <w:bCs/>
          <w:lang w:val="en-US" w:eastAsia="zh-CN"/>
        </w:rPr>
      </w:pP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0087A"/>
    <w:rsid w:val="025E0102"/>
    <w:rsid w:val="04103632"/>
    <w:rsid w:val="04B61AA3"/>
    <w:rsid w:val="05B1555F"/>
    <w:rsid w:val="0671572A"/>
    <w:rsid w:val="067D1626"/>
    <w:rsid w:val="0841052C"/>
    <w:rsid w:val="097558B4"/>
    <w:rsid w:val="09770F2A"/>
    <w:rsid w:val="0A261215"/>
    <w:rsid w:val="0A4F74B7"/>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D556636"/>
    <w:rsid w:val="1DCE44E0"/>
    <w:rsid w:val="202F7D49"/>
    <w:rsid w:val="210322A7"/>
    <w:rsid w:val="2121293A"/>
    <w:rsid w:val="23EC6A93"/>
    <w:rsid w:val="24957E2A"/>
    <w:rsid w:val="259F18F8"/>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0C5690A"/>
    <w:rsid w:val="31BE38D0"/>
    <w:rsid w:val="329B19DD"/>
    <w:rsid w:val="338C409C"/>
    <w:rsid w:val="34364FB5"/>
    <w:rsid w:val="347C7347"/>
    <w:rsid w:val="36991F33"/>
    <w:rsid w:val="36D13171"/>
    <w:rsid w:val="37FE2A53"/>
    <w:rsid w:val="38812374"/>
    <w:rsid w:val="38F12B0E"/>
    <w:rsid w:val="38F34C92"/>
    <w:rsid w:val="3A841AEB"/>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3C31CC"/>
    <w:rsid w:val="518A0729"/>
    <w:rsid w:val="54032B60"/>
    <w:rsid w:val="545F0E76"/>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FF0F78"/>
    <w:rsid w:val="6365545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707427D4"/>
    <w:rsid w:val="73CF0EC4"/>
    <w:rsid w:val="76656426"/>
    <w:rsid w:val="768D0B53"/>
    <w:rsid w:val="76DA30C2"/>
    <w:rsid w:val="775B4F8E"/>
    <w:rsid w:val="78953E1F"/>
    <w:rsid w:val="78B9366D"/>
    <w:rsid w:val="796270D1"/>
    <w:rsid w:val="79886962"/>
    <w:rsid w:val="7A5A23D5"/>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0</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2026-05-08T11:10:50Z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