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cs="Times New Roman"/>
          <w:b/>
          <w:bCs w:val="0"/>
          <w:color w:val="auto"/>
          <w:spacing w:val="-10"/>
          <w:sz w:val="56"/>
          <w:szCs w:val="56"/>
          <w:lang w:val="en-US" w:eastAsia="zh-CN"/>
        </w:rPr>
        <w:t>香山湖1号停车场照明装饰维修服务（第二次）</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（珠海正方慧通科技有限公司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5</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19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珠海正方慧通科技有限公司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lang w:val="en-US" w:eastAsia="zh-CN"/>
        </w:rPr>
        <w:t>香山湖 1 号停车场现有部分照明、标识、亮化设施老化损坏，为保障停车场正常运营、提升现场形象与使用安全，现采购</w:t>
      </w:r>
      <w:r>
        <w:rPr>
          <w:rFonts w:hint="eastAsia" w:cs="Times New Roman"/>
          <w:b w:val="0"/>
          <w:bCs w:val="0"/>
          <w:color w:val="auto"/>
          <w:sz w:val="24"/>
          <w:lang w:val="en-US" w:eastAsia="zh-CN"/>
        </w:rPr>
        <w:t>香山湖1号停车场照明装饰维修服务（第二次）</w:t>
      </w:r>
      <w:r>
        <w:rPr>
          <w:rFonts w:hint="eastAsia" w:ascii="Times New Roman" w:hAnsi="Times New Roman" w:eastAsia="宋体" w:cs="Times New Roman"/>
          <w:b w:val="0"/>
          <w:bCs w:val="0"/>
          <w:color w:val="auto"/>
          <w:sz w:val="24"/>
          <w:lang w:val="en-US" w:eastAsia="zh-CN"/>
        </w:rPr>
        <w:t>，涉及入口灯箱制作、壁画灯带维修、镇流器（变压器）更换等。</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壹万伍仟元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15000.00</w:t>
      </w:r>
      <w:r>
        <w:rPr>
          <w:rFonts w:hint="default" w:ascii="Times New Roman" w:hAnsi="Times New Roman" w:eastAsia="宋体" w:cs="Times New Roman"/>
          <w:color w:val="auto"/>
          <w:sz w:val="24"/>
          <w:u w:val="none"/>
        </w:rPr>
        <w:t>元），报价上限：人民币</w:t>
      </w:r>
      <w:r>
        <w:rPr>
          <w:rFonts w:hint="eastAsia" w:cs="Times New Roman"/>
          <w:color w:val="auto"/>
          <w:sz w:val="24"/>
          <w:u w:val="none"/>
          <w:lang w:eastAsia="zh-CN"/>
        </w:rPr>
        <w:t>壹万伍仟元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15000.00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val="en-US" w:eastAsia="zh-CN"/>
        </w:rPr>
        <w:t>香山湖1号停车场照明装饰维修服务（第二次）</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1.投标人必须是在中华人民共和国境内注册的、具有独立承担民事责任能力的企业法人或其他组织；</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2.供应商未被列入“信用中国”网站(www.creditchina.gov.cn)“记录失信被执行人或重大税收违法失信主体或政府采购严重违法失信行为”记录名单；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3.未被纳入正方集团“黑名单”；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4.与其他投标人不存在单位负责人为同一人或者存在控股、管理关系；</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5</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22 </w:t>
      </w:r>
      <w:r>
        <w:rPr>
          <w:rFonts w:hint="default" w:ascii="Times New Roman" w:hAnsi="Times New Roman" w:eastAsia="宋体" w:cs="Times New Roman"/>
          <w:color w:val="auto"/>
          <w:sz w:val="24"/>
        </w:rPr>
        <w:t>日 1</w:t>
      </w:r>
      <w:r>
        <w:rPr>
          <w:rFonts w:hint="eastAsia" w:cs="Times New Roman"/>
          <w:color w:val="auto"/>
          <w:sz w:val="24"/>
          <w:lang w:val="en-US" w:eastAsia="zh-CN"/>
        </w:rPr>
        <w:t>7:3</w:t>
      </w:r>
      <w:r>
        <w:rPr>
          <w:rFonts w:hint="default" w:ascii="Times New Roman" w:hAnsi="Times New Roman" w:eastAsia="宋体" w:cs="Times New Roman"/>
          <w:color w:val="auto"/>
          <w:sz w:val="24"/>
        </w:rPr>
        <w:t>0（北京时间）；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香山湖1号停车场照明装饰维修服务（第二次）</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逾期送达的、未送达指定邮箱地点的或者不按照询价文件要求格式的报价文件，将视为无效报价。</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2.8若中标供应商放弃中标资格、不符合中标条件的、因不可抗力不能履行合同或者被查实存在影响中标结果的违法行为等情形，招标人可按照确定的【费率由低到高】排名顺序依次确定增补为中标供应商，也可重新招标。</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珠海正方慧通科技有限公司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 xml:space="preserve">5 </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27664"/>
      <w:bookmarkStart w:id="3" w:name="_Toc9199"/>
      <w:bookmarkStart w:id="4" w:name="_Toc15547"/>
      <w:r>
        <w:rPr>
          <w:rFonts w:hint="eastAsia" w:ascii="宋体" w:hAnsi="宋体" w:eastAsia="宋体"/>
          <w:lang w:eastAsia="zh-CN"/>
        </w:rPr>
        <w:t>报价文件格式</w:t>
      </w:r>
      <w:bookmarkEnd w:id="2"/>
      <w:bookmarkEnd w:id="3"/>
      <w:bookmarkEnd w:id="4"/>
      <w:bookmarkStart w:id="5" w:name="_Toc503427708"/>
      <w:bookmarkStart w:id="6" w:name="_Toc276645578"/>
    </w:p>
    <w:p>
      <w:pPr>
        <w:pStyle w:val="4"/>
        <w:spacing w:line="360" w:lineRule="auto"/>
        <w:rPr>
          <w:rFonts w:hint="eastAsia" w:ascii="黑体" w:hAnsi="黑体" w:eastAsia="黑体" w:cs="黑体"/>
          <w:b/>
          <w:bCs w:val="0"/>
          <w:sz w:val="28"/>
          <w:szCs w:val="28"/>
        </w:rPr>
      </w:pPr>
      <w:bookmarkStart w:id="7" w:name="_Toc202816996"/>
      <w:bookmarkStart w:id="8" w:name="_Toc202252034"/>
      <w:bookmarkStart w:id="9" w:name="_Toc202819878"/>
      <w:bookmarkStart w:id="10" w:name="_Toc17685"/>
      <w:bookmarkStart w:id="11" w:name="_Toc259090982"/>
      <w:bookmarkStart w:id="12" w:name="_Toc202251700"/>
      <w:bookmarkStart w:id="13" w:name="_Toc202820351"/>
      <w:bookmarkStart w:id="14" w:name="_Toc698"/>
      <w:bookmarkStart w:id="15" w:name="_Toc503427710"/>
      <w:bookmarkStart w:id="16" w:name="_Toc276645579"/>
      <w:bookmarkStart w:id="17" w:name="_Toc202251075"/>
      <w:bookmarkStart w:id="18" w:name="_Toc15317"/>
      <w:bookmarkStart w:id="19" w:name="_Toc202254105"/>
      <w:bookmarkStart w:id="20" w:name="_Toc16107"/>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13089"/>
      <w:bookmarkStart w:id="22" w:name="_Toc20366"/>
      <w:bookmarkStart w:id="23" w:name="_Toc24181"/>
      <w:bookmarkStart w:id="24" w:name="_Toc503427711"/>
      <w:bookmarkStart w:id="25" w:name="_Toc276645580"/>
      <w:bookmarkStart w:id="26" w:name="_Toc32660"/>
      <w:bookmarkStart w:id="27" w:name="_Toc259090983"/>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香山湖1号停车场照明装饰维修服务（第二次）</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27591"/>
      <w:bookmarkStart w:id="30" w:name="_Toc503427713"/>
      <w:bookmarkStart w:id="31" w:name="_Toc17080"/>
      <w:bookmarkStart w:id="32" w:name="_Toc528"/>
      <w:bookmarkStart w:id="33" w:name="_Toc19817"/>
      <w:bookmarkStart w:id="34" w:name="_Toc19171"/>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香山湖1号停车场照明装饰维修服务（第二次）</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未被列入“信用中国”网站(www.creditchina.gov.cn)“记录失信被执行人或重大税收违法失信主体或政府采购严重违法失信行为”记录名单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19796"/>
      <w:bookmarkStart w:id="36" w:name="_Toc24969"/>
      <w:bookmarkStart w:id="37" w:name="_Toc10559"/>
      <w:bookmarkStart w:id="38" w:name="_Toc5048"/>
      <w:bookmarkStart w:id="39" w:name="_Toc14285"/>
      <w:bookmarkStart w:id="40" w:name="_Toc24356"/>
      <w:bookmarkStart w:id="41" w:name="_Toc26971"/>
      <w:bookmarkStart w:id="42" w:name="_Toc10585"/>
      <w:bookmarkStart w:id="43" w:name="_Toc9476"/>
      <w:bookmarkStart w:id="44" w:name="_Toc13922"/>
      <w:bookmarkStart w:id="45" w:name="_Toc31767"/>
      <w:bookmarkStart w:id="46" w:name="_Toc15464"/>
      <w:bookmarkStart w:id="47" w:name="_Toc6220"/>
      <w:bookmarkStart w:id="48" w:name="_Toc31877"/>
      <w:bookmarkStart w:id="49" w:name="_Toc32141"/>
      <w:bookmarkStart w:id="50" w:name="_Toc19969"/>
      <w:bookmarkStart w:id="51" w:name="_Toc6275"/>
      <w:bookmarkStart w:id="52" w:name="_Toc27468"/>
      <w:bookmarkStart w:id="53" w:name="_Toc276645583"/>
      <w:bookmarkStart w:id="54" w:name="_Toc264628882"/>
      <w:bookmarkStart w:id="55" w:name="_Toc4427"/>
      <w:bookmarkStart w:id="56" w:name="_Toc503427714"/>
      <w:bookmarkStart w:id="57" w:name="_Toc4726"/>
      <w:bookmarkStart w:id="58" w:name="_Toc32498"/>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w:t>
      </w:r>
    </w:p>
    <w:p>
      <w:bookmarkStart w:id="59" w:name="_Toc20437"/>
    </w:p>
    <w:p>
      <w:pPr>
        <w:pStyle w:val="5"/>
        <w:spacing w:before="100" w:after="100" w:line="360" w:lineRule="auto"/>
        <w:rPr>
          <w:rFonts w:hint="eastAsia" w:ascii="宋体" w:hAnsi="宋体" w:eastAsia="宋体"/>
          <w:sz w:val="28"/>
          <w:lang w:val="en-US" w:eastAsia="zh-CN"/>
        </w:rPr>
      </w:pPr>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珠海正方慧通科技有限公司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02252037"/>
      <w:bookmarkStart w:id="61" w:name="_Toc276645592"/>
      <w:bookmarkStart w:id="62" w:name="_Toc29543"/>
      <w:bookmarkStart w:id="63" w:name="_Toc503427721"/>
      <w:bookmarkStart w:id="64" w:name="_Toc202254108"/>
      <w:bookmarkStart w:id="65" w:name="_Toc3330"/>
      <w:bookmarkStart w:id="66" w:name="_Toc202251703"/>
      <w:bookmarkStart w:id="67" w:name="_Toc202251078"/>
      <w:bookmarkStart w:id="68" w:name="_Toc24253"/>
      <w:bookmarkStart w:id="69" w:name="_Toc202820355"/>
      <w:bookmarkStart w:id="70" w:name="_Toc21572"/>
      <w:bookmarkStart w:id="71" w:name="_Toc259090996"/>
      <w:bookmarkStart w:id="72" w:name="_Toc202817000"/>
      <w:bookmarkStart w:id="73" w:name="_Toc202819882"/>
      <w:bookmarkStart w:id="74" w:name="_Toc12992"/>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7304"/>
      <w:bookmarkStart w:id="76" w:name="_Toc10726"/>
      <w:bookmarkStart w:id="77" w:name="_Toc5662"/>
      <w:bookmarkStart w:id="78" w:name="_Toc22499"/>
      <w:bookmarkStart w:id="79" w:name="_Toc24446"/>
      <w:bookmarkStart w:id="80" w:name="_Toc113"/>
      <w:bookmarkStart w:id="81" w:name="_Toc3193"/>
      <w:bookmarkStart w:id="82" w:name="_Toc6669"/>
      <w:bookmarkStart w:id="83" w:name="_Toc2576"/>
      <w:bookmarkStart w:id="84" w:name="_Toc9094"/>
      <w:bookmarkStart w:id="85" w:name="_Toc29470"/>
      <w:bookmarkStart w:id="86" w:name="_Toc500"/>
      <w:bookmarkStart w:id="87" w:name="_Toc32145"/>
      <w:bookmarkStart w:id="88" w:name="_Toc5278"/>
      <w:bookmarkStart w:id="89" w:name="_Toc30192"/>
      <w:bookmarkStart w:id="90" w:name="_Toc16860"/>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17294"/>
      <w:bookmarkStart w:id="92" w:name="_Toc28886"/>
      <w:bookmarkStart w:id="93" w:name="_Toc29247"/>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numPr>
          <w:ilvl w:val="0"/>
          <w:numId w:val="0"/>
        </w:numPr>
        <w:rPr>
          <w:rFonts w:hint="eastAsia"/>
          <w:b/>
          <w:bCs/>
          <w:sz w:val="22"/>
          <w:szCs w:val="22"/>
          <w:lang w:val="en-US" w:eastAsia="zh-CN"/>
        </w:rPr>
      </w:pPr>
      <w:r>
        <w:rPr>
          <w:rFonts w:hint="eastAsia"/>
          <w:b/>
          <w:bCs/>
          <w:sz w:val="22"/>
          <w:szCs w:val="22"/>
          <w:lang w:val="en-US" w:eastAsia="zh-CN"/>
        </w:rPr>
        <w:t>未被列入“信用中国”网站(www.creditchina.gov.cn)“记录失信被执行人或重大税收违法失信主体”记录名单证明文件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rPr>
          <w:rFonts w:hint="eastAsia"/>
          <w:lang w:val="en-US" w:eastAsia="zh-CN"/>
        </w:r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珠海正方慧通科技有限公司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val="en-US" w:eastAsia="zh-CN"/>
        </w:rPr>
        <w:t>香山湖1号停车场照明装饰维修服务（第二次）</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4"/>
          <w:szCs w:val="24"/>
        </w:rPr>
      </w:pPr>
      <w:permStart w:id="10" w:edGrp="everyone"/>
      <w:r>
        <w:rPr>
          <w:rFonts w:hint="eastAsia" w:cs="Times New Roman"/>
          <w:color w:val="auto"/>
          <w:sz w:val="24"/>
          <w:szCs w:val="24"/>
          <w:lang w:eastAsia="zh-CN"/>
        </w:rPr>
        <w:t>（</w:t>
      </w:r>
      <w:r>
        <w:rPr>
          <w:rFonts w:hint="eastAsia" w:cs="Times New Roman"/>
          <w:color w:val="auto"/>
          <w:sz w:val="24"/>
          <w:szCs w:val="24"/>
          <w:lang w:val="en-US" w:eastAsia="zh-CN"/>
        </w:rPr>
        <w:t>珠海正方慧通科技有限公司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10"/>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根据已收到的</w:t>
      </w:r>
      <w:permStart w:id="11" w:edGrp="everyone"/>
      <w:r>
        <w:rPr>
          <w:rFonts w:hint="eastAsia" w:cs="Times New Roman"/>
          <w:color w:val="auto"/>
          <w:sz w:val="24"/>
          <w:szCs w:val="24"/>
          <w:lang w:val="en-US" w:eastAsia="zh-CN"/>
        </w:rPr>
        <w:t>香山湖1号停车场照明装饰维修服务（第二次）</w:t>
      </w:r>
      <w:permEnd w:id="11"/>
      <w:r>
        <w:rPr>
          <w:rFonts w:hint="default" w:ascii="Times New Roman" w:hAnsi="Times New Roman" w:eastAsia="宋体" w:cs="Times New Roman"/>
          <w:color w:val="auto"/>
          <w:sz w:val="24"/>
          <w:szCs w:val="24"/>
        </w:rPr>
        <w:t>的询价文件，根据有关法律、法规、规章规定，我单位经研究上述询价文件和其他相关文件后，愿意接受询价文件的全部内容和条件，并承诺按总价人民币大写：</w:t>
      </w:r>
    </w:p>
    <w:p>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元 （¥          元）承接</w:t>
      </w:r>
      <w:permStart w:id="12" w:edGrp="everyone"/>
      <w:r>
        <w:rPr>
          <w:rFonts w:hint="eastAsia" w:cs="Times New Roman"/>
          <w:color w:val="auto"/>
          <w:sz w:val="24"/>
          <w:szCs w:val="24"/>
          <w:lang w:val="en-US" w:eastAsia="zh-CN"/>
        </w:rPr>
        <w:t>香山湖1号停车场照明装饰维修服务（第二次）</w:t>
      </w:r>
      <w:bookmarkStart w:id="94" w:name="_GoBack"/>
      <w:bookmarkEnd w:id="94"/>
      <w:r>
        <w:rPr>
          <w:rFonts w:hint="default" w:ascii="Times New Roman" w:hAnsi="Times New Roman" w:eastAsia="宋体" w:cs="Times New Roman"/>
          <w:color w:val="auto"/>
          <w:sz w:val="24"/>
          <w:szCs w:val="24"/>
          <w:lang w:val="en-US" w:eastAsia="zh-CN"/>
        </w:rPr>
        <w:t xml:space="preserve"> </w:t>
      </w:r>
      <w:permEnd w:id="12"/>
      <w:r>
        <w:rPr>
          <w:rFonts w:hint="default" w:ascii="Times New Roman" w:hAnsi="Times New Roman" w:eastAsia="宋体" w:cs="Times New Roman"/>
          <w:color w:val="auto"/>
          <w:sz w:val="24"/>
          <w:szCs w:val="24"/>
        </w:rPr>
        <w:t>项目</w:t>
      </w:r>
      <w:r>
        <w:rPr>
          <w:rFonts w:hint="eastAsia" w:cs="Times New Roman"/>
          <w:color w:val="auto"/>
          <w:sz w:val="24"/>
          <w:szCs w:val="24"/>
          <w:lang w:eastAsia="zh-CN"/>
        </w:rPr>
        <w:t>，</w:t>
      </w:r>
      <w:r>
        <w:rPr>
          <w:rFonts w:hint="eastAsia" w:cs="Times New Roman"/>
          <w:color w:val="auto"/>
          <w:sz w:val="24"/>
          <w:szCs w:val="24"/>
          <w:lang w:val="en-US" w:eastAsia="zh-CN"/>
        </w:rPr>
        <w:t>具体详见下表：</w:t>
      </w:r>
    </w:p>
    <w:tbl>
      <w:tblPr>
        <w:tblStyle w:val="14"/>
        <w:tblW w:w="949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682"/>
        <w:gridCol w:w="3750"/>
        <w:gridCol w:w="607"/>
        <w:gridCol w:w="638"/>
        <w:gridCol w:w="1020"/>
        <w:gridCol w:w="1095"/>
        <w:gridCol w:w="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988"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682"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375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607"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638"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020"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095"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988"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服务</w:t>
            </w:r>
          </w:p>
        </w:tc>
        <w:tc>
          <w:tcPr>
            <w:tcW w:w="375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一:入口处灯箱</w:t>
            </w:r>
            <w:r>
              <w:rPr>
                <w:rFonts w:hint="eastAsia" w:ascii="宋体" w:hAnsi="宋体" w:cs="宋体"/>
                <w:i w:val="0"/>
                <w:color w:val="000000"/>
                <w:sz w:val="22"/>
                <w:szCs w:val="22"/>
                <w:u w:val="none"/>
                <w:lang w:val="en-US" w:eastAsia="zh-CN"/>
              </w:rPr>
              <w:t>1个</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材质工艺：201不锈钢折边焊接，烤漆。内置LED高亮防水灯带，面板激光雕刻，镂空发光。（含拆除原灯箱</w:t>
            </w:r>
            <w:r>
              <w:rPr>
                <w:rFonts w:hint="eastAsia" w:ascii="宋体" w:hAnsi="宋体" w:cs="宋体"/>
                <w:i w:val="0"/>
                <w:color w:val="000000"/>
                <w:sz w:val="22"/>
                <w:szCs w:val="22"/>
                <w:u w:val="none"/>
                <w:lang w:eastAsia="zh-CN"/>
              </w:rPr>
              <w:t>，</w:t>
            </w:r>
            <w:r>
              <w:rPr>
                <w:rFonts w:hint="eastAsia" w:ascii="宋体" w:hAnsi="宋体" w:eastAsia="宋体" w:cs="宋体"/>
                <w:i w:val="0"/>
                <w:color w:val="000000"/>
                <w:sz w:val="22"/>
                <w:szCs w:val="22"/>
                <w:u w:val="none"/>
              </w:rPr>
              <w:t>制作</w:t>
            </w:r>
            <w:r>
              <w:rPr>
                <w:rFonts w:hint="eastAsia" w:ascii="宋体" w:hAnsi="宋体" w:cs="宋体"/>
                <w:i w:val="0"/>
                <w:color w:val="000000"/>
                <w:sz w:val="22"/>
                <w:szCs w:val="22"/>
                <w:u w:val="none"/>
                <w:lang w:val="en-US" w:eastAsia="zh-CN"/>
              </w:rPr>
              <w:t>及</w:t>
            </w:r>
            <w:r>
              <w:rPr>
                <w:rFonts w:hint="eastAsia" w:ascii="宋体" w:hAnsi="宋体" w:eastAsia="宋体" w:cs="宋体"/>
                <w:i w:val="0"/>
                <w:color w:val="000000"/>
                <w:sz w:val="22"/>
                <w:szCs w:val="22"/>
                <w:u w:val="none"/>
              </w:rPr>
              <w:t>安装新灯箱）</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尺寸规格：7270×1280×100mm</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二:停车场内壁画灯带维修</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材质工艺:第二代彩色硅胶霓虹灯带</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尺寸规格:20米</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三:镇流器更换</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22</w:t>
            </w:r>
            <w:r>
              <w:rPr>
                <w:rFonts w:hint="eastAsia" w:ascii="宋体" w:hAnsi="宋体" w:cs="宋体"/>
                <w:i w:val="0"/>
                <w:color w:val="000000"/>
                <w:sz w:val="22"/>
                <w:szCs w:val="22"/>
                <w:u w:val="none"/>
                <w:lang w:val="en-US" w:eastAsia="zh-CN"/>
              </w:rPr>
              <w:t>0</w:t>
            </w:r>
            <w:r>
              <w:rPr>
                <w:rFonts w:hint="eastAsia" w:ascii="宋体" w:hAnsi="宋体" w:eastAsia="宋体" w:cs="宋体"/>
                <w:i w:val="0"/>
                <w:color w:val="000000"/>
                <w:sz w:val="22"/>
                <w:szCs w:val="22"/>
                <w:u w:val="none"/>
              </w:rPr>
              <w:t>伏转换12</w:t>
            </w:r>
            <w:r>
              <w:rPr>
                <w:rFonts w:hint="eastAsia" w:ascii="宋体" w:hAnsi="宋体" w:cs="宋体"/>
                <w:i w:val="0"/>
                <w:color w:val="000000"/>
                <w:sz w:val="22"/>
                <w:szCs w:val="22"/>
                <w:u w:val="none"/>
                <w:lang w:val="en-US" w:eastAsia="zh-CN"/>
              </w:rPr>
              <w:t>V</w:t>
            </w:r>
            <w:r>
              <w:rPr>
                <w:rFonts w:hint="eastAsia" w:ascii="宋体" w:hAnsi="宋体" w:eastAsia="宋体" w:cs="宋体"/>
                <w:i w:val="0"/>
                <w:color w:val="000000"/>
                <w:sz w:val="22"/>
                <w:szCs w:val="22"/>
                <w:u w:val="none"/>
              </w:rPr>
              <w:t>300瓦变压器</w:t>
            </w:r>
            <w:r>
              <w:rPr>
                <w:rFonts w:hint="eastAsia" w:ascii="宋体" w:hAnsi="宋体" w:cs="宋体"/>
                <w:i w:val="0"/>
                <w:color w:val="000000"/>
                <w:sz w:val="22"/>
                <w:szCs w:val="22"/>
                <w:u w:val="none"/>
                <w:lang w:val="en-US" w:eastAsia="zh-CN"/>
              </w:rPr>
              <w:t xml:space="preserve"> </w:t>
            </w:r>
            <w:r>
              <w:rPr>
                <w:rFonts w:hint="eastAsia" w:ascii="宋体" w:hAnsi="宋体" w:eastAsia="宋体" w:cs="宋体"/>
                <w:i w:val="0"/>
                <w:color w:val="000000"/>
                <w:sz w:val="22"/>
                <w:szCs w:val="22"/>
                <w:u w:val="none"/>
              </w:rPr>
              <w:t>1个</w:t>
            </w:r>
          </w:p>
        </w:tc>
        <w:tc>
          <w:tcPr>
            <w:tcW w:w="607"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项</w:t>
            </w:r>
          </w:p>
        </w:tc>
        <w:tc>
          <w:tcPr>
            <w:tcW w:w="638"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w:t>
            </w:r>
          </w:p>
        </w:tc>
        <w:tc>
          <w:tcPr>
            <w:tcW w:w="102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8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含材料、人工费用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2"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6697"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09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8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cs="宋体"/>
                <w:color w:val="auto"/>
                <w:sz w:val="22"/>
                <w:szCs w:val="22"/>
                <w:lang w:val="en-US"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default"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4.收货地址：香山湖1号停车场</w:t>
            </w:r>
            <w:r>
              <w:rPr>
                <w:rFonts w:hint="eastAsia" w:ascii="宋体" w:hAnsi="宋体" w:eastAsia="宋体" w:cs="宋体"/>
                <w:color w:val="auto"/>
                <w:sz w:val="22"/>
                <w:szCs w:val="22"/>
                <w:lang w:val="en-US" w:eastAsia="zh-CN"/>
              </w:rPr>
              <w:t>，收货人：姜小峰 13823022202</w:t>
            </w:r>
            <w:r>
              <w:rPr>
                <w:rFonts w:hint="eastAsia" w:hAnsi="宋体" w:cs="宋体"/>
                <w:color w:val="auto"/>
                <w:sz w:val="22"/>
                <w:szCs w:val="22"/>
                <w:lang w:val="en-US" w:eastAsia="zh-CN"/>
              </w:rPr>
              <w:t>。</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宋体" w:hAnsi="宋体"/>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2"/>
        <w:rPr>
          <w:rFonts w:hint="eastAsia" w:ascii="宋体" w:hAnsi="宋体"/>
          <w:sz w:val="24"/>
          <w:szCs w:val="24"/>
        </w:rPr>
      </w:pPr>
    </w:p>
    <w:p>
      <w:pPr>
        <w:rPr>
          <w:rFonts w:hint="eastAsia" w:ascii="宋体" w:hAnsi="宋体"/>
          <w:sz w:val="24"/>
          <w:szCs w:val="24"/>
        </w:rPr>
      </w:pPr>
    </w:p>
    <w:p>
      <w:pPr>
        <w:rPr>
          <w:rFonts w:hint="eastAsia"/>
          <w:lang w:val="en-US" w:eastAsia="zh-CN"/>
        </w:rPr>
      </w:pPr>
      <w:r>
        <w:rPr>
          <w:rFonts w:hint="eastAsia"/>
          <w:lang w:val="en-US" w:eastAsia="zh-CN"/>
        </w:rPr>
        <w:t>附件一：现场情况</w:t>
      </w:r>
    </w:p>
    <w:p>
      <w:pPr>
        <w:pStyle w:val="2"/>
        <w:rPr>
          <w:rFonts w:hint="default"/>
          <w:lang w:val="en-US" w:eastAsia="zh-CN"/>
        </w:rPr>
      </w:pPr>
      <w:r>
        <w:rPr>
          <w:rFonts w:hint="default"/>
          <w:lang w:val="en-US" w:eastAsia="zh-CN"/>
        </w:rPr>
        <w:drawing>
          <wp:inline distT="0" distB="0" distL="114300" distR="114300">
            <wp:extent cx="3838575" cy="2160270"/>
            <wp:effectExtent l="0" t="0" r="9525" b="11430"/>
            <wp:docPr id="5" name="图片 5" descr="附件：现场情况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附件：现场情况_页面_2"/>
                    <pic:cNvPicPr>
                      <a:picLocks noChangeAspect="1"/>
                    </pic:cNvPicPr>
                  </pic:nvPicPr>
                  <pic:blipFill>
                    <a:blip r:embed="rId9"/>
                    <a:stretch>
                      <a:fillRect/>
                    </a:stretch>
                  </pic:blipFill>
                  <pic:spPr>
                    <a:xfrm>
                      <a:off x="0" y="0"/>
                      <a:ext cx="3838575" cy="2160270"/>
                    </a:xfrm>
                    <a:prstGeom prst="rect">
                      <a:avLst/>
                    </a:prstGeom>
                  </pic:spPr>
                </pic:pic>
              </a:graphicData>
            </a:graphic>
          </wp:inline>
        </w:drawing>
      </w:r>
      <w:r>
        <w:rPr>
          <w:rFonts w:hint="default"/>
          <w:lang w:val="en-US" w:eastAsia="zh-CN"/>
        </w:rPr>
        <w:drawing>
          <wp:inline distT="0" distB="0" distL="114300" distR="114300">
            <wp:extent cx="3837940" cy="2160270"/>
            <wp:effectExtent l="0" t="0" r="10160" b="11430"/>
            <wp:docPr id="4" name="图片 4" descr="附件：现场情况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附件：现场情况_页面_1"/>
                    <pic:cNvPicPr>
                      <a:picLocks noChangeAspect="1"/>
                    </pic:cNvPicPr>
                  </pic:nvPicPr>
                  <pic:blipFill>
                    <a:blip r:embed="rId10"/>
                    <a:stretch>
                      <a:fillRect/>
                    </a:stretch>
                  </pic:blipFill>
                  <pic:spPr>
                    <a:xfrm>
                      <a:off x="0" y="0"/>
                      <a:ext cx="3837940" cy="2160270"/>
                    </a:xfrm>
                    <a:prstGeom prst="rect">
                      <a:avLst/>
                    </a:prstGeom>
                  </pic:spPr>
                </pic:pic>
              </a:graphicData>
            </a:graphic>
          </wp:inline>
        </w:drawing>
      </w:r>
      <w:r>
        <w:rPr>
          <w:rFonts w:hint="default"/>
          <w:lang w:val="en-US" w:eastAsia="zh-CN"/>
        </w:rPr>
        <w:drawing>
          <wp:inline distT="0" distB="0" distL="114300" distR="114300">
            <wp:extent cx="3838575" cy="2160270"/>
            <wp:effectExtent l="0" t="0" r="9525" b="11430"/>
            <wp:docPr id="6" name="图片 6" descr="附件：现场情况_页面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附件：现场情况_页面_3"/>
                    <pic:cNvPicPr>
                      <a:picLocks noChangeAspect="1"/>
                    </pic:cNvPicPr>
                  </pic:nvPicPr>
                  <pic:blipFill>
                    <a:blip r:embed="rId11"/>
                    <a:stretch>
                      <a:fillRect/>
                    </a:stretch>
                  </pic:blipFill>
                  <pic:spPr>
                    <a:xfrm>
                      <a:off x="0" y="0"/>
                      <a:ext cx="3838575" cy="2160270"/>
                    </a:xfrm>
                    <a:prstGeom prst="rect">
                      <a:avLst/>
                    </a:prstGeom>
                  </pic:spPr>
                </pic:pic>
              </a:graphicData>
            </a:graphic>
          </wp:inline>
        </w:drawing>
      </w: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4F817EF"/>
    <w:rsid w:val="05B1555F"/>
    <w:rsid w:val="0671572A"/>
    <w:rsid w:val="067D1626"/>
    <w:rsid w:val="0841052C"/>
    <w:rsid w:val="097558B4"/>
    <w:rsid w:val="09770F2A"/>
    <w:rsid w:val="0A261215"/>
    <w:rsid w:val="0A4F74B7"/>
    <w:rsid w:val="0C1C2D99"/>
    <w:rsid w:val="0D8F41B1"/>
    <w:rsid w:val="0DB93286"/>
    <w:rsid w:val="0DCB0AAA"/>
    <w:rsid w:val="0E49720A"/>
    <w:rsid w:val="0EC420D1"/>
    <w:rsid w:val="0EC93FBB"/>
    <w:rsid w:val="10E91871"/>
    <w:rsid w:val="11DD4B3A"/>
    <w:rsid w:val="129618DC"/>
    <w:rsid w:val="14DC73BB"/>
    <w:rsid w:val="14EB65E0"/>
    <w:rsid w:val="1588048B"/>
    <w:rsid w:val="168857E4"/>
    <w:rsid w:val="16D97ADD"/>
    <w:rsid w:val="16E45AEB"/>
    <w:rsid w:val="177F1319"/>
    <w:rsid w:val="17DF53E0"/>
    <w:rsid w:val="18547105"/>
    <w:rsid w:val="1B013FAA"/>
    <w:rsid w:val="1B513E4B"/>
    <w:rsid w:val="1BDC56E2"/>
    <w:rsid w:val="1C186A2A"/>
    <w:rsid w:val="1D556636"/>
    <w:rsid w:val="1DCE44E0"/>
    <w:rsid w:val="202F7D49"/>
    <w:rsid w:val="210322A7"/>
    <w:rsid w:val="2121293A"/>
    <w:rsid w:val="23A71C0B"/>
    <w:rsid w:val="23EC6A93"/>
    <w:rsid w:val="24957E2A"/>
    <w:rsid w:val="259F18F8"/>
    <w:rsid w:val="26497039"/>
    <w:rsid w:val="272E6E27"/>
    <w:rsid w:val="27540AC6"/>
    <w:rsid w:val="278065CC"/>
    <w:rsid w:val="287C62B4"/>
    <w:rsid w:val="28C56911"/>
    <w:rsid w:val="28E640A3"/>
    <w:rsid w:val="291B3A89"/>
    <w:rsid w:val="2B3335F6"/>
    <w:rsid w:val="2BED4BFF"/>
    <w:rsid w:val="2D022F1E"/>
    <w:rsid w:val="2E0A4EF7"/>
    <w:rsid w:val="2EBF0175"/>
    <w:rsid w:val="2F8C5B34"/>
    <w:rsid w:val="3035528F"/>
    <w:rsid w:val="303C5477"/>
    <w:rsid w:val="305D6B4A"/>
    <w:rsid w:val="31BE38D0"/>
    <w:rsid w:val="329B19DD"/>
    <w:rsid w:val="338C409C"/>
    <w:rsid w:val="347C7347"/>
    <w:rsid w:val="34F12D58"/>
    <w:rsid w:val="36991F33"/>
    <w:rsid w:val="36D13171"/>
    <w:rsid w:val="37FE2A53"/>
    <w:rsid w:val="38812374"/>
    <w:rsid w:val="38F12B0E"/>
    <w:rsid w:val="38F34C92"/>
    <w:rsid w:val="3BDD1A9B"/>
    <w:rsid w:val="3BF341D2"/>
    <w:rsid w:val="3DDA2166"/>
    <w:rsid w:val="3E7E4135"/>
    <w:rsid w:val="3EC52271"/>
    <w:rsid w:val="3ED65B24"/>
    <w:rsid w:val="3F676A9B"/>
    <w:rsid w:val="408829A2"/>
    <w:rsid w:val="40DF147E"/>
    <w:rsid w:val="410E417C"/>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8A0729"/>
    <w:rsid w:val="54032B60"/>
    <w:rsid w:val="545F0E76"/>
    <w:rsid w:val="551F30DA"/>
    <w:rsid w:val="55233FA3"/>
    <w:rsid w:val="555801ED"/>
    <w:rsid w:val="55580DEF"/>
    <w:rsid w:val="55AF6717"/>
    <w:rsid w:val="56213D59"/>
    <w:rsid w:val="56DB22E8"/>
    <w:rsid w:val="57852512"/>
    <w:rsid w:val="57AB174E"/>
    <w:rsid w:val="584F6981"/>
    <w:rsid w:val="59A575EF"/>
    <w:rsid w:val="5AC64570"/>
    <w:rsid w:val="5B7B0426"/>
    <w:rsid w:val="5BD82D7C"/>
    <w:rsid w:val="5BE44C27"/>
    <w:rsid w:val="5BFB7194"/>
    <w:rsid w:val="5D497B32"/>
    <w:rsid w:val="5EBE23CD"/>
    <w:rsid w:val="617E685D"/>
    <w:rsid w:val="61A2602F"/>
    <w:rsid w:val="61FF0F78"/>
    <w:rsid w:val="62017B83"/>
    <w:rsid w:val="63A6159C"/>
    <w:rsid w:val="63F16E5E"/>
    <w:rsid w:val="64847D61"/>
    <w:rsid w:val="665C30B6"/>
    <w:rsid w:val="66852B3E"/>
    <w:rsid w:val="67183BE9"/>
    <w:rsid w:val="67DE23FD"/>
    <w:rsid w:val="682078ED"/>
    <w:rsid w:val="68B65BF9"/>
    <w:rsid w:val="6A0D3F8C"/>
    <w:rsid w:val="6A934041"/>
    <w:rsid w:val="6AE67C1E"/>
    <w:rsid w:val="6B4E5816"/>
    <w:rsid w:val="6BB9773A"/>
    <w:rsid w:val="6CD54EA3"/>
    <w:rsid w:val="6D535020"/>
    <w:rsid w:val="73CF0EC4"/>
    <w:rsid w:val="76656426"/>
    <w:rsid w:val="768D0B53"/>
    <w:rsid w:val="76DA30C2"/>
    <w:rsid w:val="775B4F8E"/>
    <w:rsid w:val="78953E1F"/>
    <w:rsid w:val="78B9366D"/>
    <w:rsid w:val="796270D1"/>
    <w:rsid w:val="7A5D46E4"/>
    <w:rsid w:val="7A696819"/>
    <w:rsid w:val="7ACE415F"/>
    <w:rsid w:val="7BBB70C7"/>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34</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2026-05-19T01:38:44Z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