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香山湖公园 3 号停车场吸污服务采购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（珠海正方慧通科技有限公司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29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珠海正方慧通科技有限公司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因受现场地理环境及降雨天气影响，香山湖公园 3 号停车场 D1 区（靠文化艺术中心侧）树叶、杂物随雨水流入集水井内，造成集水井淤积堵塞、污水泵卡滞故障，现场排水严重不畅。为恢复排水系统正常运行，现采购吸污服务（集水井清污及清理污水泵内杂物）。</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伍仟贰佰元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5200.00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伍仟贰佰元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5200.00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香山湖公园 3 号停车场吸污服务采购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 xml:space="preserve">6 </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2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香山湖公园 3 号停车场吸污服务采购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珠海正方慧通科技有限公司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 xml:space="preserve"> 5</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29</w:t>
      </w:r>
      <w:bookmarkStart w:id="94" w:name="_GoBack"/>
      <w:bookmarkEnd w:id="94"/>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9199"/>
      <w:bookmarkStart w:id="3" w:name="_Toc15547"/>
      <w:bookmarkStart w:id="4" w:name="_Toc27664"/>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698"/>
      <w:bookmarkStart w:id="8" w:name="_Toc16107"/>
      <w:bookmarkStart w:id="9" w:name="_Toc202816996"/>
      <w:bookmarkStart w:id="10" w:name="_Toc202251075"/>
      <w:bookmarkStart w:id="11" w:name="_Toc202252034"/>
      <w:bookmarkStart w:id="12" w:name="_Toc202254105"/>
      <w:bookmarkStart w:id="13" w:name="_Toc15317"/>
      <w:bookmarkStart w:id="14" w:name="_Toc503427710"/>
      <w:bookmarkStart w:id="15" w:name="_Toc259090982"/>
      <w:bookmarkStart w:id="16" w:name="_Toc202820351"/>
      <w:bookmarkStart w:id="17" w:name="_Toc202251700"/>
      <w:bookmarkStart w:id="18" w:name="_Toc202819878"/>
      <w:bookmarkStart w:id="19" w:name="_Toc17685"/>
      <w:bookmarkStart w:id="20" w:name="_Toc276645579"/>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13089"/>
      <w:bookmarkStart w:id="22" w:name="_Toc24181"/>
      <w:bookmarkStart w:id="23" w:name="_Toc259090983"/>
      <w:bookmarkStart w:id="24" w:name="_Toc503427711"/>
      <w:bookmarkStart w:id="25" w:name="_Toc20366"/>
      <w:bookmarkStart w:id="26" w:name="_Toc276645580"/>
      <w:bookmarkStart w:id="27" w:name="_Toc32660"/>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香山湖公园 3 号停车场吸污服务采购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7080"/>
      <w:bookmarkStart w:id="30" w:name="_Toc19817"/>
      <w:bookmarkStart w:id="31" w:name="_Toc528"/>
      <w:bookmarkStart w:id="32" w:name="_Toc503427713"/>
      <w:bookmarkStart w:id="33" w:name="_Toc27591"/>
      <w:bookmarkStart w:id="34" w:name="_Toc19171"/>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香山湖公园 3 号停车场吸污服务采购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.2 存在直接控股或管理关系的</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26971"/>
      <w:bookmarkStart w:id="36" w:name="_Toc9476"/>
      <w:bookmarkStart w:id="37" w:name="_Toc14285"/>
      <w:bookmarkStart w:id="38" w:name="_Toc10559"/>
      <w:bookmarkStart w:id="39" w:name="_Toc19796"/>
      <w:bookmarkStart w:id="40" w:name="_Toc13922"/>
      <w:bookmarkStart w:id="41" w:name="_Toc15464"/>
      <w:bookmarkStart w:id="42" w:name="_Toc32141"/>
      <w:bookmarkStart w:id="43" w:name="_Toc31877"/>
      <w:bookmarkStart w:id="44" w:name="_Toc31767"/>
      <w:bookmarkStart w:id="45" w:name="_Toc24356"/>
      <w:bookmarkStart w:id="46" w:name="_Toc10585"/>
      <w:bookmarkStart w:id="47" w:name="_Toc24969"/>
      <w:bookmarkStart w:id="48" w:name="_Toc6220"/>
      <w:bookmarkStart w:id="49" w:name="_Toc19969"/>
      <w:bookmarkStart w:id="50" w:name="_Toc5048"/>
      <w:bookmarkStart w:id="51" w:name="_Toc4726"/>
      <w:bookmarkStart w:id="52" w:name="_Toc27468"/>
      <w:bookmarkStart w:id="53" w:name="_Toc503427714"/>
      <w:bookmarkStart w:id="54" w:name="_Toc32498"/>
      <w:bookmarkStart w:id="55" w:name="_Toc4427"/>
      <w:bookmarkStart w:id="56" w:name="_Toc264628882"/>
      <w:bookmarkStart w:id="57" w:name="_Toc276645583"/>
      <w:bookmarkStart w:id="58" w:name="_Toc6275"/>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珠海正方慧通科技有限公司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817000"/>
      <w:bookmarkStart w:id="61" w:name="_Toc202251078"/>
      <w:bookmarkStart w:id="62" w:name="_Toc29543"/>
      <w:bookmarkStart w:id="63" w:name="_Toc276645592"/>
      <w:bookmarkStart w:id="64" w:name="_Toc202254108"/>
      <w:bookmarkStart w:id="65" w:name="_Toc259090996"/>
      <w:bookmarkStart w:id="66" w:name="_Toc202251703"/>
      <w:bookmarkStart w:id="67" w:name="_Toc202252037"/>
      <w:bookmarkStart w:id="68" w:name="_Toc3330"/>
      <w:bookmarkStart w:id="69" w:name="_Toc202820355"/>
      <w:bookmarkStart w:id="70" w:name="_Toc503427721"/>
      <w:bookmarkStart w:id="71" w:name="_Toc24253"/>
      <w:bookmarkStart w:id="72" w:name="_Toc202819882"/>
      <w:bookmarkStart w:id="73" w:name="_Toc21572"/>
      <w:bookmarkStart w:id="74" w:name="_Toc12992"/>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7304"/>
      <w:bookmarkStart w:id="76" w:name="_Toc10726"/>
      <w:bookmarkStart w:id="77" w:name="_Toc5662"/>
      <w:bookmarkStart w:id="78" w:name="_Toc5278"/>
      <w:bookmarkStart w:id="79" w:name="_Toc29470"/>
      <w:bookmarkStart w:id="80" w:name="_Toc3193"/>
      <w:bookmarkStart w:id="81" w:name="_Toc24446"/>
      <w:bookmarkStart w:id="82" w:name="_Toc22499"/>
      <w:bookmarkStart w:id="83" w:name="_Toc30192"/>
      <w:bookmarkStart w:id="84" w:name="_Toc6669"/>
      <w:bookmarkStart w:id="85" w:name="_Toc113"/>
      <w:bookmarkStart w:id="86" w:name="_Toc500"/>
      <w:bookmarkStart w:id="87" w:name="_Toc9094"/>
      <w:bookmarkStart w:id="88" w:name="_Toc2576"/>
      <w:bookmarkStart w:id="89" w:name="_Toc32145"/>
      <w:bookmarkStart w:id="90" w:name="_Toc16860"/>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17294"/>
      <w:bookmarkStart w:id="92" w:name="_Toc29247"/>
      <w:bookmarkStart w:id="93" w:name="_Toc28886"/>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香山湖公园 3 号停车场吸污服务采购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珠海正方慧通科技有限公司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香山湖公园 3 号停车场吸污服务采购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香山湖公园 3 号停车场吸污服务采购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091"/>
        <w:gridCol w:w="825"/>
        <w:gridCol w:w="900"/>
        <w:gridCol w:w="1140"/>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吸污服务</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因受现场地理环境及降雨天气影响，香山湖公园 3 号停车场 D1 区（靠文化艺术中心侧）树叶、杂物随雨水流入集水井内，造成集水井淤积堵塞、污水泵卡滞故障，现场排水严重不畅。为恢复排水系统正常运行，现采购吸污服务（集水井清污及清理污水泵内杂物</w:t>
            </w:r>
            <w:r>
              <w:rPr>
                <w:rFonts w:hint="eastAsia" w:ascii="宋体" w:hAnsi="宋体" w:cs="宋体"/>
                <w:i w:val="0"/>
                <w:color w:val="000000"/>
                <w:sz w:val="22"/>
                <w:szCs w:val="22"/>
                <w:u w:val="none"/>
                <w:lang w:eastAsia="zh-CN"/>
              </w:rPr>
              <w:t>），</w:t>
            </w:r>
            <w:r>
              <w:rPr>
                <w:rFonts w:hint="eastAsia" w:ascii="宋体" w:hAnsi="宋体" w:cs="宋体"/>
                <w:i w:val="0"/>
                <w:color w:val="000000"/>
                <w:sz w:val="22"/>
                <w:szCs w:val="22"/>
                <w:u w:val="none"/>
                <w:lang w:val="en-US" w:eastAsia="zh-CN"/>
              </w:rPr>
              <w:t>包含：三个集水井，6台水泵，集水井约 2米长，1.5米宽 ，1.8米深。</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项</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w:t>
            </w:r>
            <w:r>
              <w:rPr>
                <w:rFonts w:hint="eastAsia" w:hAnsi="宋体" w:cs="宋体"/>
                <w:color w:val="auto"/>
                <w:sz w:val="22"/>
                <w:szCs w:val="22"/>
                <w:lang w:val="en-US" w:eastAsia="zh-CN"/>
              </w:rPr>
              <w:t>报价为包干价，</w:t>
            </w:r>
            <w:r>
              <w:rPr>
                <w:rFonts w:hint="eastAsia" w:ascii="宋体" w:hAnsi="宋体" w:eastAsia="宋体" w:cs="宋体"/>
                <w:color w:val="auto"/>
                <w:sz w:val="22"/>
                <w:szCs w:val="22"/>
                <w:lang w:val="en-US" w:eastAsia="zh-CN"/>
              </w:rPr>
              <w:t>收货地址</w:t>
            </w:r>
            <w:r>
              <w:rPr>
                <w:rFonts w:hint="eastAsia" w:hAnsi="宋体" w:cs="宋体"/>
                <w:color w:val="auto"/>
                <w:sz w:val="22"/>
                <w:szCs w:val="22"/>
                <w:lang w:val="en-US" w:eastAsia="zh-CN"/>
              </w:rPr>
              <w:t>：香山湖公园3号停车场</w:t>
            </w:r>
            <w:r>
              <w:rPr>
                <w:rFonts w:hint="eastAsia" w:ascii="宋体" w:hAnsi="宋体" w:eastAsia="宋体" w:cs="宋体"/>
                <w:color w:val="auto"/>
                <w:sz w:val="22"/>
                <w:szCs w:val="22"/>
                <w:lang w:val="en-US" w:eastAsia="zh-CN"/>
              </w:rPr>
              <w:t>，收货人：姜小峰 13823022202。</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宋体" w:hAnsi="宋体"/>
          <w:sz w:val="24"/>
          <w:szCs w:val="24"/>
        </w:rPr>
        <w:sectPr>
          <w:pgSz w:w="11906" w:h="16838"/>
          <w:pgMar w:top="1304" w:right="1531" w:bottom="1247" w:left="1531" w:header="851" w:footer="992" w:gutter="0"/>
          <w:cols w:space="425" w:num="1"/>
          <w:docGrid w:type="lines" w:linePitch="312" w:charSpace="0"/>
        </w:sect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5"/>
        <w:spacing w:before="100" w:after="100" w:line="360" w:lineRule="auto"/>
        <w:rPr>
          <w:rFonts w:hint="eastAsia" w:ascii="宋体" w:hAnsi="宋体"/>
          <w:sz w:val="28"/>
          <w:lang w:val="en-US" w:eastAsia="zh-CN"/>
        </w:rPr>
      </w:pPr>
      <w:r>
        <w:rPr>
          <w:rFonts w:hint="default"/>
          <w:lang w:val="en-US" w:eastAsia="zh-CN"/>
        </w:rPr>
        <w:drawing>
          <wp:anchor distT="0" distB="0" distL="114300" distR="114300" simplePos="0" relativeHeight="251666432" behindDoc="0" locked="0" layoutInCell="1" allowOverlap="1">
            <wp:simplePos x="0" y="0"/>
            <wp:positionH relativeFrom="column">
              <wp:posOffset>2819400</wp:posOffset>
            </wp:positionH>
            <wp:positionV relativeFrom="paragraph">
              <wp:posOffset>489585</wp:posOffset>
            </wp:positionV>
            <wp:extent cx="1983740" cy="3528060"/>
            <wp:effectExtent l="0" t="0" r="16510" b="15240"/>
            <wp:wrapNone/>
            <wp:docPr id="5" name="图片 5" descr="952c4da4d23701b9c0be85f0ad78d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52c4da4d23701b9c0be85f0ad78d2c"/>
                    <pic:cNvPicPr>
                      <a:picLocks noChangeAspect="1"/>
                    </pic:cNvPicPr>
                  </pic:nvPicPr>
                  <pic:blipFill>
                    <a:blip r:embed="rId9"/>
                    <a:stretch>
                      <a:fillRect/>
                    </a:stretch>
                  </pic:blipFill>
                  <pic:spPr>
                    <a:xfrm>
                      <a:off x="0" y="0"/>
                      <a:ext cx="1983740" cy="3528060"/>
                    </a:xfrm>
                    <a:prstGeom prst="rect">
                      <a:avLst/>
                    </a:prstGeom>
                  </pic:spPr>
                </pic:pic>
              </a:graphicData>
            </a:graphic>
          </wp:anchor>
        </w:drawing>
      </w:r>
      <w:r>
        <w:rPr>
          <w:rFonts w:hint="default"/>
          <w:lang w:val="en-US" w:eastAsia="zh-CN"/>
        </w:rPr>
        <w:drawing>
          <wp:anchor distT="0" distB="0" distL="114300" distR="114300" simplePos="0" relativeHeight="251665408" behindDoc="0" locked="0" layoutInCell="1" allowOverlap="1">
            <wp:simplePos x="0" y="0"/>
            <wp:positionH relativeFrom="column">
              <wp:posOffset>-28575</wp:posOffset>
            </wp:positionH>
            <wp:positionV relativeFrom="paragraph">
              <wp:posOffset>498475</wp:posOffset>
            </wp:positionV>
            <wp:extent cx="2768600" cy="3528060"/>
            <wp:effectExtent l="0" t="0" r="12700" b="15240"/>
            <wp:wrapNone/>
            <wp:docPr id="4" name="图片 4" descr="附件：现场情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现场情况 (1)"/>
                    <pic:cNvPicPr>
                      <a:picLocks noChangeAspect="1"/>
                    </pic:cNvPicPr>
                  </pic:nvPicPr>
                  <pic:blipFill>
                    <a:blip r:embed="rId10"/>
                    <a:srcRect l="4414" t="8974" r="4584" b="9039"/>
                    <a:stretch>
                      <a:fillRect/>
                    </a:stretch>
                  </pic:blipFill>
                  <pic:spPr>
                    <a:xfrm>
                      <a:off x="0" y="0"/>
                      <a:ext cx="2768600" cy="3528060"/>
                    </a:xfrm>
                    <a:prstGeom prst="rect">
                      <a:avLst/>
                    </a:prstGeom>
                  </pic:spPr>
                </pic:pic>
              </a:graphicData>
            </a:graphic>
          </wp:anchor>
        </w:drawing>
      </w:r>
      <w:r>
        <w:rPr>
          <w:rFonts w:hint="eastAsia" w:ascii="宋体" w:hAnsi="宋体" w:eastAsia="宋体"/>
          <w:sz w:val="28"/>
          <w:lang w:val="en-US" w:eastAsia="zh-CN"/>
        </w:rPr>
        <w:t>附件1：</w:t>
      </w:r>
      <w:r>
        <w:rPr>
          <w:rFonts w:hint="eastAsia" w:ascii="宋体" w:hAnsi="宋体"/>
          <w:sz w:val="28"/>
          <w:lang w:val="en-US" w:eastAsia="zh-CN"/>
        </w:rPr>
        <w:t>现场情况</w:t>
      </w:r>
    </w:p>
    <w:p>
      <w:pPr>
        <w:rPr>
          <w:rFonts w:hint="default"/>
          <w:lang w:val="en-US" w:eastAsia="zh-CN"/>
        </w:rPr>
      </w:pPr>
      <w:r>
        <w:rPr>
          <w:rFonts w:hint="default"/>
          <w:lang w:val="en-US" w:eastAsia="zh-CN"/>
        </w:rPr>
        <w:drawing>
          <wp:anchor distT="0" distB="0" distL="114300" distR="114300" simplePos="0" relativeHeight="251667456" behindDoc="0" locked="0" layoutInCell="1" allowOverlap="1">
            <wp:simplePos x="0" y="0"/>
            <wp:positionH relativeFrom="column">
              <wp:posOffset>85725</wp:posOffset>
            </wp:positionH>
            <wp:positionV relativeFrom="paragraph">
              <wp:posOffset>3716655</wp:posOffset>
            </wp:positionV>
            <wp:extent cx="2646045" cy="3528060"/>
            <wp:effectExtent l="0" t="0" r="1905" b="15240"/>
            <wp:wrapNone/>
            <wp:docPr id="6" name="图片 6" descr="9dd4c2a357dd6dc4ffe5892e6b323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dd4c2a357dd6dc4ffe5892e6b323ad"/>
                    <pic:cNvPicPr>
                      <a:picLocks noChangeAspect="1"/>
                    </pic:cNvPicPr>
                  </pic:nvPicPr>
                  <pic:blipFill>
                    <a:blip r:embed="rId11"/>
                    <a:stretch>
                      <a:fillRect/>
                    </a:stretch>
                  </pic:blipFill>
                  <pic:spPr>
                    <a:xfrm>
                      <a:off x="0" y="0"/>
                      <a:ext cx="2646045" cy="3528060"/>
                    </a:xfrm>
                    <a:prstGeom prst="rect">
                      <a:avLst/>
                    </a:prstGeom>
                  </pic:spPr>
                </pic:pic>
              </a:graphicData>
            </a:graphic>
          </wp:anchor>
        </w:drawing>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A6034E0"/>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2D2227"/>
    <w:rsid w:val="5D497B32"/>
    <w:rsid w:val="5EBE23CD"/>
    <w:rsid w:val="617E685D"/>
    <w:rsid w:val="61A2602F"/>
    <w:rsid w:val="61FF0F78"/>
    <w:rsid w:val="63A6159C"/>
    <w:rsid w:val="63F16E5E"/>
    <w:rsid w:val="64847D61"/>
    <w:rsid w:val="665C30B6"/>
    <w:rsid w:val="66852B3E"/>
    <w:rsid w:val="67183BE9"/>
    <w:rsid w:val="678306DD"/>
    <w:rsid w:val="67DE23FD"/>
    <w:rsid w:val="682078ED"/>
    <w:rsid w:val="68B65BF9"/>
    <w:rsid w:val="6A0D3F8C"/>
    <w:rsid w:val="6A934041"/>
    <w:rsid w:val="6B4E5816"/>
    <w:rsid w:val="6BB9773A"/>
    <w:rsid w:val="6CD54EA3"/>
    <w:rsid w:val="6D535020"/>
    <w:rsid w:val="73CF0EC4"/>
    <w:rsid w:val="74884367"/>
    <w:rsid w:val="76656426"/>
    <w:rsid w:val="768D0B53"/>
    <w:rsid w:val="76DA30C2"/>
    <w:rsid w:val="775B4F8E"/>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21</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2026-05-29T10:49:25Z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