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前山立交桥底停车场安保服务采购</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（珠海正方慧通科技有限公司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w:t>
      </w:r>
      <w:r>
        <w:rPr>
          <w:rFonts w:hint="default" w:ascii="Times New Roman" w:hAnsi="Times New Roman" w:cs="Times New Roman"/>
          <w:b/>
          <w:bCs/>
          <w:color w:val="auto"/>
          <w:sz w:val="32"/>
          <w:szCs w:val="32"/>
          <w:u w:val="thick"/>
        </w:rPr>
        <w:t>月</w:t>
      </w:r>
      <w:r>
        <w:rPr>
          <w:rFonts w:hint="eastAsia" w:cs="Times New Roman"/>
          <w:b/>
          <w:bCs/>
          <w:color w:val="auto"/>
          <w:sz w:val="32"/>
          <w:szCs w:val="32"/>
          <w:u w:val="thick"/>
          <w:lang w:val="en-US" w:eastAsia="zh-CN"/>
        </w:rPr>
        <w:t xml:space="preserve"> 5 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20"/>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20"/>
        <w:rPr>
          <w:rFonts w:hint="default" w:ascii="Times New Roman" w:hAnsi="Times New Roman" w:cs="Times New Roman"/>
          <w:color w:val="auto"/>
        </w:rPr>
      </w:pPr>
    </w:p>
    <w:p>
      <w:pPr>
        <w:numPr>
          <w:ilvl w:val="0"/>
          <w:numId w:val="1"/>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采购人</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珠海正方慧通科技有限公司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480" w:lineRule="auto"/>
        <w:rPr>
          <w:rFonts w:hint="eastAsia" w:cs="Times New Roman"/>
          <w:b/>
          <w:bCs/>
          <w:color w:val="auto"/>
          <w:sz w:val="24"/>
          <w:lang w:val="en-US" w:eastAsia="zh-CN"/>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p>
    <w:p>
      <w:pPr>
        <w:numPr>
          <w:ilvl w:val="0"/>
          <w:numId w:val="0"/>
        </w:numPr>
        <w:tabs>
          <w:tab w:val="left" w:pos="720"/>
        </w:tabs>
        <w:spacing w:beforeLines="0" w:afterLines="0" w:line="480" w:lineRule="auto"/>
        <w:ind w:firstLine="480" w:firstLineChars="200"/>
        <w:rPr>
          <w:rFonts w:hint="default" w:ascii="Times New Roman" w:hAnsi="Times New Roman" w:eastAsia="宋体" w:cs="Times New Roman"/>
          <w:color w:val="auto"/>
          <w:sz w:val="24"/>
        </w:rPr>
      </w:pPr>
      <w:r>
        <w:rPr>
          <w:rFonts w:hint="eastAsia" w:cs="Times New Roman"/>
          <w:b w:val="0"/>
          <w:bCs w:val="0"/>
          <w:color w:val="auto"/>
          <w:sz w:val="24"/>
          <w:lang w:val="en-US" w:eastAsia="zh-CN"/>
        </w:rPr>
        <w:t>前山立交桥底停车场长期存在流浪人员滞留过夜问题，现场管控难度较大，为做好场区秩序管理，现采购安保服务，需安排一名专职人员驻场开展疏导劝离工作。</w:t>
      </w:r>
    </w:p>
    <w:p>
      <w:pPr>
        <w:numPr>
          <w:ilvl w:val="0"/>
          <w:numId w:val="1"/>
        </w:numPr>
        <w:tabs>
          <w:tab w:val="left" w:pos="720"/>
        </w:tabs>
        <w:spacing w:beforeLines="0" w:afterLines="0" w:line="480" w:lineRule="auto"/>
        <w:ind w:left="0" w:leftChars="0"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采购预算总额</w:t>
      </w:r>
    </w:p>
    <w:p>
      <w:pPr>
        <w:numPr>
          <w:ilvl w:val="0"/>
          <w:numId w:val="0"/>
        </w:numPr>
        <w:tabs>
          <w:tab w:val="left" w:pos="720"/>
        </w:tabs>
        <w:spacing w:beforeLines="0" w:afterLines="0" w:line="480" w:lineRule="auto"/>
        <w:ind w:leftChars="0" w:firstLine="480" w:firstLineChars="200"/>
        <w:rPr>
          <w:rFonts w:hint="default" w:ascii="Times New Roman" w:hAnsi="Times New Roman" w:eastAsia="宋体" w:cs="Times New Roman"/>
          <w:color w:val="auto"/>
          <w:sz w:val="24"/>
        </w:rPr>
      </w:pP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eastAsia="zh-CN"/>
        </w:rPr>
        <w:t>陆仟玖佰元</w:t>
      </w:r>
      <w:r>
        <w:rPr>
          <w:rFonts w:hint="default" w:ascii="Times New Roman" w:hAnsi="Times New Roman" w:eastAsia="宋体" w:cs="Times New Roman"/>
          <w:color w:val="auto"/>
          <w:sz w:val="24"/>
          <w:u w:val="none"/>
        </w:rPr>
        <w:t>（¥6900.00元），报价上限：人民币</w:t>
      </w:r>
      <w:r>
        <w:rPr>
          <w:rFonts w:hint="eastAsia" w:cs="Times New Roman"/>
          <w:color w:val="auto"/>
          <w:sz w:val="24"/>
          <w:u w:val="none"/>
          <w:lang w:eastAsia="zh-CN"/>
        </w:rPr>
        <w:t>陆仟玖佰元</w:t>
      </w:r>
      <w:r>
        <w:rPr>
          <w:rFonts w:hint="default" w:ascii="Times New Roman" w:hAnsi="Times New Roman" w:eastAsia="宋体" w:cs="Times New Roman"/>
          <w:color w:val="auto"/>
          <w:sz w:val="24"/>
          <w:u w:val="none"/>
        </w:rPr>
        <w:t>（¥6900.00元）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48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前山立交桥底停车场安保服务采购</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w:t>
      </w:r>
      <w:r>
        <w:rPr>
          <w:rFonts w:hint="eastAsia" w:cs="Times New Roman"/>
          <w:color w:val="auto"/>
          <w:sz w:val="24"/>
          <w:lang w:eastAsia="zh-CN"/>
        </w:rPr>
        <w:t>。</w:t>
      </w:r>
    </w:p>
    <w:p>
      <w:pPr>
        <w:numPr>
          <w:ilvl w:val="0"/>
          <w:numId w:val="0"/>
        </w:numPr>
        <w:tabs>
          <w:tab w:val="left" w:pos="720"/>
        </w:tabs>
        <w:spacing w:beforeLines="0" w:afterLines="0" w:line="48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2.具有合法有效的《保安服务许可证》资质；</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3.自公告发布之日起近3年具备1个或以上安保类项目业绩；</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4.供应商未被列入“信用中国”网站(www.creditchina.gov.cn)“记录失信被执行人或重大税收违法失信主体”记录名单；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5.未被纳入正方集团“黑名单”；</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6.与其他投标人不存在单位负责人为同一人或者存在控股、管理关系；</w:t>
      </w:r>
    </w:p>
    <w:p>
      <w:pPr>
        <w:spacing w:beforeLines="0" w:afterLines="0" w:line="48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7.本项目不接受联合体投标。</w:t>
      </w:r>
    </w:p>
    <w:p>
      <w:pPr>
        <w:spacing w:beforeLines="0" w:afterLines="0" w:line="48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p>
    <w:p>
      <w:pPr>
        <w:pStyle w:val="8"/>
        <w:spacing w:beforeLines="0" w:afterLines="0" w:line="480" w:lineRule="auto"/>
        <w:ind w:firstLine="482" w:firstLineChars="20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0000FF"/>
          <w:kern w:val="2"/>
          <w:sz w:val="24"/>
          <w:lang w:val="en-US" w:eastAsia="zh-CN"/>
        </w:rPr>
        <w:t>要求在</w:t>
      </w:r>
      <w:r>
        <w:rPr>
          <w:rFonts w:hint="default" w:ascii="Times New Roman" w:hAnsi="Times New Roman"/>
          <w:b/>
          <w:bCs/>
          <w:color w:val="FF0000"/>
          <w:kern w:val="2"/>
          <w:sz w:val="24"/>
          <w:lang w:val="en-US" w:eastAsia="zh-CN"/>
        </w:rPr>
        <w:t>纸质文件盖章后扫描上传</w:t>
      </w:r>
      <w:r>
        <w:rPr>
          <w:rFonts w:hint="default" w:ascii="Times New Roman" w:hAnsi="Times New Roman"/>
          <w:b/>
          <w:bCs/>
          <w:color w:val="0000FF"/>
          <w:kern w:val="2"/>
          <w:sz w:val="24"/>
          <w:lang w:val="en-US" w:eastAsia="zh-CN"/>
        </w:rPr>
        <w:t>，</w:t>
      </w:r>
      <w:r>
        <w:rPr>
          <w:rFonts w:hint="eastAsia" w:ascii="Times New Roman" w:hAnsi="Times New Roman"/>
          <w:b/>
          <w:bCs/>
          <w:color w:val="0000FF"/>
          <w:kern w:val="2"/>
          <w:sz w:val="24"/>
          <w:lang w:val="en-US" w:eastAsia="zh-CN"/>
        </w:rPr>
        <w:t>报价</w:t>
      </w:r>
      <w:r>
        <w:rPr>
          <w:rFonts w:hint="default" w:ascii="Times New Roman" w:hAnsi="Times New Roman"/>
          <w:b/>
          <w:bCs/>
          <w:color w:val="0000FF"/>
          <w:kern w:val="2"/>
          <w:sz w:val="24"/>
          <w:lang w:val="en-US" w:eastAsia="zh-CN"/>
        </w:rPr>
        <w:t>文件内盖章处要求</w:t>
      </w:r>
      <w:r>
        <w:rPr>
          <w:rFonts w:hint="default" w:ascii="Times New Roman" w:hAnsi="Times New Roman"/>
          <w:b/>
          <w:bCs/>
          <w:color w:val="FF0000"/>
          <w:kern w:val="2"/>
          <w:sz w:val="24"/>
          <w:lang w:val="en-US" w:eastAsia="zh-CN"/>
        </w:rPr>
        <w:t>盖印实体章（鲜章）</w:t>
      </w:r>
      <w:r>
        <w:rPr>
          <w:rFonts w:hint="default" w:ascii="Times New Roman" w:hAnsi="Times New Roman"/>
          <w:b/>
          <w:bCs/>
          <w:color w:val="0000FF"/>
          <w:kern w:val="2"/>
          <w:sz w:val="24"/>
          <w:lang w:val="en-US" w:eastAsia="zh-CN"/>
        </w:rPr>
        <w:t>，签名处要求</w:t>
      </w:r>
      <w:r>
        <w:rPr>
          <w:rFonts w:hint="default" w:ascii="Times New Roman" w:hAnsi="Times New Roman"/>
          <w:b/>
          <w:bCs/>
          <w:color w:val="FF0000"/>
          <w:kern w:val="2"/>
          <w:sz w:val="24"/>
          <w:lang w:val="en-US" w:eastAsia="zh-CN"/>
        </w:rPr>
        <w:t>手签字或盖印实体</w:t>
      </w:r>
      <w:r>
        <w:rPr>
          <w:rFonts w:hint="default" w:ascii="Times New Roman" w:hAnsi="Times New Roman"/>
          <w:b/>
          <w:bCs/>
          <w:color w:val="0000FF"/>
          <w:kern w:val="2"/>
          <w:sz w:val="24"/>
          <w:lang w:val="en-US" w:eastAsia="zh-CN"/>
        </w:rPr>
        <w:t>法人/委托人私章。</w:t>
      </w:r>
    </w:p>
    <w:p>
      <w:pPr>
        <w:pStyle w:val="8"/>
        <w:spacing w:beforeLines="0" w:afterLines="0" w:line="480" w:lineRule="auto"/>
        <w:ind w:firstLine="482" w:firstLineChars="20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kern w:val="0"/>
          <w:sz w:val="24"/>
          <w:lang w:val="en-US" w:eastAsia="zh-CN"/>
        </w:rPr>
        <w:t>.</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48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48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480" w:lineRule="auto"/>
        <w:ind w:firstLine="0" w:firstLineChars="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p>
    <w:p>
      <w:pPr>
        <w:pStyle w:val="6"/>
        <w:keepNext w:val="0"/>
        <w:keepLines w:val="0"/>
        <w:pageBreakBefore w:val="0"/>
        <w:widowControl w:val="0"/>
        <w:kinsoku/>
        <w:wordWrap/>
        <w:overflowPunct/>
        <w:topLinePunct w:val="0"/>
        <w:bidi w:val="0"/>
        <w:snapToGrid/>
        <w:spacing w:beforeLines="0" w:afterLines="0" w:line="480" w:lineRule="auto"/>
        <w:ind w:firstLine="482" w:firstLineChars="200"/>
        <w:rPr>
          <w:rFonts w:hint="eastAsia" w:hAnsi="宋体" w:cs="仿宋"/>
          <w:sz w:val="24"/>
          <w:u w:val="none"/>
          <w:lang w:val="en-US" w:eastAsia="zh-CN"/>
        </w:rPr>
      </w:pPr>
      <w:r>
        <w:rPr>
          <w:rFonts w:hint="eastAsia" w:ascii="Times New Roman" w:cs="Times New Roman"/>
          <w:b/>
          <w:bCs/>
          <w:color w:val="auto"/>
          <w:sz w:val="24"/>
          <w:lang w:val="en-US" w:eastAsia="zh-CN"/>
        </w:rPr>
        <w:t>1.</w:t>
      </w:r>
      <w:r>
        <w:rPr>
          <w:rFonts w:hint="default" w:ascii="Times New Roman" w:hAnsi="Times New Roman" w:eastAsia="宋体" w:cs="Times New Roman"/>
          <w:b/>
          <w:bCs/>
          <w:color w:val="auto"/>
          <w:sz w:val="24"/>
        </w:rPr>
        <w:t>经评审的最低投标价法</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（1）在满足邀标文件全部实质性要求的前提下，选取评审价格最低的1家单位为中标单位。如评审价格一致，则以大号中签原则，评标委员现场抽签确定。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（2）评标基准价为满足招标文件要求且最低的评审价格；</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①若全额纳税的，评审价格=投标总价（含税）/(1+可抵扣税率）；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②若差额纳税，则评审价格=投标总价（含税）×[1-（差额比率×可抵扣税率）/(1+可抵扣税率）]；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③如投标人填报多个可抵扣税率的，按最低值参与评分：如投标人没有填报可抵扣税率的，可抵扣税率按“0%”参与评分；</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④若投标人可抵扣税率为差额抵扣，则需在投标时注明差额部分占投标报价的比例及可抵扣税率；</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eastAsia" w:hAnsi="宋体" w:cs="仿宋"/>
          <w:sz w:val="24"/>
          <w:u w:val="none"/>
          <w:lang w:val="en-US" w:eastAsia="zh-CN"/>
        </w:rPr>
      </w:pPr>
      <w:r>
        <w:rPr>
          <w:rFonts w:hint="eastAsia" w:hAnsi="宋体" w:cs="仿宋"/>
          <w:sz w:val="24"/>
          <w:u w:val="none"/>
          <w:lang w:val="en-US" w:eastAsia="zh-CN"/>
        </w:rPr>
        <w:t>⑥差额比率为差额抵扣部分的金额占投标含税报价的百分比。</w:t>
      </w:r>
    </w:p>
    <w:p>
      <w:pPr>
        <w:pStyle w:val="6"/>
        <w:keepNext w:val="0"/>
        <w:keepLines w:val="0"/>
        <w:pageBreakBefore w:val="0"/>
        <w:widowControl w:val="0"/>
        <w:kinsoku/>
        <w:wordWrap/>
        <w:overflowPunct/>
        <w:topLinePunct w:val="0"/>
        <w:bidi w:val="0"/>
        <w:snapToGrid/>
        <w:spacing w:beforeLines="0" w:afterLines="0" w:line="48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cs="Times New Roman"/>
          <w:color w:val="auto"/>
          <w:sz w:val="24"/>
          <w:lang w:val="en-US" w:eastAsia="zh-CN"/>
        </w:rPr>
        <w:t>.</w:t>
      </w:r>
      <w:r>
        <w:rPr>
          <w:rFonts w:hint="default" w:ascii="Times New Roman" w:hAnsi="Times New Roman" w:eastAsia="宋体" w:cs="Times New Roman"/>
          <w:color w:val="auto"/>
          <w:sz w:val="24"/>
        </w:rPr>
        <w:t>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w:t>
      </w:r>
      <w:r>
        <w:rPr>
          <w:rFonts w:hint="default" w:ascii="Times New Roman" w:hAnsi="Times New Roman" w:eastAsia="宋体" w:cs="Times New Roman"/>
          <w:color w:val="auto"/>
          <w:sz w:val="24"/>
        </w:rPr>
        <w:t>月</w:t>
      </w:r>
      <w:r>
        <w:rPr>
          <w:rFonts w:hint="eastAsia" w:cs="Times New Roman"/>
          <w:color w:val="auto"/>
          <w:sz w:val="24"/>
          <w:lang w:val="en-US" w:eastAsia="zh-CN"/>
        </w:rPr>
        <w:t xml:space="preserve"> 8 </w:t>
      </w:r>
      <w:r>
        <w:rPr>
          <w:rFonts w:hint="default" w:ascii="Times New Roman" w:hAnsi="Times New Roman" w:eastAsia="宋体" w:cs="Times New Roman"/>
          <w:color w:val="auto"/>
          <w:sz w:val="24"/>
        </w:rPr>
        <w:t>日 1</w:t>
      </w:r>
      <w:r>
        <w:rPr>
          <w:rFonts w:hint="eastAsia" w:cs="Times New Roman"/>
          <w:color w:val="auto"/>
          <w:sz w:val="24"/>
          <w:lang w:val="en-US" w:eastAsia="zh-CN"/>
        </w:rPr>
        <w:t>7:3</w:t>
      </w:r>
      <w:r>
        <w:rPr>
          <w:rFonts w:hint="default" w:ascii="Times New Roman" w:hAnsi="Times New Roman" w:eastAsia="宋体" w:cs="Times New Roman"/>
          <w:color w:val="auto"/>
          <w:sz w:val="24"/>
        </w:rPr>
        <w:t>0（北京时间）；</w:t>
      </w:r>
    </w:p>
    <w:permEnd w:id="5"/>
    <w:p>
      <w:pPr>
        <w:spacing w:beforeLines="0" w:afterLines="0" w:line="48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cs="Times New Roman"/>
          <w:color w:val="auto"/>
          <w:sz w:val="24"/>
          <w:lang w:val="en-US" w:eastAsia="zh-CN"/>
        </w:rPr>
        <w:t>.</w:t>
      </w:r>
      <w:r>
        <w:rPr>
          <w:rFonts w:hint="default" w:ascii="Times New Roman" w:hAnsi="Times New Roman" w:eastAsia="宋体" w:cs="Times New Roman"/>
          <w:color w:val="auto"/>
          <w:sz w:val="24"/>
        </w:rPr>
        <w:t>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color w:val="auto"/>
          <w:sz w:val="24"/>
          <w:lang w:val="en-US" w:eastAsia="zh-CN"/>
        </w:rPr>
        <w:t>投标单位全称+</w:t>
      </w:r>
      <w:r>
        <w:rPr>
          <w:rFonts w:hint="eastAsia" w:cs="Times New Roman"/>
          <w:color w:val="auto"/>
          <w:sz w:val="24"/>
          <w:lang w:eastAsia="zh-CN"/>
        </w:rPr>
        <w:t>前山立交桥底停车场安保服务采购</w:t>
      </w:r>
      <w:r>
        <w:rPr>
          <w:rFonts w:hint="default" w:ascii="Times New Roman" w:hAnsi="Times New Roman" w:eastAsia="宋体" w:cs="Times New Roman"/>
          <w:color w:val="auto"/>
          <w:sz w:val="24"/>
        </w:rPr>
        <w:t>+</w:t>
      </w:r>
      <w:r>
        <w:rPr>
          <w:rFonts w:hint="eastAsia" w:cs="Times New Roman"/>
          <w:color w:val="auto"/>
          <w:sz w:val="24"/>
          <w:lang w:val="en-US" w:eastAsia="zh-CN"/>
        </w:rPr>
        <w:t>许工</w:t>
      </w:r>
      <w:permEnd w:id="6"/>
      <w:r>
        <w:rPr>
          <w:rFonts w:hint="default" w:ascii="Times New Roman" w:hAnsi="Times New Roman" w:eastAsia="宋体" w:cs="Times New Roman"/>
          <w:color w:val="auto"/>
          <w:sz w:val="24"/>
        </w:rPr>
        <w:t>）。</w:t>
      </w:r>
    </w:p>
    <w:p>
      <w:pPr>
        <w:spacing w:beforeLines="0" w:afterLines="0" w:line="48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color w:val="auto"/>
          <w:sz w:val="24"/>
          <w:lang w:val="en-US" w:eastAsia="zh-CN"/>
        </w:rPr>
        <w:t>.</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逾期送达的、未送达指定邮箱地点的或者不按照询价文件要求格式的报价文件，将视为无效报价。</w:t>
      </w:r>
    </w:p>
    <w:p>
      <w:pPr>
        <w:numPr>
          <w:ilvl w:val="0"/>
          <w:numId w:val="0"/>
        </w:numPr>
        <w:spacing w:before="0" w:beforeLines="0" w:after="0" w:afterLines="0" w:line="48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5"/>
        <w:spacing w:beforeLines="0" w:afterLines="0" w:line="48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48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48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48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Lines/>
        <w:widowControl/>
        <w:tabs>
          <w:tab w:val="left" w:pos="201"/>
        </w:tabs>
        <w:adjustRightInd w:val="0"/>
        <w:snapToGrid w:val="0"/>
        <w:spacing w:beforeLines="0" w:afterLines="0" w:line="480" w:lineRule="auto"/>
        <w:ind w:firstLine="480" w:firstLineChars="200"/>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2.8 若中标供应商放弃中标资格、不符合中标条件的、因不可抗力不能履行合同或者被查实存在影响中标结果的违法行为等情形，招标人可按照确定的【经评审投标价由低到高】排名顺序依次确定增补为中标供应商，也可重新招标。</w:t>
      </w: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十、</w:t>
      </w:r>
      <w:r>
        <w:rPr>
          <w:rFonts w:hint="default" w:ascii="Times New Roman" w:hAnsi="Times New Roman" w:eastAsia="宋体" w:cs="Times New Roman"/>
          <w:b/>
          <w:bCs/>
          <w:color w:val="auto"/>
          <w:sz w:val="24"/>
        </w:rPr>
        <w:t>细微偏差修正</w:t>
      </w:r>
    </w:p>
    <w:p>
      <w:pPr>
        <w:pStyle w:val="35"/>
        <w:spacing w:beforeLines="0" w:afterLines="0" w:line="480" w:lineRule="auto"/>
        <w:ind w:firstLine="480"/>
        <w:rPr>
          <w:rFonts w:hint="default" w:ascii="宋体" w:hAnsi="宋体"/>
          <w:sz w:val="24"/>
        </w:rPr>
      </w:pPr>
      <w:r>
        <w:rPr>
          <w:rFonts w:hint="default" w:ascii="宋体" w:hAnsi="宋体"/>
          <w:sz w:val="24"/>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pStyle w:val="35"/>
        <w:spacing w:beforeLines="0" w:afterLines="0" w:line="480" w:lineRule="auto"/>
        <w:ind w:firstLine="480"/>
        <w:rPr>
          <w:rFonts w:hint="default" w:ascii="宋体" w:hAnsi="宋体"/>
          <w:sz w:val="24"/>
        </w:rPr>
      </w:pPr>
      <w:r>
        <w:rPr>
          <w:rFonts w:hint="default" w:ascii="宋体" w:hAnsi="宋体"/>
          <w:sz w:val="24"/>
        </w:rPr>
        <w:t>2．存在细微偏差的报价文件，采购人应评标时进行认定并要求报价人书面补正细微偏差。报价人书面作出补正之后，应当视为有效报价文件。若报价人拒绝补正，其报价文件将被拒绝。</w:t>
      </w:r>
    </w:p>
    <w:p>
      <w:pPr>
        <w:pStyle w:val="35"/>
        <w:spacing w:beforeLines="0" w:afterLines="0" w:line="480" w:lineRule="auto"/>
        <w:ind w:firstLine="480"/>
        <w:rPr>
          <w:rFonts w:hint="default" w:ascii="宋体" w:hAnsi="宋体"/>
          <w:sz w:val="24"/>
        </w:rPr>
      </w:pPr>
      <w:r>
        <w:rPr>
          <w:rFonts w:hint="default" w:ascii="宋体" w:hAnsi="宋体"/>
          <w:sz w:val="24"/>
        </w:rPr>
        <w:t>3．细微偏差按照下列原则进行补正（次序排先者优先）：</w:t>
      </w:r>
    </w:p>
    <w:p>
      <w:pPr>
        <w:pStyle w:val="35"/>
        <w:spacing w:beforeLines="0" w:afterLines="0" w:line="480" w:lineRule="auto"/>
        <w:ind w:firstLine="480"/>
        <w:rPr>
          <w:rFonts w:hint="default" w:ascii="宋体" w:hAnsi="宋体"/>
          <w:sz w:val="24"/>
        </w:rPr>
      </w:pPr>
      <w:r>
        <w:rPr>
          <w:rFonts w:hint="default" w:ascii="宋体" w:hAnsi="宋体"/>
          <w:sz w:val="24"/>
        </w:rPr>
        <w:t>（1）投标报价大写金额与小写金额不一致的，除非大写金额存在明显的小数点错误，否则，应当以大写金额为准，修改小写金额。</w:t>
      </w:r>
    </w:p>
    <w:p>
      <w:pPr>
        <w:pStyle w:val="35"/>
        <w:spacing w:beforeLines="0" w:afterLines="0" w:line="480" w:lineRule="auto"/>
        <w:ind w:firstLine="480"/>
        <w:rPr>
          <w:rFonts w:hint="default" w:ascii="宋体" w:hAnsi="宋体"/>
          <w:sz w:val="24"/>
        </w:rPr>
      </w:pPr>
      <w:r>
        <w:rPr>
          <w:rFonts w:hint="default" w:ascii="宋体" w:hAnsi="宋体"/>
          <w:sz w:val="24"/>
        </w:rPr>
        <w:t>（2）投标总价金额与分项报价合计金额不一致的，除非投标总价金额存在明显的小数点错误，否则，应当以投标总价金额为准，修改分项报价合计金额。</w:t>
      </w:r>
    </w:p>
    <w:p>
      <w:pPr>
        <w:pStyle w:val="35"/>
        <w:spacing w:beforeLines="0" w:afterLines="0" w:line="480" w:lineRule="auto"/>
        <w:ind w:firstLine="480"/>
        <w:rPr>
          <w:rFonts w:hint="default" w:ascii="宋体" w:hAnsi="宋体"/>
          <w:sz w:val="24"/>
        </w:rPr>
      </w:pPr>
      <w:r>
        <w:rPr>
          <w:rFonts w:hint="default" w:ascii="宋体" w:hAnsi="宋体"/>
          <w:sz w:val="24"/>
        </w:rPr>
        <w:t>（3）若用文字表示的数值与用数字表示的数值不一致，以文字表示的数值为准。</w:t>
      </w:r>
    </w:p>
    <w:p>
      <w:pPr>
        <w:pStyle w:val="35"/>
        <w:spacing w:beforeLines="0" w:afterLines="0" w:line="480" w:lineRule="auto"/>
        <w:ind w:firstLine="480"/>
        <w:rPr>
          <w:rFonts w:hint="eastAsia"/>
        </w:rPr>
      </w:pPr>
      <w:r>
        <w:rPr>
          <w:rFonts w:hint="default" w:ascii="宋体" w:hAnsi="宋体"/>
          <w:sz w:val="24"/>
        </w:rPr>
        <w:t>（4）其他细微偏差按照有利于采购人的原则进行补正。</w:t>
      </w:r>
    </w:p>
    <w:p>
      <w:pPr>
        <w:pStyle w:val="2"/>
        <w:rPr>
          <w:rFonts w:hint="eastAsia"/>
        </w:rPr>
      </w:pPr>
    </w:p>
    <w:p>
      <w:pPr>
        <w:numPr>
          <w:ilvl w:val="0"/>
          <w:numId w:val="0"/>
        </w:numPr>
        <w:tabs>
          <w:tab w:val="left" w:pos="180"/>
        </w:tabs>
        <w:spacing w:beforeLines="0" w:afterLines="0" w:line="480" w:lineRule="auto"/>
        <w:rPr>
          <w:rFonts w:hint="default" w:ascii="Times New Roman" w:hAnsi="Times New Roman" w:eastAsia="宋体" w:cs="Times New Roman"/>
          <w:b/>
          <w:bCs/>
          <w:color w:val="auto"/>
          <w:sz w:val="24"/>
        </w:rPr>
      </w:pPr>
      <w:bookmarkStart w:id="1" w:name="_Toc47961947"/>
      <w:r>
        <w:rPr>
          <w:rFonts w:hint="default" w:ascii="Times New Roman" w:hAnsi="Times New Roman" w:eastAsia="宋体" w:cs="Times New Roman"/>
          <w:b/>
          <w:bCs/>
          <w:color w:val="auto"/>
          <w:sz w:val="24"/>
          <w:lang w:val="en-US" w:eastAsia="zh-CN"/>
        </w:rPr>
        <w:t>十</w:t>
      </w:r>
      <w:r>
        <w:rPr>
          <w:rFonts w:hint="eastAsia" w:cs="Times New Roman"/>
          <w:b/>
          <w:bCs/>
          <w:color w:val="auto"/>
          <w:sz w:val="24"/>
          <w:lang w:val="en-US" w:eastAsia="zh-CN"/>
        </w:rPr>
        <w:t>一</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联系方式</w:t>
      </w:r>
      <w:bookmarkEnd w:id="1"/>
    </w:p>
    <w:p>
      <w:pPr>
        <w:numPr>
          <w:ilvl w:val="0"/>
          <w:numId w:val="0"/>
        </w:numPr>
        <w:spacing w:beforeLines="0" w:afterLines="0" w:line="480" w:lineRule="auto"/>
        <w:ind w:firstLine="480" w:firstLineChars="200"/>
        <w:rPr>
          <w:rFonts w:hint="default" w:ascii="宋体" w:hAnsi="宋体"/>
          <w:sz w:val="24"/>
          <w:lang w:val="en-US" w:eastAsia="zh-CN"/>
        </w:rPr>
      </w:pPr>
      <w:r>
        <w:rPr>
          <w:rFonts w:hint="eastAsia" w:ascii="宋体" w:hAnsi="宋体"/>
          <w:sz w:val="24"/>
          <w:lang w:val="en-US" w:eastAsia="zh-CN"/>
        </w:rPr>
        <w:t>1.</w:t>
      </w:r>
      <w:r>
        <w:rPr>
          <w:rFonts w:hint="default" w:ascii="宋体" w:hAnsi="宋体"/>
          <w:sz w:val="24"/>
          <w:lang w:val="en-US" w:eastAsia="zh-CN"/>
        </w:rPr>
        <w:t>地址：</w:t>
      </w:r>
      <w:r>
        <w:rPr>
          <w:rFonts w:hint="eastAsia" w:ascii="宋体" w:hAnsi="宋体"/>
          <w:sz w:val="24"/>
          <w:lang w:val="en-US" w:eastAsia="zh-CN"/>
        </w:rPr>
        <w:t>珠海市香洲区卫康路199号香洲创港中心17栋14楼。</w:t>
      </w:r>
    </w:p>
    <w:p>
      <w:pPr>
        <w:numPr>
          <w:ilvl w:val="0"/>
          <w:numId w:val="0"/>
        </w:numPr>
        <w:spacing w:beforeLines="0" w:afterLines="0" w:line="480" w:lineRule="auto"/>
        <w:ind w:firstLine="480" w:firstLineChars="200"/>
        <w:rPr>
          <w:rFonts w:hint="default" w:ascii="Times New Roman" w:hAnsi="Times New Roman" w:eastAsia="宋体" w:cs="Times New Roman"/>
          <w:color w:val="auto"/>
        </w:rPr>
      </w:pPr>
      <w:r>
        <w:rPr>
          <w:rFonts w:hint="eastAsia" w:ascii="宋体" w:hAnsi="宋体"/>
          <w:sz w:val="24"/>
          <w:lang w:val="en-US" w:eastAsia="zh-CN"/>
        </w:rPr>
        <w:t>2.报价</w:t>
      </w:r>
      <w:r>
        <w:rPr>
          <w:rFonts w:hint="default" w:ascii="宋体" w:hAnsi="宋体"/>
          <w:sz w:val="24"/>
          <w:lang w:val="en-US" w:eastAsia="zh-CN"/>
        </w:rPr>
        <w:t>咨询联</w:t>
      </w:r>
      <w:r>
        <w:rPr>
          <w:rFonts w:hint="default" w:ascii="Times New Roman" w:hAnsi="Times New Roman" w:eastAsia="宋体" w:cs="Times New Roman"/>
          <w:color w:val="auto"/>
          <w:sz w:val="24"/>
          <w:szCs w:val="24"/>
        </w:rPr>
        <w:t xml:space="preserve">系方式： </w:t>
      </w:r>
      <w:permStart w:id="7" w:edGrp="everyone"/>
      <w:r>
        <w:rPr>
          <w:rFonts w:hint="eastAsia"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许</w:t>
      </w:r>
      <w:r>
        <w:rPr>
          <w:rFonts w:hint="eastAsia" w:cs="Times New Roman"/>
          <w:color w:val="auto"/>
          <w:sz w:val="24"/>
          <w:szCs w:val="24"/>
          <w:lang w:val="en-US" w:eastAsia="zh-CN"/>
        </w:rPr>
        <w:t>工15989798246</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20"/>
        <w:ind w:firstLine="480" w:firstLineChars="200"/>
        <w:rPr>
          <w:rFonts w:hint="default" w:ascii="Times New Roman" w:hAnsi="Times New Roman" w:eastAsia="宋体" w:cs="Times New Roman"/>
          <w:color w:val="auto"/>
          <w:sz w:val="24"/>
          <w:szCs w:val="24"/>
        </w:rPr>
      </w:pPr>
    </w:p>
    <w:p>
      <w:pPr>
        <w:pStyle w:val="20"/>
        <w:jc w:val="right"/>
        <w:rPr>
          <w:rFonts w:hint="eastAsia" w:ascii="宋体" w:hAnsi="宋体" w:eastAsia="宋体" w:cs="宋体"/>
          <w:color w:val="auto"/>
          <w:sz w:val="24"/>
          <w:szCs w:val="24"/>
        </w:rPr>
      </w:pPr>
    </w:p>
    <w:p>
      <w:pPr>
        <w:pStyle w:val="20"/>
        <w:spacing w:line="48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珠海正方慧通科技有限公司</w:t>
      </w:r>
      <w:r>
        <w:rPr>
          <w:rFonts w:hint="eastAsia" w:ascii="宋体" w:hAnsi="宋体" w:eastAsia="宋体" w:cs="宋体"/>
          <w:color w:val="auto"/>
          <w:sz w:val="24"/>
          <w:szCs w:val="24"/>
        </w:rPr>
        <w:t xml:space="preserve">         </w:t>
      </w:r>
    </w:p>
    <w:p>
      <w:pPr>
        <w:pStyle w:val="20"/>
        <w:spacing w:line="48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 xml:space="preserve"> 6</w:t>
      </w:r>
      <w:r>
        <w:rPr>
          <w:rFonts w:hint="eastAsia" w:ascii="宋体" w:hAnsi="宋体" w:eastAsia="宋体" w:cs="宋体"/>
          <w:color w:val="auto"/>
          <w:sz w:val="24"/>
          <w:szCs w:val="24"/>
        </w:rPr>
        <w:t xml:space="preserve">月 </w:t>
      </w:r>
      <w:r>
        <w:rPr>
          <w:rFonts w:hint="eastAsia" w:ascii="宋体" w:hAnsi="宋体" w:cs="宋体"/>
          <w:color w:val="auto"/>
          <w:sz w:val="24"/>
          <w:szCs w:val="24"/>
          <w:lang w:val="en-US" w:eastAsia="zh-CN"/>
        </w:rPr>
        <w:t>5</w:t>
      </w:r>
      <w:bookmarkStart w:id="95" w:name="_GoBack"/>
      <w:bookmarkEnd w:id="95"/>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日</w:t>
      </w: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pStyle w:val="20"/>
        <w:jc w:val="right"/>
        <w:rPr>
          <w:rFonts w:hint="eastAsia" w:ascii="宋体" w:hAnsi="宋体" w:eastAsia="宋体" w:cs="宋体"/>
          <w:color w:val="auto"/>
          <w:sz w:val="24"/>
          <w:szCs w:val="24"/>
        </w:rPr>
      </w:pPr>
    </w:p>
    <w:p>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pPr>
        <w:pStyle w:val="20"/>
        <w:jc w:val="right"/>
        <w:rPr>
          <w:rFonts w:hint="eastAsia" w:ascii="宋体" w:hAnsi="宋体" w:eastAsia="宋体" w:cs="宋体"/>
          <w:color w:val="auto"/>
          <w:sz w:val="24"/>
          <w:szCs w:val="24"/>
        </w:rPr>
      </w:pPr>
    </w:p>
    <w:p>
      <w:pPr>
        <w:pStyle w:val="3"/>
        <w:keepNext/>
        <w:keepLines/>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27664"/>
      <w:bookmarkStart w:id="3" w:name="_Toc9199"/>
      <w:bookmarkStart w:id="4" w:name="_Toc15547"/>
      <w:r>
        <w:rPr>
          <w:rFonts w:hint="eastAsia" w:ascii="宋体" w:hAnsi="宋体" w:eastAsia="宋体"/>
          <w:lang w:eastAsia="zh-CN"/>
        </w:rPr>
        <w:t>报价文件格式</w:t>
      </w:r>
      <w:bookmarkEnd w:id="2"/>
      <w:bookmarkEnd w:id="3"/>
      <w:bookmarkEnd w:id="4"/>
      <w:bookmarkStart w:id="5" w:name="_Toc276645578"/>
      <w:bookmarkStart w:id="6" w:name="_Toc503427708"/>
    </w:p>
    <w:p>
      <w:pPr>
        <w:pStyle w:val="4"/>
        <w:spacing w:line="360" w:lineRule="auto"/>
        <w:rPr>
          <w:rFonts w:hint="eastAsia" w:ascii="黑体" w:hAnsi="黑体" w:eastAsia="黑体" w:cs="黑体"/>
          <w:b/>
          <w:bCs w:val="0"/>
          <w:sz w:val="28"/>
          <w:szCs w:val="28"/>
        </w:rPr>
      </w:pPr>
      <w:bookmarkStart w:id="7" w:name="_Toc16107"/>
      <w:bookmarkStart w:id="8" w:name="_Toc276645579"/>
      <w:bookmarkStart w:id="9" w:name="_Toc15317"/>
      <w:bookmarkStart w:id="10" w:name="_Toc202251700"/>
      <w:bookmarkStart w:id="11" w:name="_Toc202251075"/>
      <w:bookmarkStart w:id="12" w:name="_Toc17685"/>
      <w:bookmarkStart w:id="13" w:name="_Toc202254105"/>
      <w:bookmarkStart w:id="14" w:name="_Toc202820351"/>
      <w:bookmarkStart w:id="15" w:name="_Toc202816996"/>
      <w:bookmarkStart w:id="16" w:name="_Toc202819878"/>
      <w:bookmarkStart w:id="17" w:name="_Toc503427710"/>
      <w:bookmarkStart w:id="18" w:name="_Toc698"/>
      <w:bookmarkStart w:id="19" w:name="_Toc259090982"/>
      <w:bookmarkStart w:id="20" w:name="_Toc202252034"/>
      <w:r>
        <w:rPr>
          <w:rFonts w:hint="eastAsia" w:ascii="黑体" w:hAnsi="黑体" w:eastAsia="黑体" w:cs="黑体"/>
          <w:b/>
          <w:bCs w:val="0"/>
          <w:sz w:val="28"/>
          <w:szCs w:val="28"/>
        </w:rPr>
        <w:t>一、资格性文件</w:t>
      </w:r>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5"/>
        <w:spacing w:before="100" w:after="100" w:line="360" w:lineRule="auto"/>
        <w:rPr>
          <w:rFonts w:ascii="宋体" w:hAnsi="宋体"/>
          <w:sz w:val="28"/>
        </w:rPr>
      </w:pPr>
      <w:bookmarkStart w:id="21" w:name="_Toc503427711"/>
      <w:bookmarkStart w:id="22" w:name="_Toc24181"/>
      <w:bookmarkStart w:id="23" w:name="_Toc259090983"/>
      <w:bookmarkStart w:id="24" w:name="_Toc13089"/>
      <w:bookmarkStart w:id="25" w:name="_Toc20366"/>
      <w:bookmarkStart w:id="26" w:name="_Toc276645580"/>
      <w:bookmarkStart w:id="27" w:name="_Toc32660"/>
      <w:r>
        <w:rPr>
          <w:rFonts w:hint="eastAsia" w:ascii="宋体" w:hAnsi="宋体"/>
          <w:sz w:val="28"/>
        </w:rPr>
        <w:t>1.1投标函</w:t>
      </w:r>
      <w:bookmarkEnd w:id="21"/>
      <w:bookmarkEnd w:id="22"/>
      <w:bookmarkEnd w:id="23"/>
      <w:bookmarkEnd w:id="24"/>
      <w:bookmarkEnd w:id="25"/>
      <w:bookmarkEnd w:id="26"/>
      <w:bookmarkEnd w:id="27"/>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珠海正方慧通科技有限公司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前山立交桥底停车场安保服务采购</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w:t>
      </w:r>
      <w:r>
        <w:rPr>
          <w:rFonts w:hint="eastAsia" w:ascii="宋体" w:hAnsi="宋体"/>
          <w:kern w:val="0"/>
          <w:sz w:val="24"/>
          <w:lang w:eastAsia="zh-CN"/>
        </w:rPr>
        <w:t>（</w:t>
      </w:r>
      <w:r>
        <w:rPr>
          <w:rFonts w:hint="eastAsia" w:ascii="宋体" w:hAnsi="宋体"/>
          <w:kern w:val="0"/>
          <w:sz w:val="24"/>
        </w:rPr>
        <w:t>如果有的话</w:t>
      </w:r>
      <w:r>
        <w:rPr>
          <w:rFonts w:hint="eastAsia" w:ascii="宋体" w:hAnsi="宋体"/>
          <w:kern w:val="0"/>
          <w:sz w:val="24"/>
          <w:lang w:eastAsia="zh-CN"/>
        </w:rPr>
        <w:t>）</w:t>
      </w:r>
      <w:r>
        <w:rPr>
          <w:rFonts w:hint="eastAsia" w:ascii="宋体" w:hAnsi="宋体"/>
          <w:kern w:val="0"/>
          <w:sz w:val="24"/>
        </w:rPr>
        <w:t>。我方已完全清晰理解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w:t>
      </w:r>
      <w:r>
        <w:rPr>
          <w:rFonts w:hint="eastAsia" w:ascii="宋体" w:hAnsi="宋体"/>
          <w:kern w:val="0"/>
          <w:sz w:val="24"/>
          <w:lang w:val="en-US" w:eastAsia="zh-CN"/>
        </w:rPr>
        <w:t>成分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人名称</w:t>
      </w:r>
      <w:r>
        <w:rPr>
          <w:rFonts w:hint="eastAsia" w:ascii="宋体" w:hAnsi="宋体"/>
          <w:sz w:val="24"/>
          <w:lang w:eastAsia="zh-CN"/>
        </w:rPr>
        <w:t>（</w:t>
      </w:r>
      <w:r>
        <w:rPr>
          <w:rFonts w:hint="eastAsia" w:ascii="宋体" w:hAnsi="宋体"/>
          <w:sz w:val="24"/>
        </w:rPr>
        <w:t>公章</w:t>
      </w:r>
      <w:r>
        <w:rPr>
          <w:rFonts w:hint="eastAsia" w:ascii="宋体" w:hAnsi="宋体"/>
          <w:sz w:val="24"/>
          <w:lang w:eastAsia="zh-CN"/>
        </w:rPr>
        <w:t>）</w:t>
      </w:r>
      <w:r>
        <w:rPr>
          <w:rFonts w:hint="eastAsia" w:ascii="宋体" w:hAnsi="宋体"/>
          <w:sz w:val="24"/>
        </w:rPr>
        <w:t xml:space="preserve">：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1.2法</w:t>
      </w:r>
      <w:r>
        <w:rPr>
          <w:rFonts w:hint="eastAsia" w:ascii="宋体" w:hAnsi="宋体" w:eastAsia="宋体"/>
          <w:sz w:val="28"/>
        </w:rPr>
        <w:t>定代表人</w:t>
      </w:r>
      <w:r>
        <w:rPr>
          <w:rFonts w:hint="eastAsia" w:ascii="宋体" w:hAnsi="宋体" w:eastAsia="宋体"/>
          <w:sz w:val="28"/>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8" w:name="_Toc20809"/>
      <w:bookmarkEnd w:id="28"/>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t xml:space="preserve"> </w:t>
      </w:r>
    </w:p>
    <w:p>
      <w:pPr>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8"/>
        <w:spacing w:before="1" w:line="364" w:lineRule="auto"/>
        <w:ind w:right="105"/>
        <w:rPr>
          <w:spacing w:val="-8"/>
        </w:rPr>
      </w:pPr>
    </w:p>
    <w:p>
      <w:pPr>
        <w:pStyle w:val="8"/>
        <w:spacing w:before="1" w:line="364" w:lineRule="auto"/>
        <w:ind w:left="0" w:leftChars="0" w:right="105" w:firstLine="0" w:firstLineChars="0"/>
        <w:rPr>
          <w:spacing w:val="-8"/>
        </w:rPr>
      </w:pPr>
    </w:p>
    <w:p>
      <w:pPr>
        <w:pStyle w:val="8"/>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8"/>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8"/>
        <w:spacing w:before="2" w:line="364" w:lineRule="auto"/>
        <w:ind w:left="0" w:leftChars="0" w:right="3705" w:firstLine="0" w:firstLineChars="0"/>
      </w:pPr>
    </w:p>
    <w:p>
      <w:pPr>
        <w:pStyle w:val="8"/>
        <w:spacing w:before="2" w:line="364" w:lineRule="auto"/>
        <w:ind w:left="0" w:leftChars="0" w:right="3705" w:firstLine="0" w:firstLineChars="0"/>
      </w:pPr>
    </w:p>
    <w:p>
      <w:pPr>
        <w:pStyle w:val="8"/>
        <w:spacing w:before="2" w:line="364" w:lineRule="auto"/>
        <w:ind w:left="0" w:leftChars="0" w:right="3705" w:firstLine="0" w:firstLineChars="0"/>
      </w:pPr>
    </w:p>
    <w:p>
      <w:pPr>
        <w:pStyle w:val="8"/>
        <w:spacing w:before="201"/>
        <w:ind w:left="4920"/>
        <w:rPr>
          <w:spacing w:val="-120"/>
        </w:rPr>
      </w:pPr>
      <w:r>
        <w:t>公司名称（公章</w:t>
      </w:r>
      <w:r>
        <w:rPr>
          <w:spacing w:val="-120"/>
        </w:rPr>
        <w:t>）</w:t>
      </w:r>
    </w:p>
    <w:p>
      <w:pPr>
        <w:pStyle w:val="8"/>
        <w:spacing w:before="201"/>
        <w:ind w:left="4920"/>
        <w:rPr>
          <w:spacing w:val="-120"/>
        </w:rPr>
      </w:pPr>
    </w:p>
    <w:p>
      <w:pPr>
        <w:pStyle w:val="8"/>
        <w:ind w:left="4920"/>
        <w:rPr>
          <w:spacing w:val="-120"/>
        </w:rPr>
      </w:pPr>
      <w:r>
        <w:t>法定代表人（签名或签章</w:t>
      </w:r>
      <w:r>
        <w:rPr>
          <w:spacing w:val="-120"/>
        </w:rPr>
        <w:t>）</w:t>
      </w:r>
    </w:p>
    <w:p>
      <w:pPr>
        <w:pStyle w:val="8"/>
        <w:ind w:left="4920"/>
        <w:rPr>
          <w:spacing w:val="-120"/>
        </w:rPr>
      </w:pPr>
    </w:p>
    <w:p>
      <w:pPr>
        <w:pStyle w:val="8"/>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8"/>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8"/>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73675" cy="6521450"/>
                    </a:xfrm>
                    <a:prstGeom prst="rect">
                      <a:avLst/>
                    </a:prstGeom>
                    <a:noFill/>
                    <a:ln>
                      <a:noFill/>
                    </a:ln>
                  </pic:spPr>
                </pic:pic>
              </a:graphicData>
            </a:graphic>
          </wp:inline>
        </w:drawing>
      </w:r>
    </w:p>
    <w:p>
      <w:pPr>
        <w:pStyle w:val="8"/>
        <w:spacing w:before="1"/>
        <w:rPr>
          <w:rFonts w:hint="eastAsia"/>
          <w:spacing w:val="-120"/>
          <w:lang w:val="en-US" w:eastAsia="zh-CN"/>
        </w:rPr>
      </w:pPr>
    </w:p>
    <w:p>
      <w:pPr>
        <w:pStyle w:val="8"/>
        <w:spacing w:before="1"/>
        <w:rPr>
          <w:rFonts w:hint="eastAsia"/>
          <w:spacing w:val="-120"/>
          <w:lang w:val="en-US" w:eastAsia="zh-CN"/>
        </w:rPr>
      </w:pPr>
    </w:p>
    <w:p>
      <w:pPr>
        <w:pStyle w:val="8"/>
        <w:spacing w:before="1"/>
        <w:rPr>
          <w:rFonts w:hint="eastAsia"/>
          <w:spacing w:val="-120"/>
          <w:lang w:val="en-US" w:eastAsia="zh-CN"/>
        </w:rPr>
      </w:pPr>
    </w:p>
    <w:p>
      <w:pPr>
        <w:pStyle w:val="8"/>
        <w:spacing w:before="1"/>
        <w:rPr>
          <w:rFonts w:hint="eastAsia"/>
          <w:spacing w:val="-120"/>
          <w:lang w:val="en-US" w:eastAsia="zh-CN"/>
        </w:rPr>
      </w:pPr>
    </w:p>
    <w:p>
      <w:pPr>
        <w:pStyle w:val="8"/>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hint="eastAsia" w:ascii="宋体" w:hAnsi="宋体" w:eastAsia="宋体"/>
          <w:sz w:val="28"/>
          <w:lang w:val="en-US" w:eastAsia="zh-CN"/>
        </w:rPr>
      </w:pPr>
      <w:bookmarkStart w:id="29" w:name="_Toc19171"/>
      <w:bookmarkStart w:id="30" w:name="_Toc27591"/>
      <w:bookmarkStart w:id="31" w:name="_Toc528"/>
      <w:bookmarkStart w:id="32" w:name="_Toc503427713"/>
      <w:bookmarkStart w:id="33" w:name="_Toc19817"/>
      <w:bookmarkStart w:id="34" w:name="_Toc17080"/>
      <w:r>
        <w:rPr>
          <w:rFonts w:hint="eastAsia" w:ascii="宋体" w:hAnsi="宋体" w:eastAsia="宋体"/>
          <w:sz w:val="28"/>
          <w:lang w:val="en-US" w:eastAsia="zh-CN"/>
        </w:rPr>
        <w:t>1.3关于资格的声明函</w:t>
      </w:r>
      <w:bookmarkEnd w:id="29"/>
      <w:bookmarkEnd w:id="30"/>
      <w:bookmarkEnd w:id="31"/>
      <w:bookmarkEnd w:id="32"/>
      <w:bookmarkEnd w:id="33"/>
      <w:bookmarkEnd w:id="34"/>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珠海正方慧通科技有限公司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rPr>
        <w:t xml:space="preserve">      </w:t>
      </w:r>
      <w:r>
        <w:rPr>
          <w:rFonts w:hint="eastAsia" w:ascii="宋体" w:hAnsi="宋体"/>
          <w:sz w:val="24"/>
          <w:u w:val="single"/>
          <w:lang w:eastAsia="zh-CN"/>
        </w:rPr>
        <w:t>前山立交桥底停车场安保服务采购</w:t>
      </w:r>
      <w:r>
        <w:rPr>
          <w:rFonts w:hint="eastAsia" w:ascii="宋体" w:hAnsi="宋体"/>
          <w:sz w:val="24"/>
          <w:u w:val="single"/>
        </w:rPr>
        <w:t xml:space="preserve">    </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hint="eastAsia" w:ascii="宋体" w:hAnsi="宋体"/>
          <w:sz w:val="24"/>
          <w:lang w:eastAsia="zh-CN"/>
        </w:rPr>
        <w:t>报价</w:t>
      </w:r>
      <w:r>
        <w:rPr>
          <w:rFonts w:hint="eastAsia" w:ascii="宋体" w:hAnsi="宋体"/>
          <w:sz w:val="24"/>
        </w:rPr>
        <w:t>文件中提供法人或者其他组织的营业执照等作为证明材料，复印件）</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w:t>
      </w:r>
      <w:r>
        <w:rPr>
          <w:rFonts w:hint="eastAsia" w:ascii="宋体" w:hAnsi="宋体"/>
          <w:sz w:val="24"/>
          <w:highlight w:val="none"/>
          <w:lang w:val="en-US" w:eastAsia="zh-CN"/>
        </w:rPr>
        <w:t>满足第一部分第五条“供应商资格要求”所</w:t>
      </w:r>
      <w:r>
        <w:rPr>
          <w:rFonts w:hint="eastAsia" w:ascii="宋体" w:hAnsi="宋体"/>
          <w:sz w:val="24"/>
          <w:lang w:val="en-US" w:eastAsia="zh-CN"/>
        </w:rPr>
        <w:t>列条款</w:t>
      </w:r>
      <w:r>
        <w:rPr>
          <w:rFonts w:hint="eastAsia" w:ascii="宋体" w:hAnsi="宋体"/>
          <w:sz w:val="24"/>
        </w:rPr>
        <w:t>；</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r>
        <w:rPr>
          <w:rFonts w:hint="eastAsia" w:ascii="宋体" w:hAnsi="宋体"/>
          <w:sz w:val="24"/>
          <w:lang w:eastAsia="zh-CN"/>
        </w:rPr>
        <w:t>；</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hint="eastAsia" w:ascii="宋体" w:hAnsi="宋体" w:eastAsia="宋体"/>
          <w:sz w:val="24"/>
          <w:lang w:eastAsia="zh-CN"/>
        </w:rPr>
      </w:pPr>
      <w:r>
        <w:rPr>
          <w:rFonts w:hint="eastAsia" w:ascii="宋体" w:hAnsi="宋体"/>
          <w:sz w:val="24"/>
          <w:lang w:val="en-US" w:eastAsia="zh-CN"/>
        </w:rPr>
        <w:t>2</w:t>
      </w:r>
      <w:r>
        <w:rPr>
          <w:rFonts w:hint="eastAsia" w:ascii="宋体" w:hAnsi="宋体"/>
          <w:sz w:val="24"/>
        </w:rPr>
        <w:t>.2 存在直接控股或管理关系的</w:t>
      </w:r>
      <w:r>
        <w:rPr>
          <w:rFonts w:hint="eastAsia" w:ascii="宋体" w:hAnsi="宋体"/>
          <w:sz w:val="24"/>
          <w:lang w:eastAsia="zh-CN"/>
        </w:rPr>
        <w:t>。</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35" w:name="_Toc19796"/>
      <w:bookmarkStart w:id="36" w:name="_Toc19969"/>
      <w:bookmarkStart w:id="37" w:name="_Toc31877"/>
      <w:bookmarkStart w:id="38" w:name="_Toc15464"/>
      <w:bookmarkStart w:id="39" w:name="_Toc24969"/>
      <w:bookmarkStart w:id="40" w:name="_Toc31767"/>
      <w:bookmarkStart w:id="41" w:name="_Toc10559"/>
      <w:bookmarkStart w:id="42" w:name="_Toc13922"/>
      <w:bookmarkStart w:id="43" w:name="_Toc6220"/>
      <w:bookmarkStart w:id="44" w:name="_Toc14285"/>
      <w:bookmarkStart w:id="45" w:name="_Toc10585"/>
      <w:bookmarkStart w:id="46" w:name="_Toc9476"/>
      <w:bookmarkStart w:id="47" w:name="_Toc26971"/>
      <w:bookmarkStart w:id="48" w:name="_Toc24356"/>
      <w:bookmarkStart w:id="49" w:name="_Toc32141"/>
      <w:bookmarkStart w:id="50" w:name="_Toc5048"/>
      <w:bookmarkStart w:id="51" w:name="_Toc4726"/>
      <w:bookmarkStart w:id="52" w:name="_Toc27468"/>
      <w:bookmarkStart w:id="53" w:name="_Toc4427"/>
      <w:bookmarkStart w:id="54" w:name="_Toc32498"/>
      <w:bookmarkStart w:id="55" w:name="_Toc264628882"/>
      <w:bookmarkStart w:id="56" w:name="_Toc276645583"/>
      <w:bookmarkStart w:id="57" w:name="_Toc503427714"/>
      <w:bookmarkStart w:id="58" w:name="_Toc6275"/>
      <w:r>
        <w:rPr>
          <w:rFonts w:hint="eastAsia" w:ascii="宋体" w:hAnsi="宋体" w:eastAsia="宋体"/>
          <w:sz w:val="28"/>
          <w:lang w:val="en-US" w:eastAsia="zh-CN"/>
        </w:rPr>
        <w:t>1.3.1营业执照</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hAnsi="宋体" w:eastAsia="宋体" w:cs="宋体"/>
          <w:b/>
          <w:bCs/>
          <w:kern w:val="28"/>
          <w:sz w:val="24"/>
          <w:szCs w:val="24"/>
          <w:lang w:eastAsia="zh-CN"/>
        </w:r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2" w:firstLineChars="200"/>
        <w:textAlignment w:val="baseline"/>
        <w:rPr>
          <w:rFonts w:hint="eastAsia"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p>
    <w:p>
      <w:pPr>
        <w:pStyle w:val="5"/>
        <w:spacing w:before="100" w:after="100" w:line="360" w:lineRule="auto"/>
        <w:rPr>
          <w:rFonts w:hint="eastAsia" w:ascii="宋体" w:hAnsi="宋体" w:eastAsia="宋体"/>
          <w:sz w:val="28"/>
          <w:lang w:val="en-US" w:eastAsia="zh-CN"/>
        </w:rPr>
      </w:pPr>
      <w:bookmarkStart w:id="59" w:name="_Toc21911"/>
      <w:r>
        <w:rPr>
          <w:rFonts w:hint="eastAsia" w:ascii="宋体" w:hAnsi="宋体" w:eastAsia="宋体"/>
          <w:sz w:val="28"/>
          <w:lang w:val="en-US" w:eastAsia="zh-CN"/>
        </w:rPr>
        <w:t>1.3.2 资质要求</w:t>
      </w:r>
    </w:p>
    <w:p>
      <w:pPr>
        <w:numPr>
          <w:ilvl w:val="0"/>
          <w:numId w:val="0"/>
        </w:numPr>
        <w:rPr>
          <w:rFonts w:hint="default"/>
          <w:b/>
          <w:sz w:val="24"/>
          <w:szCs w:val="24"/>
          <w:lang w:val="en-US" w:eastAsia="zh-CN"/>
        </w:rPr>
      </w:pPr>
      <w:r>
        <w:rPr>
          <w:rFonts w:hint="eastAsia"/>
          <w:b/>
          <w:sz w:val="24"/>
          <w:szCs w:val="24"/>
          <w:lang w:val="en-US" w:eastAsia="zh-CN"/>
        </w:rPr>
        <w:t>示例：</w:t>
      </w:r>
    </w:p>
    <w:p>
      <w:pPr>
        <w:rPr>
          <w:rFonts w:hint="eastAsia" w:ascii="宋体" w:hAnsi="宋体" w:eastAsia="宋体"/>
          <w:sz w:val="28"/>
          <w:lang w:val="en-US" w:eastAsia="zh-CN"/>
        </w:rPr>
      </w:pPr>
      <w:r>
        <w:rPr>
          <w:rFonts w:hint="default"/>
          <w:b/>
          <w:sz w:val="24"/>
          <w:szCs w:val="24"/>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8"/>
                    <a:stretch>
                      <a:fillRect/>
                    </a:stretch>
                  </pic:blipFill>
                  <pic:spPr>
                    <a:xfrm>
                      <a:off x="0" y="0"/>
                      <a:ext cx="5273675" cy="7130415"/>
                    </a:xfrm>
                    <a:prstGeom prst="rect">
                      <a:avLst/>
                    </a:prstGeom>
                  </pic:spPr>
                </pic:pic>
              </a:graphicData>
            </a:graphic>
          </wp:inline>
        </w:drawing>
      </w:r>
    </w:p>
    <w:p>
      <w:pPr>
        <w:pStyle w:val="5"/>
        <w:spacing w:before="100" w:after="100" w:line="360" w:lineRule="auto"/>
        <w:rPr>
          <w:rFonts w:hint="eastAsia" w:ascii="宋体" w:hAnsi="宋体" w:eastAsia="宋体"/>
          <w:sz w:val="28"/>
          <w:lang w:val="en-US" w:eastAsia="zh-CN"/>
        </w:rPr>
      </w:pPr>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 xml:space="preserve">1.3.3 </w:t>
      </w:r>
      <w:bookmarkEnd w:id="59"/>
      <w:r>
        <w:rPr>
          <w:rFonts w:hint="eastAsia" w:ascii="宋体" w:hAnsi="宋体" w:eastAsia="宋体"/>
          <w:sz w:val="28"/>
          <w:lang w:val="en-US" w:eastAsia="zh-CN"/>
        </w:rPr>
        <w:t>相关业绩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8"/>
          <w:sz w:val="24"/>
          <w:szCs w:val="24"/>
          <w:lang w:val="en-US" w:eastAsia="zh-CN" w:bidi="ar-SA"/>
        </w:rPr>
      </w:pPr>
      <w:r>
        <w:rPr>
          <w:rFonts w:hint="eastAsia" w:ascii="宋体" w:hAnsi="宋体" w:eastAsia="宋体" w:cs="宋体"/>
          <w:kern w:val="28"/>
          <w:sz w:val="24"/>
          <w:szCs w:val="24"/>
          <w:lang w:val="en-US" w:eastAsia="zh-CN" w:bidi="ar-SA"/>
        </w:rPr>
        <w:t>投标供应商提供合同或采购订单</w:t>
      </w:r>
      <w:r>
        <w:rPr>
          <w:rFonts w:hint="eastAsia" w:ascii="宋体" w:hAnsi="宋体" w:cs="宋体"/>
          <w:kern w:val="28"/>
          <w:sz w:val="24"/>
          <w:szCs w:val="24"/>
          <w:lang w:val="en-US" w:eastAsia="zh-CN" w:bidi="ar-SA"/>
        </w:rPr>
        <w:t>截图</w:t>
      </w:r>
      <w:r>
        <w:rPr>
          <w:rFonts w:hint="eastAsia" w:ascii="宋体" w:hAnsi="宋体" w:eastAsia="宋体" w:cs="宋体"/>
          <w:kern w:val="28"/>
          <w:sz w:val="24"/>
          <w:szCs w:val="24"/>
          <w:lang w:val="en-US" w:eastAsia="zh-CN" w:bidi="ar-SA"/>
        </w:rPr>
        <w:t>，要求有采购方</w:t>
      </w:r>
      <w:r>
        <w:rPr>
          <w:rFonts w:hint="eastAsia" w:ascii="宋体" w:hAnsi="宋体" w:cs="宋体"/>
          <w:kern w:val="28"/>
          <w:sz w:val="24"/>
          <w:szCs w:val="24"/>
          <w:lang w:val="en-US" w:eastAsia="zh-CN" w:bidi="ar-SA"/>
        </w:rPr>
        <w:t>及供货方</w:t>
      </w:r>
      <w:r>
        <w:rPr>
          <w:rFonts w:hint="eastAsia" w:ascii="宋体" w:hAnsi="宋体" w:eastAsia="宋体" w:cs="宋体"/>
          <w:kern w:val="28"/>
          <w:sz w:val="24"/>
          <w:szCs w:val="24"/>
          <w:lang w:val="en-US" w:eastAsia="zh-CN" w:bidi="ar-SA"/>
        </w:rPr>
        <w:t>名称</w:t>
      </w:r>
      <w:r>
        <w:rPr>
          <w:rFonts w:hint="eastAsia" w:ascii="宋体" w:hAnsi="宋体" w:cs="宋体"/>
          <w:kern w:val="28"/>
          <w:sz w:val="24"/>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sz w:val="24"/>
          <w:szCs w:val="24"/>
          <w:lang w:val="en-US" w:eastAsia="zh-CN"/>
        </w:rPr>
      </w:pPr>
      <w:bookmarkStart w:id="60" w:name="_Toc20437"/>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9"/>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0"/>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70500" cy="7850505"/>
                    </a:xfrm>
                    <a:prstGeom prst="rect">
                      <a:avLst/>
                    </a:prstGeom>
                    <a:noFill/>
                    <a:ln>
                      <a:noFill/>
                    </a:ln>
                  </pic:spPr>
                </pic:pic>
              </a:graphicData>
            </a:graphic>
          </wp:inline>
        </w:drawing>
      </w:r>
    </w:p>
    <w:p/>
    <w:p/>
    <w:p>
      <w:pPr>
        <w:pStyle w:val="5"/>
        <w:spacing w:before="100" w:after="100" w:line="360" w:lineRule="auto"/>
        <w:rPr>
          <w:rFonts w:hint="eastAsia" w:ascii="宋体" w:hAnsi="宋体" w:eastAsia="宋体"/>
          <w:sz w:val="28"/>
          <w:lang w:val="en-US" w:eastAsia="zh-CN"/>
        </w:rPr>
      </w:pPr>
      <w:r>
        <w:rPr>
          <w:rFonts w:hint="eastAsia" w:ascii="宋体" w:hAnsi="宋体" w:eastAsia="宋体"/>
          <w:sz w:val="28"/>
          <w:lang w:val="en-US" w:eastAsia="zh-CN"/>
        </w:rPr>
        <w:t>1.4关于无重大违法记录的声明函</w:t>
      </w:r>
      <w:bookmarkEnd w:id="51"/>
      <w:bookmarkEnd w:id="52"/>
      <w:bookmarkEnd w:id="53"/>
      <w:bookmarkEnd w:id="54"/>
      <w:bookmarkEnd w:id="55"/>
      <w:bookmarkEnd w:id="56"/>
      <w:bookmarkEnd w:id="57"/>
      <w:bookmarkEnd w:id="58"/>
      <w:bookmarkEnd w:id="60"/>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珠海正方慧通科技有限公司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3"/>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3"/>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5"/>
    <w:bookmarkEnd w:id="6"/>
    <w:p>
      <w:pPr>
        <w:pStyle w:val="2"/>
        <w:rPr>
          <w:rFonts w:hint="default"/>
          <w:lang w:val="en-US" w:eastAsia="zh-CN"/>
        </w:rPr>
      </w:pPr>
    </w:p>
    <w:p>
      <w:pPr>
        <w:rPr>
          <w:rFonts w:hint="eastAsia" w:ascii="黑体" w:hAnsi="黑体" w:cs="黑体"/>
          <w:b/>
          <w:bCs w:val="0"/>
          <w:sz w:val="28"/>
          <w:szCs w:val="28"/>
          <w:lang w:val="en-US" w:eastAsia="zh-CN"/>
        </w:rPr>
        <w:sectPr>
          <w:footerReference r:id="rId5" w:type="default"/>
          <w:pgSz w:w="11906" w:h="16838"/>
          <w:pgMar w:top="1304" w:right="1531" w:bottom="1247" w:left="1531" w:header="851" w:footer="992" w:gutter="0"/>
          <w:cols w:space="425" w:num="1"/>
          <w:docGrid w:type="lines" w:linePitch="312" w:charSpace="0"/>
        </w:sectPr>
      </w:pPr>
      <w:bookmarkStart w:id="61" w:name="_Toc24253"/>
      <w:bookmarkStart w:id="62" w:name="_Toc202252037"/>
      <w:bookmarkStart w:id="63" w:name="_Toc259090996"/>
      <w:bookmarkStart w:id="64" w:name="_Toc202254108"/>
      <w:bookmarkStart w:id="65" w:name="_Toc503427721"/>
      <w:bookmarkStart w:id="66" w:name="_Toc29543"/>
      <w:bookmarkStart w:id="67" w:name="_Toc202251703"/>
      <w:bookmarkStart w:id="68" w:name="_Toc276645592"/>
      <w:bookmarkStart w:id="69" w:name="_Toc21572"/>
      <w:bookmarkStart w:id="70" w:name="_Toc12992"/>
      <w:bookmarkStart w:id="71" w:name="_Toc202251078"/>
      <w:bookmarkStart w:id="72" w:name="_Toc202817000"/>
      <w:bookmarkStart w:id="73" w:name="_Toc3330"/>
      <w:bookmarkStart w:id="74" w:name="_Toc202819882"/>
      <w:bookmarkStart w:id="75" w:name="_Toc202820355"/>
      <w:r>
        <w:rPr>
          <w:rFonts w:hint="eastAsia" w:ascii="黑体" w:hAnsi="黑体" w:cs="黑体"/>
          <w:b/>
          <w:bCs w:val="0"/>
          <w:sz w:val="28"/>
          <w:szCs w:val="28"/>
          <w:lang w:val="en-US" w:eastAsia="zh-CN"/>
        </w:rPr>
        <w:br w:type="page"/>
      </w:r>
    </w:p>
    <w:p>
      <w:pPr>
        <w:pStyle w:val="5"/>
        <w:spacing w:before="100" w:after="100" w:line="360" w:lineRule="auto"/>
        <w:rPr>
          <w:rFonts w:hint="eastAsia" w:ascii="宋体" w:hAnsi="宋体" w:eastAsia="宋体"/>
          <w:sz w:val="28"/>
          <w:lang w:val="en-US" w:eastAsia="zh-CN"/>
        </w:rPr>
      </w:pPr>
      <w:bookmarkStart w:id="76" w:name="_Toc7304"/>
      <w:bookmarkStart w:id="77" w:name="_Toc10726"/>
      <w:bookmarkStart w:id="78" w:name="_Toc5662"/>
      <w:bookmarkStart w:id="79" w:name="_Toc32145"/>
      <w:bookmarkStart w:id="80" w:name="_Toc113"/>
      <w:bookmarkStart w:id="81" w:name="_Toc22499"/>
      <w:bookmarkStart w:id="82" w:name="_Toc9094"/>
      <w:bookmarkStart w:id="83" w:name="_Toc24446"/>
      <w:bookmarkStart w:id="84" w:name="_Toc3193"/>
      <w:bookmarkStart w:id="85" w:name="_Toc16860"/>
      <w:bookmarkStart w:id="86" w:name="_Toc29470"/>
      <w:bookmarkStart w:id="87" w:name="_Toc5278"/>
      <w:bookmarkStart w:id="88" w:name="_Toc6669"/>
      <w:bookmarkStart w:id="89" w:name="_Toc2576"/>
      <w:bookmarkStart w:id="90" w:name="_Toc30192"/>
      <w:bookmarkStart w:id="91" w:name="_Toc500"/>
      <w:r>
        <w:rPr>
          <w:rFonts w:hint="eastAsia" w:ascii="宋体" w:hAnsi="宋体" w:eastAsia="宋体"/>
          <w:sz w:val="28"/>
          <w:lang w:val="en-US" w:eastAsia="zh-CN"/>
        </w:rPr>
        <w:t>1.</w:t>
      </w:r>
      <w:r>
        <w:rPr>
          <w:rFonts w:hint="eastAsia" w:ascii="宋体" w:hAnsi="宋体"/>
          <w:sz w:val="28"/>
          <w:lang w:val="en-US" w:eastAsia="zh-CN"/>
        </w:rPr>
        <w:t>4</w:t>
      </w:r>
      <w:r>
        <w:rPr>
          <w:rFonts w:hint="eastAsia" w:ascii="宋体" w:hAnsi="宋体" w:eastAsia="宋体"/>
          <w:sz w:val="28"/>
          <w:lang w:val="en-US" w:eastAsia="zh-CN"/>
        </w:rPr>
        <w:t>.</w:t>
      </w:r>
      <w:bookmarkEnd w:id="76"/>
      <w:bookmarkEnd w:id="77"/>
      <w:bookmarkEnd w:id="78"/>
      <w:bookmarkStart w:id="92" w:name="_Toc29247"/>
      <w:bookmarkStart w:id="93" w:name="_Toc17294"/>
      <w:bookmarkStart w:id="94" w:name="_Toc28886"/>
      <w:r>
        <w:rPr>
          <w:rFonts w:hint="eastAsia" w:ascii="宋体" w:hAnsi="宋体"/>
          <w:sz w:val="28"/>
          <w:lang w:val="en-US" w:eastAsia="zh-CN"/>
        </w:rPr>
        <w:t>1</w:t>
      </w:r>
      <w:r>
        <w:rPr>
          <w:rFonts w:hint="eastAsia" w:ascii="宋体" w:hAnsi="宋体" w:eastAsia="宋体"/>
          <w:sz w:val="28"/>
          <w:lang w:val="en-US" w:eastAsia="zh-CN"/>
        </w:rPr>
        <w:t>信用信息</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eastAsia="zh-CN"/>
        </w:rPr>
        <w:t>投标供应商</w:t>
      </w:r>
      <w:r>
        <w:rPr>
          <w:rFonts w:hint="eastAsia" w:ascii="宋体" w:hAnsi="宋体" w:eastAsia="宋体" w:cs="宋体"/>
          <w:b w:val="0"/>
          <w:bCs w:val="0"/>
          <w:color w:val="000000"/>
          <w:sz w:val="24"/>
          <w:szCs w:val="24"/>
          <w:highlight w:val="none"/>
          <w:lang w:val="en-US" w:eastAsia="zh-CN"/>
        </w:rPr>
        <w:t>提供报价时间截止前的网页截图并加盖投标供应商公章</w:t>
      </w:r>
      <w:r>
        <w:rPr>
          <w:rFonts w:hint="eastAsia" w:ascii="宋体" w:hAnsi="宋体" w:cs="宋体"/>
          <w:b w:val="0"/>
          <w:bCs w:val="0"/>
          <w:color w:val="000000"/>
          <w:sz w:val="24"/>
          <w:szCs w:val="24"/>
          <w:highlight w:val="none"/>
          <w:lang w:val="en-US" w:eastAsia="zh-CN"/>
        </w:rPr>
        <w:t>。</w:t>
      </w:r>
    </w:p>
    <w:p>
      <w:pPr>
        <w:numPr>
          <w:ilvl w:val="0"/>
          <w:numId w:val="0"/>
        </w:numPr>
        <w:rPr>
          <w:rFonts w:hint="eastAsia"/>
          <w:b/>
          <w:bCs/>
          <w:sz w:val="22"/>
          <w:szCs w:val="22"/>
          <w:lang w:val="en-US" w:eastAsia="zh-CN"/>
        </w:rPr>
      </w:pPr>
      <w:r>
        <w:rPr>
          <w:rFonts w:hint="eastAsia"/>
          <w:b/>
          <w:bCs/>
          <w:sz w:val="22"/>
          <w:szCs w:val="22"/>
          <w:lang w:val="en-US" w:eastAsia="zh-CN"/>
        </w:rPr>
        <w:t>未被列入“信用中国”网站(www.creditchina.gov.cn)“记录失信被执行人或重大税收违法失信主体”记录名单证明文件</w:t>
      </w: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pStyle w:val="5"/>
        <w:spacing w:before="100" w:after="100" w:line="360" w:lineRule="auto"/>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6350" b="127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pPr>
        <w:pStyle w:val="2"/>
        <w:rPr>
          <w:rFonts w:hint="eastAsia"/>
          <w:lang w:val="en-US" w:eastAsia="zh-CN"/>
        </w:rPr>
        <w:sectPr>
          <w:pgSz w:w="11906" w:h="16838"/>
          <w:pgMar w:top="1304" w:right="1531" w:bottom="1247" w:left="1531" w:header="851" w:footer="992" w:gutter="0"/>
          <w:cols w:space="425" w:num="1"/>
          <w:docGrid w:type="lines" w:linePitch="312" w:charSpace="0"/>
        </w:sectPr>
      </w:pPr>
    </w:p>
    <w:p>
      <w:pPr>
        <w:rPr>
          <w:rFonts w:hint="eastAsia"/>
          <w:lang w:val="en-US" w:eastAsia="zh-CN"/>
        </w:rPr>
      </w:pPr>
    </w:p>
    <w:p>
      <w:pPr>
        <w:pStyle w:val="4"/>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lang w:val="en-US" w:eastAsia="zh-CN"/>
        </w:rPr>
        <w:t>二</w:t>
      </w:r>
      <w:r>
        <w:rPr>
          <w:rFonts w:hint="eastAsia" w:ascii="黑体" w:hAnsi="黑体" w:eastAsia="黑体" w:cs="黑体"/>
          <w:b/>
          <w:bCs w:val="0"/>
          <w:sz w:val="28"/>
          <w:szCs w:val="28"/>
        </w:rPr>
        <w:t>、经济价格文件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5"/>
        <w:spacing w:before="100" w:after="100" w:line="360" w:lineRule="auto"/>
        <w:rPr>
          <w:rFonts w:hint="default" w:ascii="Times New Roman" w:hAnsi="Times New Roman" w:eastAsia="仿宋" w:cs="Times New Roman"/>
          <w:b/>
          <w:color w:val="auto"/>
          <w:sz w:val="24"/>
        </w:rPr>
      </w:pPr>
      <w:r>
        <w:rPr>
          <w:rFonts w:hint="eastAsia" w:ascii="宋体" w:hAnsi="宋体" w:eastAsia="宋体"/>
          <w:sz w:val="28"/>
          <w:lang w:val="en-US" w:eastAsia="zh-CN"/>
        </w:rPr>
        <w:t>2.1</w:t>
      </w:r>
      <w:r>
        <w:rPr>
          <w:rFonts w:hint="default" w:ascii="宋体" w:hAnsi="宋体" w:eastAsia="宋体"/>
          <w:sz w:val="28"/>
          <w:lang w:val="en-US" w:eastAsia="zh-CN"/>
        </w:rPr>
        <w:t>报 价 承 诺 书</w:t>
      </w: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珠海正方慧通科技有限公司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前山立交桥底停车场安保服务采购</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如果有的话</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val="en-US"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pStyle w:val="5"/>
        <w:spacing w:before="100" w:after="100" w:line="360" w:lineRule="auto"/>
        <w:rPr>
          <w:rFonts w:hint="default" w:ascii="宋体" w:hAnsi="宋体" w:eastAsia="宋体"/>
          <w:sz w:val="28"/>
          <w:lang w:val="en-US" w:eastAsia="zh-CN"/>
        </w:rPr>
      </w:pPr>
      <w:r>
        <w:rPr>
          <w:rFonts w:hint="eastAsia" w:ascii="宋体" w:hAnsi="宋体" w:eastAsia="宋体"/>
          <w:sz w:val="28"/>
          <w:lang w:val="en-US" w:eastAsia="zh-CN"/>
        </w:rPr>
        <w:t>2.2</w:t>
      </w:r>
      <w:r>
        <w:rPr>
          <w:rFonts w:hint="default" w:ascii="宋体" w:hAnsi="宋体" w:eastAsia="宋体"/>
          <w:sz w:val="28"/>
          <w:lang w:val="en-US" w:eastAsia="zh-CN"/>
        </w:rPr>
        <w:t>报 价 书</w:t>
      </w:r>
    </w:p>
    <w:p>
      <w:pPr>
        <w:spacing w:line="360" w:lineRule="auto"/>
        <w:rPr>
          <w:rFonts w:hint="default" w:ascii="Times New Roman" w:hAnsi="Times New Roman" w:eastAsia="宋体" w:cs="Times New Roman"/>
          <w:color w:val="auto"/>
          <w:sz w:val="28"/>
          <w:szCs w:val="28"/>
        </w:rPr>
      </w:pPr>
      <w:permStart w:id="10" w:edGrp="everyone"/>
      <w:r>
        <w:rPr>
          <w:rFonts w:hint="eastAsia" w:cs="Times New Roman"/>
          <w:color w:val="auto"/>
          <w:sz w:val="28"/>
          <w:szCs w:val="28"/>
          <w:lang w:eastAsia="zh-CN"/>
        </w:rPr>
        <w:t>（</w:t>
      </w:r>
      <w:r>
        <w:rPr>
          <w:rFonts w:hint="eastAsia" w:cs="Times New Roman"/>
          <w:color w:val="auto"/>
          <w:sz w:val="28"/>
          <w:szCs w:val="28"/>
          <w:lang w:val="en-US" w:eastAsia="zh-CN"/>
        </w:rPr>
        <w:t>珠海正方慧通科技有限公司</w:t>
      </w:r>
      <w:r>
        <w:rPr>
          <w:rFonts w:hint="eastAsia" w:cs="Times New Roman"/>
          <w:color w:val="auto"/>
          <w:sz w:val="28"/>
          <w:szCs w:val="28"/>
          <w:lang w:eastAsia="zh-CN"/>
        </w:rPr>
        <w:t>）</w:t>
      </w:r>
      <w:r>
        <w:rPr>
          <w:rFonts w:hint="default" w:ascii="Times New Roman" w:hAnsi="Times New Roman" w:eastAsia="宋体" w:cs="Times New Roman"/>
          <w:color w:val="auto"/>
          <w:sz w:val="28"/>
          <w:szCs w:val="28"/>
        </w:rPr>
        <w:t>：</w:t>
      </w:r>
    </w:p>
    <w:permEnd w:id="10"/>
    <w:p>
      <w:pPr>
        <w:spacing w:line="360" w:lineRule="auto"/>
        <w:ind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根据已收到的</w:t>
      </w:r>
      <w:permStart w:id="11" w:edGrp="everyone"/>
      <w:r>
        <w:rPr>
          <w:rFonts w:hint="eastAsia" w:cs="Times New Roman"/>
          <w:color w:val="auto"/>
          <w:sz w:val="28"/>
          <w:szCs w:val="28"/>
          <w:lang w:eastAsia="zh-CN"/>
        </w:rPr>
        <w:t>（</w:t>
      </w:r>
      <w:r>
        <w:rPr>
          <w:rFonts w:hint="eastAsia" w:cs="Times New Roman"/>
          <w:color w:val="auto"/>
          <w:sz w:val="28"/>
          <w:szCs w:val="28"/>
          <w:lang w:val="en-US" w:eastAsia="zh-CN"/>
        </w:rPr>
        <w:t>前山立交桥底停车场安保服务采购</w:t>
      </w:r>
      <w:r>
        <w:rPr>
          <w:rFonts w:hint="eastAsia" w:cs="Times New Roman"/>
          <w:color w:val="auto"/>
          <w:sz w:val="28"/>
          <w:szCs w:val="28"/>
          <w:lang w:eastAsia="zh-CN"/>
        </w:rPr>
        <w:t>）</w:t>
      </w:r>
      <w:permEnd w:id="11"/>
      <w:r>
        <w:rPr>
          <w:rFonts w:hint="default" w:ascii="Times New Roman" w:hAnsi="Times New Roman" w:eastAsia="宋体" w:cs="Times New Roman"/>
          <w:color w:val="auto"/>
          <w:sz w:val="28"/>
          <w:szCs w:val="28"/>
        </w:rPr>
        <w:t>的询价文件，根据有关法律、法规、规章规定，我单位经研究上述询价文件和其他相关文件后，愿意接受询价文件的全部内容和条件，并承诺按总价人民币大写：</w:t>
      </w:r>
    </w:p>
    <w:p>
      <w:pPr>
        <w:spacing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 xml:space="preserve">元 （¥ </w:t>
      </w:r>
      <w:r>
        <w:rPr>
          <w:rFonts w:hint="default" w:ascii="Times New Roman" w:hAnsi="Times New Roman" w:eastAsia="宋体" w:cs="Times New Roman"/>
          <w:color w:val="auto"/>
          <w:sz w:val="28"/>
          <w:szCs w:val="28"/>
          <w:u w:val="single"/>
        </w:rPr>
        <w:t xml:space="preserve">         </w:t>
      </w:r>
      <w:r>
        <w:rPr>
          <w:rFonts w:hint="default" w:ascii="Times New Roman" w:hAnsi="Times New Roman" w:eastAsia="宋体" w:cs="Times New Roman"/>
          <w:color w:val="auto"/>
          <w:sz w:val="28"/>
          <w:szCs w:val="28"/>
        </w:rPr>
        <w:t>元）承接</w:t>
      </w:r>
      <w:permStart w:id="12" w:edGrp="everyone"/>
      <w:r>
        <w:rPr>
          <w:rFonts w:hint="eastAsia" w:cs="Times New Roman"/>
          <w:color w:val="auto"/>
          <w:sz w:val="28"/>
          <w:szCs w:val="28"/>
          <w:lang w:eastAsia="zh-CN"/>
        </w:rPr>
        <w:t>（</w:t>
      </w:r>
      <w:r>
        <w:rPr>
          <w:rFonts w:hint="eastAsia" w:cs="Times New Roman"/>
          <w:color w:val="auto"/>
          <w:sz w:val="28"/>
          <w:szCs w:val="28"/>
          <w:lang w:val="en-US" w:eastAsia="zh-CN"/>
        </w:rPr>
        <w:t>前山立交桥底停车场安保服务采购</w:t>
      </w:r>
      <w:r>
        <w:rPr>
          <w:rFonts w:hint="eastAsia" w:cs="Times New Roman"/>
          <w:color w:val="auto"/>
          <w:sz w:val="28"/>
          <w:szCs w:val="28"/>
          <w:lang w:eastAsia="zh-CN"/>
        </w:rPr>
        <w:t>）</w:t>
      </w:r>
      <w:r>
        <w:rPr>
          <w:rFonts w:hint="default" w:ascii="Times New Roman" w:hAnsi="Times New Roman" w:eastAsia="宋体" w:cs="Times New Roman"/>
          <w:color w:val="auto"/>
          <w:sz w:val="28"/>
          <w:szCs w:val="28"/>
          <w:lang w:val="en-US" w:eastAsia="zh-CN"/>
        </w:rPr>
        <w:t xml:space="preserve"> </w:t>
      </w:r>
      <w:permEnd w:id="12"/>
      <w:r>
        <w:rPr>
          <w:rFonts w:hint="default" w:ascii="Times New Roman" w:hAnsi="Times New Roman" w:eastAsia="宋体" w:cs="Times New Roman"/>
          <w:color w:val="auto"/>
          <w:sz w:val="28"/>
          <w:szCs w:val="28"/>
        </w:rPr>
        <w:t>项目</w:t>
      </w:r>
      <w:r>
        <w:rPr>
          <w:rFonts w:hint="eastAsia" w:cs="Times New Roman"/>
          <w:color w:val="auto"/>
          <w:sz w:val="28"/>
          <w:szCs w:val="28"/>
          <w:lang w:eastAsia="zh-CN"/>
        </w:rPr>
        <w:t>，</w:t>
      </w:r>
      <w:r>
        <w:rPr>
          <w:rFonts w:hint="eastAsia" w:cs="Times New Roman"/>
          <w:color w:val="auto"/>
          <w:sz w:val="28"/>
          <w:szCs w:val="28"/>
          <w:lang w:val="en-US" w:eastAsia="zh-CN"/>
        </w:rPr>
        <w:t>具体详见下表：</w:t>
      </w:r>
    </w:p>
    <w:tbl>
      <w:tblPr>
        <w:tblStyle w:val="15"/>
        <w:tblW w:w="9496" w:type="dxa"/>
        <w:tblInd w:w="-2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16"/>
        <w:gridCol w:w="665"/>
        <w:gridCol w:w="3400"/>
        <w:gridCol w:w="717"/>
        <w:gridCol w:w="917"/>
        <w:gridCol w:w="1083"/>
        <w:gridCol w:w="1217"/>
        <w:gridCol w:w="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34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cs="宋体"/>
                <w:b/>
                <w:i w:val="0"/>
                <w:color w:val="000000"/>
                <w:kern w:val="0"/>
                <w:sz w:val="24"/>
                <w:szCs w:val="24"/>
                <w:u w:val="none"/>
                <w:lang w:val="en-US" w:eastAsia="zh-CN" w:bidi="ar"/>
              </w:rPr>
              <w:t>数</w:t>
            </w:r>
            <w:r>
              <w:rPr>
                <w:rFonts w:hint="eastAsia" w:ascii="宋体" w:hAnsi="宋体" w:eastAsia="宋体" w:cs="宋体"/>
                <w:b/>
                <w:i w:val="0"/>
                <w:color w:val="000000"/>
                <w:kern w:val="0"/>
                <w:sz w:val="24"/>
                <w:szCs w:val="24"/>
                <w:u w:val="none"/>
                <w:lang w:val="en-US" w:eastAsia="zh-CN" w:bidi="ar"/>
              </w:rPr>
              <w:t>量</w:t>
            </w:r>
          </w:p>
        </w:tc>
        <w:tc>
          <w:tcPr>
            <w:tcW w:w="230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金额（元） </w:t>
            </w:r>
          </w:p>
        </w:tc>
        <w:tc>
          <w:tcPr>
            <w:tcW w:w="781" w:type="dxa"/>
            <w:vMerge w:val="restart"/>
            <w:tcBorders>
              <w:top w:val="single" w:color="000000" w:sz="4" w:space="0"/>
              <w:left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716"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665"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3400"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71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917" w:type="dxa"/>
            <w:vMerge w:val="continue"/>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c>
          <w:tcPr>
            <w:tcW w:w="1083" w:type="dxa"/>
            <w:tcBorders>
              <w:top w:val="single" w:color="000000" w:sz="4" w:space="0"/>
              <w:left w:val="single" w:color="000000" w:sz="4" w:space="0"/>
              <w:bottom w:val="single" w:color="auto"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单价 </w:t>
            </w:r>
          </w:p>
        </w:tc>
        <w:tc>
          <w:tcPr>
            <w:tcW w:w="1217" w:type="dxa"/>
            <w:tcBorders>
              <w:top w:val="single" w:color="000000" w:sz="4" w:space="0"/>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 xml:space="preserve"> 合价 </w:t>
            </w:r>
          </w:p>
        </w:tc>
        <w:tc>
          <w:tcPr>
            <w:tcW w:w="781" w:type="dxa"/>
            <w:vMerge w:val="continue"/>
            <w:tcBorders>
              <w:left w:val="single" w:color="000000" w:sz="4" w:space="0"/>
              <w:bottom w:val="single" w:color="auto" w:sz="4" w:space="0"/>
              <w:right w:val="single" w:color="000000" w:sz="4" w:space="0"/>
            </w:tcBorders>
            <w:shd w:val="clear" w:color="auto" w:fill="auto"/>
            <w:noWrap/>
            <w:tcMar>
              <w:top w:w="13" w:type="dxa"/>
              <w:left w:w="13" w:type="dxa"/>
              <w:right w:w="13" w:type="dxa"/>
            </w:tcMar>
            <w:vAlign w:val="center"/>
          </w:tcPr>
          <w:p>
            <w:pPr>
              <w:jc w:val="center"/>
              <w:rPr>
                <w:rFonts w:hint="eastAsia" w:ascii="宋体" w:hAnsi="宋体" w:eastAsia="宋体" w:cs="宋体"/>
                <w:b/>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1134"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665"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服务</w:t>
            </w:r>
          </w:p>
        </w:tc>
        <w:tc>
          <w:tcPr>
            <w:tcW w:w="3400"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r>
              <w:rPr>
                <w:rFonts w:hint="eastAsia" w:ascii="宋体" w:hAnsi="宋体" w:eastAsia="宋体" w:cs="宋体"/>
                <w:i w:val="0"/>
                <w:color w:val="000000"/>
                <w:sz w:val="22"/>
                <w:szCs w:val="22"/>
                <w:u w:val="none"/>
              </w:rPr>
              <w:t>前山立交桥底停车场长期存在流浪人员滞留过夜问题，现场管控难度较大，为做好场区秩序管理，现采购安保服务，需安排一名专职人员驻场开展疏导劝离工作</w:t>
            </w:r>
            <w:r>
              <w:rPr>
                <w:rFonts w:hint="eastAsia" w:ascii="宋体" w:hAnsi="宋体" w:cs="宋体"/>
                <w:i w:val="0"/>
                <w:color w:val="000000"/>
                <w:sz w:val="22"/>
                <w:szCs w:val="22"/>
                <w:u w:val="none"/>
                <w:lang w:eastAsia="zh-CN"/>
              </w:rPr>
              <w:t>，每日在岗8小时，</w:t>
            </w:r>
            <w:r>
              <w:rPr>
                <w:rFonts w:hint="eastAsia" w:ascii="宋体" w:hAnsi="宋体" w:cs="宋体"/>
                <w:i w:val="0"/>
                <w:color w:val="000000"/>
                <w:sz w:val="22"/>
                <w:szCs w:val="22"/>
                <w:u w:val="none"/>
                <w:lang w:val="en-US" w:eastAsia="zh-CN"/>
              </w:rPr>
              <w:t>服务期限：1个月。</w:t>
            </w:r>
          </w:p>
        </w:tc>
        <w:tc>
          <w:tcPr>
            <w:tcW w:w="7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项</w:t>
            </w:r>
          </w:p>
        </w:tc>
        <w:tc>
          <w:tcPr>
            <w:tcW w:w="917"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1</w:t>
            </w:r>
          </w:p>
        </w:tc>
        <w:tc>
          <w:tcPr>
            <w:tcW w:w="108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p>
        </w:tc>
        <w:tc>
          <w:tcPr>
            <w:tcW w:w="12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default" w:ascii="宋体" w:hAnsi="宋体" w:eastAsia="宋体" w:cs="宋体"/>
                <w:i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22" w:hRule="atLeast"/>
        </w:trPr>
        <w:tc>
          <w:tcPr>
            <w:tcW w:w="716"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default" w:ascii="宋体" w:hAnsi="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w:t>
            </w:r>
          </w:p>
        </w:tc>
        <w:tc>
          <w:tcPr>
            <w:tcW w:w="6782" w:type="dxa"/>
            <w:gridSpan w:val="5"/>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b/>
                <w:bCs/>
                <w:i w:val="0"/>
                <w:color w:val="000000"/>
                <w:sz w:val="22"/>
                <w:szCs w:val="22"/>
                <w:u w:val="none"/>
                <w:lang w:val="en-US" w:eastAsia="zh-CN"/>
              </w:rPr>
              <w:t>合计（元）</w:t>
            </w:r>
          </w:p>
        </w:tc>
        <w:tc>
          <w:tcPr>
            <w:tcW w:w="1217"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781"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846" w:hRule="atLeast"/>
        </w:trPr>
        <w:tc>
          <w:tcPr>
            <w:tcW w:w="9496" w:type="dxa"/>
            <w:gridSpan w:val="8"/>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注：</w:t>
            </w:r>
            <w:r>
              <w:rPr>
                <w:rFonts w:hint="eastAsia" w:ascii="宋体" w:hAnsi="宋体" w:eastAsia="宋体" w:cs="宋体"/>
                <w:color w:val="auto"/>
                <w:sz w:val="22"/>
                <w:szCs w:val="22"/>
                <w:lang w:val="en-US" w:eastAsia="zh-CN"/>
              </w:rPr>
              <w:t>1</w:t>
            </w:r>
            <w:r>
              <w:rPr>
                <w:rFonts w:hint="eastAsia" w:ascii="宋体" w:hAnsi="宋体" w:cs="宋体"/>
                <w:color w:val="auto"/>
                <w:sz w:val="22"/>
                <w:szCs w:val="22"/>
                <w:lang w:val="en-US" w:eastAsia="zh-CN"/>
              </w:rPr>
              <w:t>.</w:t>
            </w:r>
            <w:r>
              <w:rPr>
                <w:rFonts w:hint="eastAsia" w:ascii="宋体" w:hAnsi="宋体" w:eastAsia="宋体" w:cs="宋体"/>
                <w:color w:val="auto"/>
                <w:sz w:val="22"/>
                <w:szCs w:val="22"/>
              </w:rPr>
              <w:t>所有报价均为含税价，且已包含人工费、材料费、交通差旅费、餐饮费、运费等完成本项目的所有费用。所有报价金额均保留2位小数</w:t>
            </w:r>
            <w:r>
              <w:rPr>
                <w:rFonts w:hint="eastAsia" w:ascii="宋体" w:hAnsi="宋体" w:cs="宋体"/>
                <w:color w:val="auto"/>
                <w:sz w:val="22"/>
                <w:szCs w:val="22"/>
                <w:lang w:eastAsia="zh-CN"/>
              </w:rPr>
              <w:t>；</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kern w:val="2"/>
                <w:sz w:val="22"/>
                <w:szCs w:val="22"/>
                <w:lang w:val="en-US" w:eastAsia="zh-CN" w:bidi="ar-SA"/>
              </w:rPr>
            </w:pPr>
            <w:r>
              <w:rPr>
                <w:rFonts w:hint="eastAsia" w:ascii="宋体" w:hAnsi="宋体" w:cs="宋体"/>
                <w:color w:val="auto"/>
                <w:sz w:val="22"/>
                <w:szCs w:val="22"/>
                <w:highlight w:val="yellow"/>
                <w:lang w:val="en-US" w:eastAsia="zh-CN"/>
              </w:rPr>
              <w:t>2.</w:t>
            </w:r>
            <w:r>
              <w:rPr>
                <w:rFonts w:hint="eastAsia" w:ascii="宋体" w:hAnsi="宋体" w:eastAsia="宋体" w:cs="宋体"/>
                <w:color w:val="auto"/>
                <w:sz w:val="22"/>
                <w:szCs w:val="22"/>
                <w:highlight w:val="yellow"/>
                <w:lang w:val="en-US" w:eastAsia="zh-CN"/>
              </w:rPr>
              <w:t>发票类型</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eastAsia="zh-CN"/>
              </w:rPr>
              <w:sym w:font="Wingdings 2" w:char="00A3"/>
            </w:r>
            <w:r>
              <w:rPr>
                <w:rFonts w:hint="eastAsia" w:ascii="宋体" w:hAnsi="宋体" w:eastAsia="宋体" w:cs="宋体"/>
                <w:color w:val="auto"/>
                <w:kern w:val="2"/>
                <w:sz w:val="22"/>
                <w:szCs w:val="22"/>
                <w:lang w:val="en-US" w:eastAsia="zh-CN" w:bidi="ar-SA"/>
              </w:rPr>
              <w:t>全额纳税可抵扣税率</w:t>
            </w:r>
            <w:r>
              <w:rPr>
                <w:rFonts w:hint="eastAsia" w:ascii="宋体" w:hAnsi="宋体" w:eastAsia="宋体" w:cs="宋体"/>
                <w:color w:val="auto"/>
                <w:kern w:val="2"/>
                <w:sz w:val="22"/>
                <w:szCs w:val="22"/>
                <w:u w:val="single"/>
                <w:lang w:val="en-US" w:eastAsia="zh-CN" w:bidi="ar-SA"/>
              </w:rPr>
              <w:t xml:space="preserve">     </w:t>
            </w:r>
            <w:r>
              <w:rPr>
                <w:rFonts w:hint="eastAsia" w:ascii="宋体" w:hAnsi="宋体" w:eastAsia="宋体" w:cs="宋体"/>
                <w:color w:val="auto"/>
                <w:kern w:val="2"/>
                <w:sz w:val="22"/>
                <w:szCs w:val="22"/>
                <w:lang w:val="en-US" w:eastAsia="zh-CN" w:bidi="ar-SA"/>
              </w:rPr>
              <w:t>% /</w:t>
            </w:r>
            <w:r>
              <w:rPr>
                <w:rFonts w:hint="eastAsia" w:ascii="宋体" w:hAnsi="宋体" w:eastAsia="宋体" w:cs="宋体"/>
                <w:color w:val="auto"/>
                <w:kern w:val="2"/>
                <w:sz w:val="22"/>
                <w:szCs w:val="22"/>
                <w:lang w:val="en-US" w:eastAsia="zh-CN" w:bidi="ar-SA"/>
              </w:rPr>
              <w:sym w:font="Wingdings 2" w:char="00A3"/>
            </w:r>
            <w:r>
              <w:rPr>
                <w:rFonts w:hint="eastAsia" w:ascii="宋体" w:hAnsi="宋体" w:eastAsia="宋体" w:cs="宋体"/>
                <w:color w:val="auto"/>
                <w:kern w:val="2"/>
                <w:sz w:val="22"/>
                <w:szCs w:val="22"/>
                <w:lang w:val="en-US" w:eastAsia="zh-CN" w:bidi="ar-SA"/>
              </w:rPr>
              <w:t>差额纳税差额比率</w:t>
            </w:r>
            <w:r>
              <w:rPr>
                <w:rFonts w:hint="eastAsia" w:ascii="宋体" w:hAnsi="宋体" w:eastAsia="宋体" w:cs="宋体"/>
                <w:color w:val="auto"/>
                <w:kern w:val="2"/>
                <w:sz w:val="22"/>
                <w:szCs w:val="22"/>
                <w:u w:val="single"/>
                <w:lang w:val="en-US" w:eastAsia="zh-CN" w:bidi="ar-SA"/>
              </w:rPr>
              <w:t xml:space="preserve">    </w:t>
            </w:r>
            <w:r>
              <w:rPr>
                <w:rFonts w:hint="eastAsia" w:ascii="宋体" w:hAnsi="宋体" w:eastAsia="宋体" w:cs="宋体"/>
                <w:color w:val="auto"/>
                <w:kern w:val="2"/>
                <w:sz w:val="22"/>
                <w:szCs w:val="22"/>
                <w:lang w:val="en-US" w:eastAsia="zh-CN" w:bidi="ar-SA"/>
              </w:rPr>
              <w:t>%、可抵扣税率</w:t>
            </w:r>
            <w:r>
              <w:rPr>
                <w:rFonts w:hint="eastAsia" w:ascii="宋体" w:hAnsi="宋体" w:eastAsia="宋体" w:cs="宋体"/>
                <w:color w:val="auto"/>
                <w:kern w:val="2"/>
                <w:sz w:val="22"/>
                <w:szCs w:val="22"/>
                <w:u w:val="single"/>
                <w:lang w:val="en-US" w:eastAsia="zh-CN" w:bidi="ar-SA"/>
              </w:rPr>
              <w:t xml:space="preserve">    </w:t>
            </w:r>
            <w:r>
              <w:rPr>
                <w:rFonts w:hint="eastAsia" w:ascii="宋体" w:hAnsi="宋体" w:eastAsia="宋体" w:cs="宋体"/>
                <w:color w:val="auto"/>
                <w:kern w:val="2"/>
                <w:sz w:val="22"/>
                <w:szCs w:val="22"/>
                <w:lang w:val="en-US" w:eastAsia="zh-CN" w:bidi="ar-SA"/>
              </w:rPr>
              <w:t>%。开具税率为</w:t>
            </w:r>
            <w:r>
              <w:rPr>
                <w:rFonts w:hint="eastAsia" w:ascii="宋体" w:hAnsi="宋体" w:eastAsia="宋体" w:cs="宋体"/>
                <w:color w:val="auto"/>
                <w:kern w:val="2"/>
                <w:sz w:val="22"/>
                <w:szCs w:val="22"/>
                <w:u w:val="single"/>
                <w:lang w:val="en-US" w:eastAsia="zh-CN" w:bidi="ar-SA"/>
              </w:rPr>
              <w:t xml:space="preserve">    </w:t>
            </w:r>
            <w:r>
              <w:rPr>
                <w:rFonts w:hint="eastAsia" w:ascii="宋体" w:hAnsi="宋体" w:eastAsia="宋体" w:cs="宋体"/>
                <w:color w:val="auto"/>
                <w:kern w:val="2"/>
                <w:sz w:val="22"/>
                <w:szCs w:val="22"/>
                <w:lang w:val="en-US" w:eastAsia="zh-CN" w:bidi="ar-SA"/>
              </w:rPr>
              <w:t>%（</w:t>
            </w:r>
            <w:r>
              <w:rPr>
                <w:rFonts w:hint="eastAsia" w:ascii="宋体" w:hAnsi="宋体" w:eastAsia="宋体" w:cs="宋体"/>
                <w:color w:val="auto"/>
                <w:kern w:val="2"/>
                <w:sz w:val="22"/>
                <w:szCs w:val="22"/>
                <w:u w:val="single"/>
                <w:lang w:val="en-US" w:eastAsia="zh-CN" w:bidi="ar-SA"/>
              </w:rPr>
              <w:t xml:space="preserve">        </w:t>
            </w:r>
            <w:r>
              <w:rPr>
                <w:rFonts w:hint="eastAsia" w:ascii="宋体" w:hAnsi="宋体" w:eastAsia="宋体" w:cs="宋体"/>
                <w:color w:val="auto"/>
                <w:kern w:val="2"/>
                <w:sz w:val="22"/>
                <w:szCs w:val="22"/>
                <w:lang w:val="en-US" w:eastAsia="zh-CN" w:bidi="ar-SA"/>
              </w:rPr>
              <w:t>发票）。投标人务必在上述税率中选择其中之一方式填报，未选择项的可填“/”或空白；</w:t>
            </w:r>
          </w:p>
          <w:p>
            <w:pPr>
              <w:pStyle w:val="2"/>
              <w:keepNext w:val="0"/>
              <w:keepLines w:val="0"/>
              <w:pageBreakBefore w:val="0"/>
              <w:widowControl w:val="0"/>
              <w:numPr>
                <w:ilvl w:val="0"/>
                <w:numId w:val="0"/>
              </w:numPr>
              <w:kinsoku/>
              <w:wordWrap/>
              <w:overflowPunct/>
              <w:topLinePunct w:val="0"/>
              <w:bidi w:val="0"/>
              <w:snapToGrid/>
              <w:spacing w:line="360" w:lineRule="auto"/>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注：如因国家政策变化导致增值税税率发生变化的，本</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项下不含增值税的价款金额不变，对应增值税金额按照新税率计算，价款总额作对应调整</w:t>
            </w:r>
            <w:r>
              <w:rPr>
                <w:rFonts w:hint="eastAsia" w:ascii="宋体" w:hAnsi="宋体" w:cs="宋体"/>
                <w:color w:val="auto"/>
                <w:sz w:val="22"/>
                <w:szCs w:val="22"/>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lang w:eastAsia="zh-CN"/>
              </w:rPr>
            </w:pPr>
            <w:r>
              <w:rPr>
                <w:rFonts w:hint="eastAsia" w:ascii="宋体" w:hAnsi="宋体" w:eastAsia="宋体" w:cs="宋体"/>
                <w:color w:val="auto"/>
                <w:kern w:val="0"/>
                <w:sz w:val="22"/>
                <w:szCs w:val="22"/>
                <w:lang w:val="en-US" w:eastAsia="zh-CN" w:bidi="ar-SA"/>
              </w:rPr>
              <w:t>3.质量标准：合格，符合相关要求及规定</w:t>
            </w:r>
            <w:r>
              <w:rPr>
                <w:rFonts w:hint="eastAsia" w:ascii="宋体" w:hAnsi="宋体" w:cs="宋体"/>
                <w:color w:val="auto"/>
                <w:kern w:val="0"/>
                <w:sz w:val="22"/>
                <w:szCs w:val="22"/>
                <w:lang w:val="en-US" w:eastAsia="zh-CN" w:bidi="ar-SA"/>
              </w:rPr>
              <w:t>；</w:t>
            </w:r>
          </w:p>
          <w:p>
            <w:pPr>
              <w:pStyle w:val="6"/>
              <w:keepNext w:val="0"/>
              <w:keepLines w:val="0"/>
              <w:pageBreakBefore w:val="0"/>
              <w:widowControl w:val="0"/>
              <w:kinsoku/>
              <w:wordWrap/>
              <w:overflowPunct/>
              <w:topLinePunct w:val="0"/>
              <w:bidi w:val="0"/>
              <w:snapToGrid/>
              <w:spacing w:line="360" w:lineRule="auto"/>
              <w:ind w:firstLine="440" w:firstLineChars="200"/>
              <w:rPr>
                <w:rFonts w:hint="eastAsia" w:ascii="宋体" w:hAnsi="宋体" w:eastAsia="宋体" w:cs="宋体"/>
                <w:i w:val="0"/>
                <w:color w:val="000000"/>
                <w:kern w:val="0"/>
                <w:sz w:val="24"/>
                <w:szCs w:val="24"/>
                <w:u w:val="none"/>
                <w:lang w:val="en-US" w:eastAsia="zh-CN" w:bidi="ar"/>
              </w:rPr>
            </w:pPr>
            <w:r>
              <w:rPr>
                <w:rFonts w:hint="eastAsia" w:hAnsi="宋体" w:cs="宋体"/>
                <w:color w:val="auto"/>
                <w:sz w:val="22"/>
                <w:szCs w:val="22"/>
                <w:lang w:val="en-US" w:eastAsia="zh-CN"/>
              </w:rPr>
              <w:t>4.联系人：裴正涛13326665122，地址</w:t>
            </w:r>
            <w:r>
              <w:rPr>
                <w:rFonts w:hint="eastAsia" w:ascii="宋体" w:hAnsi="宋体" w:eastAsia="宋体" w:cs="宋体"/>
                <w:color w:val="auto"/>
                <w:sz w:val="22"/>
                <w:szCs w:val="22"/>
                <w:lang w:val="en-US" w:eastAsia="zh-CN"/>
              </w:rPr>
              <w:t>：前山立交桥底停车场。</w:t>
            </w:r>
          </w:p>
        </w:tc>
      </w:tr>
    </w:tbl>
    <w:p>
      <w:pPr>
        <w:pStyle w:val="20"/>
        <w:rPr>
          <w:rFonts w:hint="default" w:ascii="Times New Roman" w:hAnsi="Times New Roman" w:eastAsia="宋体" w:cs="Times New Roman"/>
          <w:color w:val="auto"/>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法定代表人或其授权代理人</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 xml:space="preserve">（签字或盖章）  </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联系方式</w:t>
      </w:r>
      <w:r>
        <w:rPr>
          <w:rFonts w:hint="eastAsia" w:cs="Times New Roman"/>
          <w:color w:val="auto"/>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4"/>
        <w:spacing w:line="360" w:lineRule="auto"/>
        <w:rPr>
          <w:rFonts w:hint="eastAsia" w:ascii="黑体" w:hAnsi="黑体" w:eastAsia="黑体" w:cs="黑体"/>
          <w:b/>
          <w:bCs w:val="0"/>
          <w:sz w:val="28"/>
          <w:szCs w:val="28"/>
          <w:lang w:val="en-US" w:eastAsia="zh-CN"/>
        </w:rPr>
      </w:pPr>
      <w:r>
        <w:rPr>
          <w:rFonts w:hint="eastAsia" w:ascii="黑体" w:hAnsi="黑体" w:eastAsia="黑体" w:cs="黑体"/>
          <w:b/>
          <w:bCs w:val="0"/>
          <w:sz w:val="28"/>
          <w:szCs w:val="28"/>
          <w:lang w:val="en-US" w:eastAsia="zh-CN"/>
        </w:rPr>
        <w:t>附件1：</w:t>
      </w:r>
    </w:p>
    <w:p>
      <w:pPr>
        <w:keepNext/>
        <w:keepLines/>
        <w:widowControl w:val="0"/>
        <w:bidi w:val="0"/>
        <w:spacing w:before="340" w:beforeLines="0" w:beforeAutospacing="0" w:after="330" w:afterLines="0" w:afterAutospacing="0" w:line="240" w:lineRule="auto"/>
        <w:jc w:val="center"/>
        <w:outlineLvl w:val="0"/>
        <w:rPr>
          <w:rFonts w:hint="eastAsia" w:ascii="仿宋" w:hAnsi="仿宋" w:eastAsia="仿宋" w:cs="仿宋"/>
          <w:b/>
          <w:kern w:val="44"/>
          <w:sz w:val="32"/>
          <w:szCs w:val="18"/>
          <w:lang w:val="en-US" w:eastAsia="zh-CN"/>
        </w:rPr>
      </w:pPr>
      <w:r>
        <w:rPr>
          <w:rFonts w:hint="eastAsia" w:ascii="仿宋" w:hAnsi="仿宋" w:eastAsia="仿宋" w:cs="仿宋"/>
          <w:b/>
          <w:kern w:val="44"/>
          <w:sz w:val="32"/>
          <w:szCs w:val="18"/>
          <w:lang w:val="en-US" w:eastAsia="zh-CN"/>
        </w:rPr>
        <w:t>前山立交桥底停车场安保服务采购技术需求书</w:t>
      </w:r>
    </w:p>
    <w:p>
      <w:pPr>
        <w:pageBreakBefore w:val="0"/>
        <w:wordWrap/>
        <w:spacing w:before="160" w:after="0"/>
        <w:ind w:left="0" w:right="0"/>
        <w:jc w:val="left"/>
        <w:textAlignment w:val="auto"/>
        <w:rPr>
          <w:rFonts w:hint="eastAsia" w:ascii="仿宋" w:hAnsi="仿宋" w:eastAsia="仿宋" w:cs="仿宋"/>
          <w:kern w:val="0"/>
          <w:sz w:val="28"/>
          <w:szCs w:val="24"/>
        </w:rPr>
      </w:pPr>
      <w:r>
        <w:rPr>
          <w:rFonts w:hint="eastAsia" w:ascii="仿宋" w:hAnsi="仿宋" w:eastAsia="仿宋" w:cs="仿宋"/>
          <w:b/>
          <w:i w:val="0"/>
          <w:spacing w:val="0"/>
          <w:kern w:val="0"/>
          <w:sz w:val="28"/>
          <w:szCs w:val="24"/>
        </w:rPr>
        <w:t>一、项目概况</w:t>
      </w:r>
    </w:p>
    <w:p>
      <w:pPr>
        <w:pageBreakBefore w:val="0"/>
        <w:numPr>
          <w:ilvl w:val="0"/>
          <w:numId w:val="4"/>
        </w:numPr>
        <w:wordWrap/>
        <w:spacing w:before="160" w:after="0"/>
        <w:ind w:left="440" w:right="0" w:hanging="440"/>
        <w:jc w:val="left"/>
        <w:textAlignment w:val="auto"/>
        <w:rPr>
          <w:rFonts w:hint="eastAsia" w:ascii="仿宋" w:hAnsi="仿宋" w:eastAsia="仿宋" w:cs="仿宋"/>
          <w:kern w:val="0"/>
          <w:sz w:val="28"/>
          <w:szCs w:val="24"/>
        </w:rPr>
      </w:pPr>
      <w:r>
        <w:rPr>
          <w:rFonts w:hint="eastAsia" w:ascii="仿宋" w:hAnsi="仿宋" w:eastAsia="仿宋" w:cs="仿宋"/>
          <w:b/>
          <w:i w:val="0"/>
          <w:spacing w:val="0"/>
          <w:kern w:val="0"/>
          <w:sz w:val="28"/>
          <w:szCs w:val="24"/>
        </w:rPr>
        <w:t>项目名称</w:t>
      </w:r>
      <w:r>
        <w:rPr>
          <w:rFonts w:hint="eastAsia" w:ascii="仿宋" w:hAnsi="仿宋" w:eastAsia="仿宋" w:cs="仿宋"/>
          <w:b w:val="0"/>
          <w:i w:val="0"/>
          <w:spacing w:val="0"/>
          <w:kern w:val="0"/>
          <w:sz w:val="28"/>
          <w:szCs w:val="24"/>
        </w:rPr>
        <w:t>：</w:t>
      </w:r>
      <w:r>
        <w:rPr>
          <w:rFonts w:hint="eastAsia" w:ascii="仿宋" w:hAnsi="仿宋" w:eastAsia="仿宋" w:cs="仿宋"/>
          <w:b w:val="0"/>
          <w:i w:val="0"/>
          <w:spacing w:val="0"/>
          <w:kern w:val="0"/>
          <w:sz w:val="28"/>
          <w:szCs w:val="24"/>
          <w:lang w:val="en-US" w:eastAsia="zh-CN"/>
        </w:rPr>
        <w:t>前山立交桥底停车场安保服务采购</w:t>
      </w:r>
    </w:p>
    <w:p>
      <w:pPr>
        <w:pageBreakBefore w:val="0"/>
        <w:numPr>
          <w:ilvl w:val="0"/>
          <w:numId w:val="4"/>
        </w:numPr>
        <w:wordWrap/>
        <w:spacing w:before="160" w:after="0"/>
        <w:ind w:left="440" w:right="0" w:hanging="440"/>
        <w:jc w:val="left"/>
        <w:textAlignment w:val="auto"/>
        <w:rPr>
          <w:rFonts w:hint="eastAsia" w:ascii="仿宋" w:hAnsi="仿宋" w:eastAsia="仿宋" w:cs="仿宋"/>
          <w:kern w:val="0"/>
          <w:sz w:val="28"/>
          <w:szCs w:val="24"/>
        </w:rPr>
      </w:pPr>
      <w:r>
        <w:rPr>
          <w:rFonts w:hint="eastAsia" w:ascii="仿宋" w:hAnsi="仿宋" w:eastAsia="仿宋" w:cs="仿宋"/>
          <w:b/>
          <w:i w:val="0"/>
          <w:spacing w:val="0"/>
          <w:kern w:val="0"/>
          <w:sz w:val="28"/>
          <w:szCs w:val="24"/>
        </w:rPr>
        <w:t>服务</w:t>
      </w:r>
      <w:r>
        <w:rPr>
          <w:rFonts w:hint="eastAsia" w:ascii="仿宋" w:hAnsi="仿宋" w:eastAsia="仿宋" w:cs="仿宋"/>
          <w:b/>
          <w:i w:val="0"/>
          <w:spacing w:val="0"/>
          <w:kern w:val="0"/>
          <w:sz w:val="28"/>
          <w:szCs w:val="24"/>
          <w:lang w:val="en-US" w:eastAsia="zh-CN"/>
        </w:rPr>
        <w:t>地点</w:t>
      </w:r>
      <w:r>
        <w:rPr>
          <w:rFonts w:hint="eastAsia" w:ascii="仿宋" w:hAnsi="仿宋" w:eastAsia="仿宋" w:cs="仿宋"/>
          <w:b w:val="0"/>
          <w:i w:val="0"/>
          <w:spacing w:val="0"/>
          <w:kern w:val="0"/>
          <w:sz w:val="28"/>
          <w:szCs w:val="24"/>
        </w:rPr>
        <w:t>：</w:t>
      </w:r>
      <w:r>
        <w:rPr>
          <w:rFonts w:hint="eastAsia" w:ascii="仿宋" w:hAnsi="仿宋" w:eastAsia="仿宋" w:cs="仿宋"/>
          <w:kern w:val="0"/>
          <w:sz w:val="28"/>
          <w:szCs w:val="28"/>
          <w:lang w:val="en-US" w:eastAsia="zh-CN"/>
        </w:rPr>
        <w:t>珠海市前山立交桥底停车场</w:t>
      </w:r>
    </w:p>
    <w:p>
      <w:pPr>
        <w:pageBreakBefore w:val="0"/>
        <w:numPr>
          <w:ilvl w:val="0"/>
          <w:numId w:val="4"/>
        </w:numPr>
        <w:wordWrap/>
        <w:spacing w:before="160" w:after="0"/>
        <w:ind w:left="440" w:right="0" w:hanging="440"/>
        <w:jc w:val="left"/>
        <w:textAlignment w:val="auto"/>
        <w:rPr>
          <w:rFonts w:hint="eastAsia" w:ascii="仿宋" w:hAnsi="仿宋" w:eastAsia="仿宋" w:cs="仿宋"/>
          <w:kern w:val="0"/>
          <w:sz w:val="28"/>
          <w:szCs w:val="24"/>
        </w:rPr>
      </w:pPr>
      <w:r>
        <w:rPr>
          <w:rFonts w:hint="eastAsia" w:ascii="仿宋" w:hAnsi="仿宋" w:eastAsia="仿宋" w:cs="仿宋"/>
          <w:b/>
          <w:i w:val="0"/>
          <w:spacing w:val="0"/>
          <w:kern w:val="0"/>
          <w:sz w:val="28"/>
          <w:szCs w:val="24"/>
        </w:rPr>
        <w:t>服务期限</w:t>
      </w:r>
      <w:r>
        <w:rPr>
          <w:rFonts w:hint="eastAsia" w:ascii="仿宋" w:hAnsi="仿宋" w:eastAsia="仿宋" w:cs="仿宋"/>
          <w:b w:val="0"/>
          <w:i w:val="0"/>
          <w:spacing w:val="0"/>
          <w:kern w:val="0"/>
          <w:sz w:val="28"/>
          <w:szCs w:val="24"/>
        </w:rPr>
        <w:t>：</w:t>
      </w:r>
      <w:r>
        <w:rPr>
          <w:rFonts w:hint="eastAsia" w:ascii="仿宋" w:hAnsi="仿宋" w:eastAsia="仿宋" w:cs="仿宋"/>
          <w:b w:val="0"/>
          <w:i w:val="0"/>
          <w:spacing w:val="0"/>
          <w:kern w:val="0"/>
          <w:sz w:val="28"/>
          <w:szCs w:val="24"/>
          <w:lang w:val="en-US" w:eastAsia="zh-CN"/>
        </w:rPr>
        <w:t>服务周期 1 个月，以甲方书面通知为准。</w:t>
      </w:r>
    </w:p>
    <w:p>
      <w:pPr>
        <w:pageBreakBefore w:val="0"/>
        <w:wordWrap/>
        <w:spacing w:before="160" w:after="0"/>
        <w:ind w:left="0" w:right="0"/>
        <w:jc w:val="left"/>
        <w:textAlignment w:val="auto"/>
        <w:rPr>
          <w:rFonts w:hint="eastAsia" w:ascii="仿宋" w:hAnsi="仿宋" w:eastAsia="仿宋" w:cs="仿宋"/>
          <w:kern w:val="0"/>
          <w:sz w:val="28"/>
          <w:szCs w:val="24"/>
        </w:rPr>
      </w:pPr>
      <w:r>
        <w:rPr>
          <w:rFonts w:hint="eastAsia" w:ascii="仿宋" w:hAnsi="仿宋" w:eastAsia="仿宋" w:cs="仿宋"/>
          <w:b/>
          <w:i w:val="0"/>
          <w:spacing w:val="0"/>
          <w:kern w:val="0"/>
          <w:sz w:val="28"/>
          <w:szCs w:val="24"/>
        </w:rPr>
        <w:t>二、人员配置及资质要求</w:t>
      </w:r>
    </w:p>
    <w:p>
      <w:pPr>
        <w:pageBreakBefore w:val="0"/>
        <w:wordWrap/>
        <w:spacing w:before="160" w:after="0"/>
        <w:ind w:left="0" w:right="0" w:firstLine="560" w:firstLineChars="200"/>
        <w:jc w:val="left"/>
        <w:textAlignment w:val="auto"/>
        <w:rPr>
          <w:rFonts w:hint="eastAsia" w:ascii="仿宋" w:hAnsi="仿宋" w:eastAsia="仿宋" w:cs="仿宋"/>
          <w:b w:val="0"/>
          <w:i w:val="0"/>
          <w:spacing w:val="0"/>
          <w:kern w:val="0"/>
          <w:sz w:val="28"/>
          <w:szCs w:val="24"/>
          <w:lang w:val="en-US" w:eastAsia="zh-CN"/>
        </w:rPr>
      </w:pPr>
      <w:r>
        <w:rPr>
          <w:rFonts w:hint="eastAsia" w:ascii="仿宋" w:hAnsi="仿宋" w:eastAsia="仿宋" w:cs="仿宋"/>
          <w:b w:val="0"/>
          <w:i w:val="0"/>
          <w:spacing w:val="0"/>
          <w:kern w:val="0"/>
          <w:sz w:val="28"/>
          <w:szCs w:val="24"/>
          <w:lang w:val="en-US" w:eastAsia="zh-CN"/>
        </w:rPr>
        <w:t>中标单位配置现场劝导工作人员 1 名，应聘人员为男性优先，年龄 55 周岁以下优先，身体健康，沟通处事稳妥，无违法犯罪记录，具备纠纷劝导、秩序维护相关经验优先。</w:t>
      </w:r>
    </w:p>
    <w:p>
      <w:pPr>
        <w:pageBreakBefore w:val="0"/>
        <w:numPr>
          <w:ilvl w:val="0"/>
          <w:numId w:val="0"/>
        </w:numPr>
        <w:wordWrap/>
        <w:spacing w:before="160" w:after="0"/>
        <w:ind w:leftChars="0" w:right="0" w:rightChars="0"/>
        <w:jc w:val="left"/>
        <w:textAlignment w:val="auto"/>
        <w:rPr>
          <w:rFonts w:hint="eastAsia" w:ascii="仿宋" w:hAnsi="仿宋" w:eastAsia="仿宋" w:cs="仿宋"/>
          <w:b/>
          <w:i w:val="0"/>
          <w:spacing w:val="0"/>
          <w:kern w:val="0"/>
          <w:sz w:val="28"/>
          <w:szCs w:val="24"/>
        </w:rPr>
      </w:pPr>
      <w:r>
        <w:rPr>
          <w:rFonts w:hint="eastAsia" w:ascii="仿宋" w:hAnsi="仿宋" w:eastAsia="仿宋" w:cs="仿宋"/>
          <w:b/>
          <w:i w:val="0"/>
          <w:spacing w:val="0"/>
          <w:kern w:val="0"/>
          <w:sz w:val="28"/>
          <w:szCs w:val="24"/>
          <w:lang w:val="en-US" w:eastAsia="zh-CN"/>
        </w:rPr>
        <w:t>1.</w:t>
      </w:r>
      <w:r>
        <w:rPr>
          <w:rFonts w:hint="eastAsia" w:ascii="仿宋" w:hAnsi="仿宋" w:eastAsia="仿宋" w:cs="仿宋"/>
          <w:b/>
          <w:i w:val="0"/>
          <w:spacing w:val="0"/>
          <w:kern w:val="0"/>
          <w:sz w:val="28"/>
          <w:szCs w:val="24"/>
        </w:rPr>
        <w:t>岗位职责</w:t>
      </w:r>
    </w:p>
    <w:p>
      <w:pPr>
        <w:pageBreakBefore w:val="0"/>
        <w:wordWrap/>
        <w:spacing w:before="160" w:after="0"/>
        <w:ind w:right="0" w:firstLine="560" w:firstLineChars="200"/>
        <w:jc w:val="left"/>
        <w:textAlignment w:val="auto"/>
        <w:rPr>
          <w:rFonts w:hint="eastAsia" w:ascii="仿宋" w:hAnsi="仿宋" w:eastAsia="仿宋" w:cs="仿宋"/>
          <w:b w:val="0"/>
          <w:bCs/>
          <w:i w:val="0"/>
          <w:spacing w:val="0"/>
          <w:kern w:val="0"/>
          <w:sz w:val="28"/>
          <w:szCs w:val="24"/>
        </w:rPr>
      </w:pPr>
      <w:r>
        <w:rPr>
          <w:rFonts w:hint="eastAsia" w:ascii="仿宋" w:hAnsi="仿宋" w:eastAsia="仿宋" w:cs="仿宋"/>
          <w:b w:val="0"/>
          <w:bCs/>
          <w:i w:val="0"/>
          <w:spacing w:val="0"/>
          <w:kern w:val="0"/>
          <w:sz w:val="28"/>
          <w:szCs w:val="24"/>
        </w:rPr>
        <w:t>负责停车场常态化现场巡查，对场内滞留露宿流浪人员开展劝导、劝离工作；耐心做好沟通疏导，劝导无效时及时联络公安、城管等主管部门到场处置；维护场区围挡、石墩隔离设施完好，发现设施移位、破损第一时间上报甲方。</w:t>
      </w:r>
    </w:p>
    <w:p>
      <w:pPr>
        <w:pageBreakBefore w:val="0"/>
        <w:numPr>
          <w:ilvl w:val="0"/>
          <w:numId w:val="0"/>
        </w:numPr>
        <w:wordWrap/>
        <w:spacing w:before="160" w:after="0"/>
        <w:ind w:leftChars="0" w:right="0" w:rightChars="0"/>
        <w:jc w:val="left"/>
        <w:textAlignment w:val="auto"/>
        <w:rPr>
          <w:rFonts w:hint="eastAsia" w:ascii="仿宋" w:hAnsi="仿宋" w:eastAsia="仿宋" w:cs="仿宋"/>
          <w:b/>
          <w:i w:val="0"/>
          <w:spacing w:val="0"/>
          <w:kern w:val="0"/>
          <w:sz w:val="28"/>
          <w:szCs w:val="24"/>
        </w:rPr>
      </w:pPr>
      <w:r>
        <w:rPr>
          <w:rFonts w:hint="eastAsia" w:ascii="仿宋" w:hAnsi="仿宋" w:eastAsia="仿宋" w:cs="仿宋"/>
          <w:b/>
          <w:i w:val="0"/>
          <w:spacing w:val="0"/>
          <w:kern w:val="0"/>
          <w:sz w:val="28"/>
          <w:szCs w:val="24"/>
          <w:lang w:val="en-US" w:eastAsia="zh-CN"/>
        </w:rPr>
        <w:t>2.</w:t>
      </w:r>
      <w:r>
        <w:rPr>
          <w:rFonts w:hint="eastAsia" w:ascii="仿宋" w:hAnsi="仿宋" w:eastAsia="仿宋" w:cs="仿宋"/>
          <w:b/>
          <w:i w:val="0"/>
          <w:spacing w:val="0"/>
          <w:kern w:val="0"/>
          <w:sz w:val="28"/>
          <w:szCs w:val="24"/>
        </w:rPr>
        <w:t>工作时长</w:t>
      </w:r>
    </w:p>
    <w:p>
      <w:pPr>
        <w:pageBreakBefore w:val="0"/>
        <w:wordWrap/>
        <w:spacing w:before="160" w:after="0"/>
        <w:ind w:left="0" w:right="0" w:firstLine="560" w:firstLineChars="200"/>
        <w:jc w:val="left"/>
        <w:textAlignment w:val="auto"/>
        <w:rPr>
          <w:rFonts w:hint="eastAsia" w:ascii="仿宋" w:hAnsi="仿宋" w:eastAsia="仿宋" w:cs="仿宋"/>
          <w:b w:val="0"/>
          <w:bCs/>
          <w:kern w:val="0"/>
          <w:sz w:val="28"/>
          <w:szCs w:val="24"/>
        </w:rPr>
      </w:pPr>
      <w:r>
        <w:rPr>
          <w:rFonts w:hint="eastAsia" w:ascii="仿宋" w:hAnsi="仿宋" w:eastAsia="仿宋" w:cs="仿宋"/>
          <w:b w:val="0"/>
          <w:bCs/>
          <w:i w:val="0"/>
          <w:spacing w:val="0"/>
          <w:kern w:val="0"/>
          <w:sz w:val="28"/>
          <w:szCs w:val="24"/>
        </w:rPr>
        <w:t>每日在岗8小时，17:00（下午5点）上班→次日凌晨1:00下班。</w:t>
      </w:r>
    </w:p>
    <w:p>
      <w:pPr>
        <w:pageBreakBefore w:val="0"/>
        <w:wordWrap/>
        <w:spacing w:before="160" w:after="0"/>
        <w:ind w:left="0" w:right="0"/>
        <w:jc w:val="left"/>
        <w:textAlignment w:val="auto"/>
        <w:rPr>
          <w:rFonts w:hint="eastAsia" w:ascii="仿宋" w:hAnsi="仿宋" w:eastAsia="仿宋" w:cs="仿宋"/>
          <w:b/>
          <w:bCs w:val="0"/>
          <w:i w:val="0"/>
          <w:spacing w:val="0"/>
          <w:kern w:val="0"/>
          <w:sz w:val="28"/>
          <w:szCs w:val="24"/>
        </w:rPr>
      </w:pPr>
      <w:r>
        <w:rPr>
          <w:rFonts w:hint="eastAsia" w:ascii="仿宋" w:hAnsi="仿宋" w:eastAsia="仿宋" w:cs="仿宋"/>
          <w:b/>
          <w:bCs w:val="0"/>
          <w:i w:val="0"/>
          <w:spacing w:val="0"/>
          <w:kern w:val="0"/>
          <w:sz w:val="28"/>
          <w:szCs w:val="24"/>
        </w:rPr>
        <w:t>三、服务内容及技术标准</w:t>
      </w:r>
    </w:p>
    <w:p>
      <w:pPr>
        <w:pageBreakBefore w:val="0"/>
        <w:wordWrap/>
        <w:spacing w:before="160" w:after="0"/>
        <w:ind w:left="0" w:right="0"/>
        <w:jc w:val="left"/>
        <w:textAlignment w:val="auto"/>
        <w:rPr>
          <w:rFonts w:hint="eastAsia" w:ascii="仿宋" w:hAnsi="仿宋" w:eastAsia="仿宋" w:cs="仿宋"/>
          <w:b w:val="0"/>
          <w:bCs/>
          <w:i w:val="0"/>
          <w:spacing w:val="0"/>
          <w:kern w:val="0"/>
          <w:sz w:val="28"/>
          <w:szCs w:val="24"/>
        </w:rPr>
      </w:pPr>
      <w:r>
        <w:rPr>
          <w:rFonts w:hint="eastAsia" w:ascii="仿宋" w:hAnsi="仿宋" w:eastAsia="仿宋" w:cs="仿宋"/>
          <w:b w:val="0"/>
          <w:bCs/>
          <w:i w:val="0"/>
          <w:spacing w:val="0"/>
          <w:kern w:val="0"/>
          <w:sz w:val="28"/>
          <w:szCs w:val="24"/>
        </w:rPr>
        <w:t>1. 日常巡查：全天候在岗巡查场区全域，重点排查桥底角落、围挡内侧等易聚集点位，发现流浪人员滞留立即上前文明劝导劝离。</w:t>
      </w:r>
    </w:p>
    <w:p>
      <w:pPr>
        <w:pageBreakBefore w:val="0"/>
        <w:wordWrap/>
        <w:spacing w:before="160" w:after="0"/>
        <w:ind w:left="0" w:right="0"/>
        <w:jc w:val="left"/>
        <w:textAlignment w:val="auto"/>
        <w:rPr>
          <w:rFonts w:hint="eastAsia" w:ascii="仿宋" w:hAnsi="仿宋" w:eastAsia="仿宋" w:cs="仿宋"/>
          <w:b w:val="0"/>
          <w:bCs/>
          <w:i w:val="0"/>
          <w:spacing w:val="0"/>
          <w:kern w:val="0"/>
          <w:sz w:val="28"/>
          <w:szCs w:val="24"/>
        </w:rPr>
      </w:pPr>
      <w:r>
        <w:rPr>
          <w:rFonts w:hint="eastAsia" w:ascii="仿宋" w:hAnsi="仿宋" w:eastAsia="仿宋" w:cs="仿宋"/>
          <w:b w:val="0"/>
          <w:bCs/>
          <w:i w:val="0"/>
          <w:spacing w:val="0"/>
          <w:kern w:val="0"/>
          <w:sz w:val="28"/>
          <w:szCs w:val="24"/>
        </w:rPr>
        <w:t>2. 劝导处置：坚持文明沟通劝导，做好劝离登记；经多次劝导拒不撤离的，第一时间联系属地相关职能部门到场处置。</w:t>
      </w:r>
    </w:p>
    <w:p>
      <w:pPr>
        <w:pageBreakBefore w:val="0"/>
        <w:wordWrap/>
        <w:spacing w:before="160" w:after="0"/>
        <w:ind w:left="0" w:right="0"/>
        <w:jc w:val="left"/>
        <w:textAlignment w:val="auto"/>
        <w:rPr>
          <w:rFonts w:hint="eastAsia" w:ascii="仿宋" w:hAnsi="仿宋" w:eastAsia="仿宋" w:cs="仿宋"/>
          <w:b w:val="0"/>
          <w:bCs/>
          <w:i w:val="0"/>
          <w:spacing w:val="0"/>
          <w:kern w:val="0"/>
          <w:sz w:val="28"/>
          <w:szCs w:val="24"/>
        </w:rPr>
      </w:pPr>
      <w:r>
        <w:rPr>
          <w:rFonts w:hint="eastAsia" w:ascii="仿宋" w:hAnsi="仿宋" w:eastAsia="仿宋" w:cs="仿宋"/>
          <w:b w:val="0"/>
          <w:bCs/>
          <w:i w:val="0"/>
          <w:spacing w:val="0"/>
          <w:kern w:val="0"/>
          <w:sz w:val="28"/>
          <w:szCs w:val="24"/>
          <w:lang w:val="en-US" w:eastAsia="zh-CN"/>
        </w:rPr>
        <w:t>3</w:t>
      </w:r>
      <w:r>
        <w:rPr>
          <w:rFonts w:hint="eastAsia" w:ascii="仿宋" w:hAnsi="仿宋" w:eastAsia="仿宋" w:cs="仿宋"/>
          <w:b w:val="0"/>
          <w:bCs/>
          <w:i w:val="0"/>
          <w:spacing w:val="0"/>
          <w:kern w:val="0"/>
          <w:sz w:val="28"/>
          <w:szCs w:val="24"/>
        </w:rPr>
        <w:t>. 台账记录：每日填写执勤台账，写明劝导次数、劝离人数、上报部门事项等内容，按月提交甲方存档。</w:t>
      </w:r>
    </w:p>
    <w:p>
      <w:pPr>
        <w:pageBreakBefore w:val="0"/>
        <w:wordWrap/>
        <w:spacing w:before="160" w:after="0"/>
        <w:ind w:left="0" w:right="0"/>
        <w:jc w:val="left"/>
        <w:textAlignment w:val="auto"/>
        <w:rPr>
          <w:rFonts w:hint="eastAsia" w:ascii="仿宋" w:hAnsi="仿宋" w:eastAsia="仿宋" w:cs="仿宋"/>
          <w:b/>
          <w:bCs w:val="0"/>
          <w:i w:val="0"/>
          <w:spacing w:val="0"/>
          <w:kern w:val="0"/>
          <w:sz w:val="28"/>
          <w:szCs w:val="24"/>
        </w:rPr>
      </w:pPr>
      <w:r>
        <w:rPr>
          <w:rFonts w:hint="eastAsia" w:ascii="仿宋" w:hAnsi="仿宋" w:eastAsia="仿宋" w:cs="仿宋"/>
          <w:b/>
          <w:bCs w:val="0"/>
          <w:i w:val="0"/>
          <w:spacing w:val="0"/>
          <w:kern w:val="0"/>
          <w:sz w:val="28"/>
          <w:szCs w:val="24"/>
        </w:rPr>
        <w:t>四、费用预算</w:t>
      </w:r>
    </w:p>
    <w:p>
      <w:pPr>
        <w:pageBreakBefore w:val="0"/>
        <w:wordWrap/>
        <w:spacing w:before="160" w:after="0"/>
        <w:ind w:left="0" w:right="0" w:firstLine="560" w:firstLineChars="200"/>
        <w:jc w:val="left"/>
        <w:textAlignment w:val="auto"/>
        <w:rPr>
          <w:rFonts w:hint="eastAsia" w:ascii="仿宋" w:hAnsi="仿宋" w:eastAsia="仿宋" w:cs="仿宋"/>
          <w:b w:val="0"/>
          <w:bCs/>
          <w:i w:val="0"/>
          <w:spacing w:val="0"/>
          <w:kern w:val="0"/>
          <w:sz w:val="28"/>
          <w:szCs w:val="24"/>
        </w:rPr>
      </w:pPr>
      <w:r>
        <w:rPr>
          <w:rFonts w:hint="eastAsia" w:ascii="仿宋" w:hAnsi="仿宋" w:eastAsia="仿宋" w:cs="仿宋"/>
          <w:b w:val="0"/>
          <w:bCs/>
          <w:i w:val="0"/>
          <w:spacing w:val="0"/>
          <w:kern w:val="0"/>
          <w:sz w:val="28"/>
          <w:szCs w:val="24"/>
        </w:rPr>
        <w:t>单人月度劳务包干费用（含薪酬、社保、意外险、工装等全部成本），总价为1个月服务费，分项报价不得超采购限价。</w:t>
      </w:r>
    </w:p>
    <w:p>
      <w:pPr>
        <w:pageBreakBefore w:val="0"/>
        <w:wordWrap/>
        <w:spacing w:before="160" w:after="0"/>
        <w:ind w:left="0" w:right="0"/>
        <w:jc w:val="left"/>
        <w:textAlignment w:val="auto"/>
        <w:rPr>
          <w:rFonts w:hint="eastAsia" w:ascii="仿宋" w:hAnsi="仿宋" w:eastAsia="仿宋" w:cs="仿宋"/>
          <w:b/>
          <w:bCs w:val="0"/>
          <w:i w:val="0"/>
          <w:spacing w:val="0"/>
          <w:kern w:val="0"/>
          <w:sz w:val="28"/>
          <w:szCs w:val="24"/>
          <w:lang w:val="en-US" w:eastAsia="zh-CN"/>
        </w:rPr>
      </w:pPr>
      <w:r>
        <w:rPr>
          <w:rFonts w:hint="eastAsia" w:ascii="仿宋" w:hAnsi="仿宋" w:eastAsia="仿宋" w:cs="仿宋"/>
          <w:b/>
          <w:bCs w:val="0"/>
          <w:i w:val="0"/>
          <w:spacing w:val="0"/>
          <w:kern w:val="0"/>
          <w:sz w:val="28"/>
          <w:szCs w:val="24"/>
          <w:lang w:val="en-US" w:eastAsia="zh-CN"/>
        </w:rPr>
        <w:t>五、费用结算</w:t>
      </w:r>
    </w:p>
    <w:p>
      <w:pPr>
        <w:pageBreakBefore w:val="0"/>
        <w:wordWrap/>
        <w:spacing w:before="160" w:after="0"/>
        <w:ind w:left="0" w:right="0" w:firstLine="560" w:firstLineChars="200"/>
        <w:jc w:val="left"/>
        <w:textAlignment w:val="auto"/>
        <w:rPr>
          <w:rFonts w:hint="default" w:ascii="仿宋" w:hAnsi="仿宋" w:eastAsia="仿宋" w:cs="仿宋"/>
          <w:b w:val="0"/>
          <w:bCs/>
          <w:i w:val="0"/>
          <w:spacing w:val="0"/>
          <w:kern w:val="0"/>
          <w:sz w:val="28"/>
          <w:szCs w:val="24"/>
          <w:lang w:val="en-US" w:eastAsia="zh-CN"/>
        </w:rPr>
      </w:pPr>
      <w:r>
        <w:rPr>
          <w:rFonts w:hint="eastAsia" w:ascii="仿宋" w:hAnsi="仿宋" w:eastAsia="仿宋" w:cs="仿宋"/>
          <w:b w:val="0"/>
          <w:bCs/>
          <w:i w:val="0"/>
          <w:spacing w:val="0"/>
          <w:kern w:val="0"/>
          <w:sz w:val="28"/>
          <w:szCs w:val="24"/>
        </w:rPr>
        <w:t>甲乙双方依据每月实际服务人员结算单及实际考核结果按实结算服务费用。实际月度服务费以每月实际服务人员结算单及甲、乙双方书面确认的《考核验收单》计算为准。</w:t>
      </w:r>
      <w:r>
        <w:rPr>
          <w:rFonts w:hint="eastAsia" w:ascii="仿宋" w:hAnsi="仿宋" w:eastAsia="仿宋" w:cs="仿宋"/>
          <w:b w:val="0"/>
          <w:bCs/>
          <w:i w:val="0"/>
          <w:spacing w:val="0"/>
          <w:kern w:val="0"/>
          <w:sz w:val="28"/>
          <w:szCs w:val="24"/>
        </w:rPr>
        <w:br w:type="textWrapping"/>
      </w:r>
      <w:r>
        <w:rPr>
          <w:rFonts w:hint="eastAsia" w:ascii="仿宋" w:hAnsi="仿宋" w:eastAsia="仿宋" w:cs="仿宋"/>
          <w:b w:val="0"/>
          <w:bCs/>
          <w:i w:val="0"/>
          <w:spacing w:val="0"/>
          <w:kern w:val="0"/>
          <w:sz w:val="28"/>
          <w:szCs w:val="24"/>
          <w:lang w:val="en-US" w:eastAsia="zh-CN"/>
        </w:rPr>
        <w:t xml:space="preserve">    </w:t>
      </w:r>
      <w:r>
        <w:rPr>
          <w:rFonts w:hint="eastAsia" w:ascii="仿宋" w:hAnsi="仿宋" w:eastAsia="仿宋" w:cs="仿宋"/>
          <w:b w:val="0"/>
          <w:bCs/>
          <w:i w:val="0"/>
          <w:spacing w:val="0"/>
          <w:kern w:val="0"/>
          <w:sz w:val="28"/>
          <w:szCs w:val="24"/>
        </w:rPr>
        <w:t>甲乙双方按照第三条之约定完成考核验收后，应在每月10日前完成上月费用的核算；费用核算无误后，乙方应在要求甲方付款前提供付款申请资料、等额有效发票等付款申请材料，甲方收到上述全部材料后的1-6个月内应支付相应的费用。</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38BD52"/>
    <w:multiLevelType w:val="singleLevel"/>
    <w:tmpl w:val="B438BD52"/>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0053208E"/>
    <w:multiLevelType w:val="multilevel"/>
    <w:tmpl w:val="0053208E"/>
    <w:lvl w:ilvl="0" w:tentative="0">
      <w:start w:val="1"/>
      <w:numFmt w:val="decimal"/>
      <w:lvlText w:val="%1."/>
      <w:lvlJc w:val="left"/>
      <w:pPr>
        <w:ind w:left="440" w:hanging="440"/>
      </w:pPr>
    </w:lvl>
    <w:lvl w:ilvl="1" w:tentative="0">
      <w:start w:val="1"/>
      <w:numFmt w:val="decimal"/>
      <w:lvlText w:val="%1.%2."/>
      <w:lvlJc w:val="left"/>
      <w:pPr>
        <w:ind w:left="1100" w:hanging="660"/>
      </w:pPr>
    </w:lvl>
    <w:lvl w:ilvl="2" w:tentative="0">
      <w:start w:val="1"/>
      <w:numFmt w:val="decimal"/>
      <w:lvlRestart w:val="1"/>
      <w:lvlText w:val="%1.%2.%3."/>
      <w:lvlJc w:val="left"/>
      <w:pPr>
        <w:ind w:left="1760" w:hanging="880"/>
      </w:pPr>
    </w:lvl>
    <w:lvl w:ilvl="3" w:tentative="0">
      <w:start w:val="1"/>
      <w:numFmt w:val="decimal"/>
      <w:lvlRestart w:val="1"/>
      <w:lvlText w:val="%1.%2.%3.%4."/>
      <w:lvlJc w:val="left"/>
      <w:pPr>
        <w:ind w:left="2420" w:hanging="1100"/>
      </w:pPr>
    </w:lvl>
    <w:lvl w:ilvl="4" w:tentative="0">
      <w:start w:val="1"/>
      <w:numFmt w:val="decimal"/>
      <w:lvlRestart w:val="1"/>
      <w:lvlText w:val="%1.%2.%3.%4.%5."/>
      <w:lvlJc w:val="left"/>
      <w:pPr>
        <w:ind w:left="3080" w:hanging="1320"/>
      </w:pPr>
    </w:lvl>
    <w:lvl w:ilvl="5" w:tentative="0">
      <w:start w:val="1"/>
      <w:numFmt w:val="decimal"/>
      <w:lvlRestart w:val="1"/>
      <w:lvlText w:val="%1.%2.%3.%4.%5.%6."/>
      <w:lvlJc w:val="left"/>
      <w:pPr>
        <w:ind w:left="3740" w:hanging="1540"/>
      </w:pPr>
    </w:lvl>
    <w:lvl w:ilvl="6" w:tentative="0">
      <w:start w:val="1"/>
      <w:numFmt w:val="decimal"/>
      <w:lvlRestart w:val="1"/>
      <w:lvlText w:val="%1.%2.%3.%4.%5.%6.%7."/>
      <w:lvlJc w:val="left"/>
      <w:pPr>
        <w:ind w:left="4400" w:hanging="1760"/>
      </w:pPr>
    </w:lvl>
    <w:lvl w:ilvl="7" w:tentative="0">
      <w:start w:val="1"/>
      <w:numFmt w:val="decimal"/>
      <w:lvlRestart w:val="1"/>
      <w:lvlText w:val="%1.%2.%3.%4.%5.%6.%7.%8."/>
      <w:lvlJc w:val="left"/>
      <w:pPr>
        <w:ind w:left="5060" w:hanging="1980"/>
      </w:pPr>
    </w:lvl>
    <w:lvl w:ilvl="8" w:tentative="0">
      <w:start w:val="1"/>
      <w:numFmt w:val="decimal"/>
      <w:lvlRestart w:val="1"/>
      <w:lvlText w:val="%1.%2.%3.%4.%5.%6.%7.%8.%9."/>
      <w:lvlJc w:val="left"/>
      <w:pPr>
        <w:ind w:left="5720" w:hanging="2200"/>
      </w:pPr>
    </w:lvl>
  </w:abstractNum>
  <w:abstractNum w:abstractNumId="3">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1F6306B"/>
    <w:rsid w:val="022B3855"/>
    <w:rsid w:val="025E0102"/>
    <w:rsid w:val="04103632"/>
    <w:rsid w:val="04B61AA3"/>
    <w:rsid w:val="05B1555F"/>
    <w:rsid w:val="0671572A"/>
    <w:rsid w:val="067D1626"/>
    <w:rsid w:val="0841052C"/>
    <w:rsid w:val="097558B4"/>
    <w:rsid w:val="09770F2A"/>
    <w:rsid w:val="0A261215"/>
    <w:rsid w:val="0A4F74B7"/>
    <w:rsid w:val="0A6034E0"/>
    <w:rsid w:val="0C1C2D99"/>
    <w:rsid w:val="0D8F41B1"/>
    <w:rsid w:val="0DB93286"/>
    <w:rsid w:val="0DCB0AAA"/>
    <w:rsid w:val="0E49720A"/>
    <w:rsid w:val="0EC420D1"/>
    <w:rsid w:val="0EC93FBB"/>
    <w:rsid w:val="10E91871"/>
    <w:rsid w:val="11DD4B3A"/>
    <w:rsid w:val="1201396E"/>
    <w:rsid w:val="129618DC"/>
    <w:rsid w:val="14DC73BB"/>
    <w:rsid w:val="14EB65E0"/>
    <w:rsid w:val="1588048B"/>
    <w:rsid w:val="168857E4"/>
    <w:rsid w:val="16CC6CE0"/>
    <w:rsid w:val="16D97ADD"/>
    <w:rsid w:val="16E45AEB"/>
    <w:rsid w:val="177F1319"/>
    <w:rsid w:val="17DF53E0"/>
    <w:rsid w:val="1B013FAA"/>
    <w:rsid w:val="1B513E4B"/>
    <w:rsid w:val="1BDC56E2"/>
    <w:rsid w:val="1C186A2A"/>
    <w:rsid w:val="1D556636"/>
    <w:rsid w:val="1DCE44E0"/>
    <w:rsid w:val="202F7D49"/>
    <w:rsid w:val="210322A7"/>
    <w:rsid w:val="2121293A"/>
    <w:rsid w:val="23EC6A93"/>
    <w:rsid w:val="24957E2A"/>
    <w:rsid w:val="259F18F8"/>
    <w:rsid w:val="26497039"/>
    <w:rsid w:val="272E6E27"/>
    <w:rsid w:val="27540AC6"/>
    <w:rsid w:val="278065CC"/>
    <w:rsid w:val="287C62B4"/>
    <w:rsid w:val="28C56911"/>
    <w:rsid w:val="291B3A89"/>
    <w:rsid w:val="2B3335F6"/>
    <w:rsid w:val="2BED4BFF"/>
    <w:rsid w:val="2D022F1E"/>
    <w:rsid w:val="2E0A4EF7"/>
    <w:rsid w:val="2EBF0175"/>
    <w:rsid w:val="2F8C5B34"/>
    <w:rsid w:val="3035528F"/>
    <w:rsid w:val="303C5477"/>
    <w:rsid w:val="305D6B4A"/>
    <w:rsid w:val="31BE38D0"/>
    <w:rsid w:val="329B19DD"/>
    <w:rsid w:val="338C409C"/>
    <w:rsid w:val="347C7347"/>
    <w:rsid w:val="36991F33"/>
    <w:rsid w:val="36D13171"/>
    <w:rsid w:val="37FE2A53"/>
    <w:rsid w:val="38812374"/>
    <w:rsid w:val="38F12B0E"/>
    <w:rsid w:val="38F34C92"/>
    <w:rsid w:val="395149F9"/>
    <w:rsid w:val="3BDD1A9B"/>
    <w:rsid w:val="3BF341D2"/>
    <w:rsid w:val="3DDA2166"/>
    <w:rsid w:val="3E7E4135"/>
    <w:rsid w:val="3EC52271"/>
    <w:rsid w:val="3ED65B24"/>
    <w:rsid w:val="3F047199"/>
    <w:rsid w:val="3F676A9B"/>
    <w:rsid w:val="408829A2"/>
    <w:rsid w:val="40DF147E"/>
    <w:rsid w:val="410E417C"/>
    <w:rsid w:val="43F34101"/>
    <w:rsid w:val="44347426"/>
    <w:rsid w:val="4483748A"/>
    <w:rsid w:val="46291EEF"/>
    <w:rsid w:val="467170E3"/>
    <w:rsid w:val="46B354B7"/>
    <w:rsid w:val="47C0473A"/>
    <w:rsid w:val="484138CD"/>
    <w:rsid w:val="4B0F1E17"/>
    <w:rsid w:val="4C032E3E"/>
    <w:rsid w:val="4C8E76F1"/>
    <w:rsid w:val="4D1202BB"/>
    <w:rsid w:val="4E8C1884"/>
    <w:rsid w:val="4F971260"/>
    <w:rsid w:val="5067110C"/>
    <w:rsid w:val="506979EA"/>
    <w:rsid w:val="507D3B91"/>
    <w:rsid w:val="508467D4"/>
    <w:rsid w:val="50DB0041"/>
    <w:rsid w:val="50E46FDC"/>
    <w:rsid w:val="518A0729"/>
    <w:rsid w:val="54032B60"/>
    <w:rsid w:val="545F0E76"/>
    <w:rsid w:val="551F30DA"/>
    <w:rsid w:val="55233FA3"/>
    <w:rsid w:val="555801ED"/>
    <w:rsid w:val="55AF6717"/>
    <w:rsid w:val="56213D59"/>
    <w:rsid w:val="56DB22E8"/>
    <w:rsid w:val="57852512"/>
    <w:rsid w:val="57AB174E"/>
    <w:rsid w:val="584F6981"/>
    <w:rsid w:val="59A575EF"/>
    <w:rsid w:val="5AC64570"/>
    <w:rsid w:val="5B7B0426"/>
    <w:rsid w:val="5BD82D7C"/>
    <w:rsid w:val="5BE44C27"/>
    <w:rsid w:val="5BFB7194"/>
    <w:rsid w:val="5D497B32"/>
    <w:rsid w:val="5EBE23CD"/>
    <w:rsid w:val="617E685D"/>
    <w:rsid w:val="61A2602F"/>
    <w:rsid w:val="61FF0F78"/>
    <w:rsid w:val="63A6159C"/>
    <w:rsid w:val="63F16E5E"/>
    <w:rsid w:val="64847D61"/>
    <w:rsid w:val="65155319"/>
    <w:rsid w:val="665C30B6"/>
    <w:rsid w:val="66852B3E"/>
    <w:rsid w:val="67183BE9"/>
    <w:rsid w:val="67DE23FD"/>
    <w:rsid w:val="682078ED"/>
    <w:rsid w:val="68B65BF9"/>
    <w:rsid w:val="6A0D3F8C"/>
    <w:rsid w:val="6A934041"/>
    <w:rsid w:val="6B4E5816"/>
    <w:rsid w:val="6BB9773A"/>
    <w:rsid w:val="6CD54EA3"/>
    <w:rsid w:val="6D535020"/>
    <w:rsid w:val="73CF0EC4"/>
    <w:rsid w:val="76656426"/>
    <w:rsid w:val="768D0B53"/>
    <w:rsid w:val="76DA30C2"/>
    <w:rsid w:val="775B4F8E"/>
    <w:rsid w:val="78953E1F"/>
    <w:rsid w:val="78B9366D"/>
    <w:rsid w:val="796270D1"/>
    <w:rsid w:val="7A5D46E4"/>
    <w:rsid w:val="7A696819"/>
    <w:rsid w:val="7ACE415F"/>
    <w:rsid w:val="7D005C4A"/>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qFormat="1" w:unhideWhenUsed="0" w:uiPriority="0" w:semiHidden="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next w:val="7"/>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HTML Address"/>
    <w:basedOn w:val="1"/>
    <w:qFormat/>
    <w:uiPriority w:val="0"/>
    <w:rPr>
      <w:rFonts w:ascii="Times New Roman" w:hAnsi="Times New Roman" w:eastAsia="宋体" w:cs="Times New Roman"/>
      <w:i/>
    </w:rPr>
  </w:style>
  <w:style w:type="paragraph" w:styleId="8">
    <w:name w:val="Body Text"/>
    <w:basedOn w:val="1"/>
    <w:link w:val="23"/>
    <w:qFormat/>
    <w:uiPriority w:val="0"/>
    <w:pPr>
      <w:spacing w:line="480" w:lineRule="exact"/>
      <w:jc w:val="left"/>
    </w:pPr>
    <w:rPr>
      <w:rFonts w:ascii="宋体" w:hAnsi="宋体"/>
    </w:rPr>
  </w:style>
  <w:style w:type="paragraph" w:styleId="9">
    <w:name w:val="Body Text Indent"/>
    <w:basedOn w:val="1"/>
    <w:link w:val="26"/>
    <w:unhideWhenUsed/>
    <w:qFormat/>
    <w:uiPriority w:val="0"/>
    <w:pPr>
      <w:spacing w:after="120"/>
      <w:ind w:left="420" w:leftChars="200"/>
    </w:pPr>
  </w:style>
  <w:style w:type="paragraph" w:styleId="10">
    <w:name w:val="Plain Text"/>
    <w:basedOn w:val="1"/>
    <w:link w:val="31"/>
    <w:qFormat/>
    <w:uiPriority w:val="0"/>
    <w:pPr>
      <w:spacing w:line="360" w:lineRule="auto"/>
      <w:ind w:firstLine="510"/>
    </w:pPr>
    <w:rPr>
      <w:rFonts w:ascii="宋体" w:hAnsi="Courier New" w:eastAsia="仿宋_GB2312"/>
      <w:sz w:val="24"/>
      <w:szCs w:val="20"/>
    </w:rPr>
  </w:style>
  <w:style w:type="paragraph" w:styleId="11">
    <w:name w:val="Balloon Text"/>
    <w:basedOn w:val="1"/>
    <w:link w:val="28"/>
    <w:qFormat/>
    <w:uiPriority w:val="0"/>
    <w:rPr>
      <w:sz w:val="18"/>
      <w:szCs w:val="18"/>
    </w:rPr>
  </w:style>
  <w:style w:type="paragraph" w:styleId="12">
    <w:name w:val="footer"/>
    <w:basedOn w:val="1"/>
    <w:link w:val="22"/>
    <w:qFormat/>
    <w:uiPriority w:val="99"/>
    <w:pPr>
      <w:tabs>
        <w:tab w:val="center" w:pos="4153"/>
        <w:tab w:val="right" w:pos="8306"/>
      </w:tabs>
      <w:snapToGrid w:val="0"/>
      <w:jc w:val="left"/>
    </w:pPr>
    <w:rPr>
      <w:sz w:val="18"/>
      <w:szCs w:val="18"/>
    </w:rPr>
  </w:style>
  <w:style w:type="paragraph" w:styleId="13">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w:basedOn w:val="8"/>
    <w:link w:val="30"/>
    <w:semiHidden/>
    <w:unhideWhenUsed/>
    <w:qFormat/>
    <w:uiPriority w:val="0"/>
    <w:pPr>
      <w:spacing w:after="120" w:line="240" w:lineRule="auto"/>
      <w:ind w:firstLine="420" w:firstLineChars="100"/>
      <w:jc w:val="both"/>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Strong"/>
    <w:qFormat/>
    <w:uiPriority w:val="0"/>
    <w:rPr>
      <w:b/>
      <w:bCs/>
    </w:rPr>
  </w:style>
  <w:style w:type="character" w:styleId="19">
    <w:name w:val="Hyperlink"/>
    <w:basedOn w:val="17"/>
    <w:semiHidden/>
    <w:unhideWhenUsed/>
    <w:qFormat/>
    <w:uiPriority w:val="0"/>
    <w:rPr>
      <w:color w:val="0000FF"/>
      <w:u w:val="single"/>
    </w:rPr>
  </w:style>
  <w:style w:type="paragraph" w:customStyle="1" w:styleId="20">
    <w:name w:val="正文1"/>
    <w:qFormat/>
    <w:uiPriority w:val="0"/>
    <w:pPr>
      <w:jc w:val="both"/>
    </w:pPr>
    <w:rPr>
      <w:rFonts w:ascii="Calibri" w:hAnsi="Calibri" w:eastAsia="宋体" w:cs="宋体"/>
      <w:kern w:val="2"/>
      <w:sz w:val="21"/>
      <w:szCs w:val="21"/>
      <w:lang w:val="en-US" w:eastAsia="zh-CN" w:bidi="ar-SA"/>
    </w:rPr>
  </w:style>
  <w:style w:type="character" w:customStyle="1" w:styleId="21">
    <w:name w:val="页眉 字符"/>
    <w:basedOn w:val="17"/>
    <w:link w:val="13"/>
    <w:qFormat/>
    <w:uiPriority w:val="0"/>
    <w:rPr>
      <w:kern w:val="2"/>
      <w:sz w:val="18"/>
      <w:szCs w:val="18"/>
    </w:rPr>
  </w:style>
  <w:style w:type="character" w:customStyle="1" w:styleId="22">
    <w:name w:val="页脚 字符"/>
    <w:basedOn w:val="17"/>
    <w:link w:val="12"/>
    <w:qFormat/>
    <w:uiPriority w:val="99"/>
    <w:rPr>
      <w:kern w:val="2"/>
      <w:sz w:val="18"/>
      <w:szCs w:val="18"/>
    </w:rPr>
  </w:style>
  <w:style w:type="character" w:customStyle="1" w:styleId="23">
    <w:name w:val="正文文本 字符"/>
    <w:basedOn w:val="17"/>
    <w:link w:val="8"/>
    <w:qFormat/>
    <w:uiPriority w:val="0"/>
    <w:rPr>
      <w:rFonts w:ascii="宋体" w:hAnsi="宋体"/>
      <w:kern w:val="2"/>
      <w:sz w:val="21"/>
      <w:szCs w:val="24"/>
    </w:rPr>
  </w:style>
  <w:style w:type="character" w:customStyle="1" w:styleId="24">
    <w:name w:val="普通 (Web) Char Char"/>
    <w:link w:val="25"/>
    <w:qFormat/>
    <w:uiPriority w:val="0"/>
    <w:rPr>
      <w:rFonts w:ascii="宋体" w:hAnsi="宋体"/>
      <w:sz w:val="24"/>
    </w:rPr>
  </w:style>
  <w:style w:type="paragraph" w:customStyle="1" w:styleId="25">
    <w:name w:val="普通 (Web)"/>
    <w:basedOn w:val="1"/>
    <w:link w:val="24"/>
    <w:qFormat/>
    <w:uiPriority w:val="0"/>
    <w:pPr>
      <w:widowControl/>
      <w:spacing w:before="100" w:beforeAutospacing="1" w:after="100" w:afterAutospacing="1"/>
      <w:jc w:val="left"/>
    </w:pPr>
    <w:rPr>
      <w:rFonts w:ascii="宋体" w:hAnsi="宋体"/>
      <w:kern w:val="0"/>
      <w:sz w:val="24"/>
      <w:szCs w:val="20"/>
    </w:rPr>
  </w:style>
  <w:style w:type="character" w:customStyle="1" w:styleId="26">
    <w:name w:val="正文文本缩进 字符"/>
    <w:basedOn w:val="17"/>
    <w:link w:val="9"/>
    <w:qFormat/>
    <w:uiPriority w:val="0"/>
    <w:rPr>
      <w:kern w:val="2"/>
      <w:sz w:val="21"/>
      <w:szCs w:val="24"/>
    </w:rPr>
  </w:style>
  <w:style w:type="paragraph" w:customStyle="1" w:styleId="27">
    <w:name w:val="Char"/>
    <w:basedOn w:val="1"/>
    <w:qFormat/>
    <w:uiPriority w:val="0"/>
    <w:rPr>
      <w:rFonts w:ascii="Tahoma" w:hAnsi="Tahoma"/>
      <w:sz w:val="24"/>
    </w:rPr>
  </w:style>
  <w:style w:type="character" w:customStyle="1" w:styleId="28">
    <w:name w:val="批注框文本 字符"/>
    <w:basedOn w:val="17"/>
    <w:link w:val="11"/>
    <w:qFormat/>
    <w:uiPriority w:val="0"/>
    <w:rPr>
      <w:kern w:val="2"/>
      <w:sz w:val="18"/>
      <w:szCs w:val="18"/>
    </w:rPr>
  </w:style>
  <w:style w:type="character" w:customStyle="1" w:styleId="29">
    <w:name w:val="标题 1 字符"/>
    <w:basedOn w:val="17"/>
    <w:link w:val="3"/>
    <w:qFormat/>
    <w:uiPriority w:val="0"/>
    <w:rPr>
      <w:b/>
      <w:bCs/>
      <w:kern w:val="44"/>
      <w:sz w:val="44"/>
      <w:szCs w:val="44"/>
    </w:rPr>
  </w:style>
  <w:style w:type="character" w:customStyle="1" w:styleId="30">
    <w:name w:val="正文文本首行缩进 字符"/>
    <w:basedOn w:val="23"/>
    <w:link w:val="14"/>
    <w:semiHidden/>
    <w:qFormat/>
    <w:uiPriority w:val="0"/>
    <w:rPr>
      <w:rFonts w:ascii="宋体" w:hAnsi="宋体"/>
      <w:kern w:val="2"/>
      <w:sz w:val="21"/>
      <w:szCs w:val="24"/>
    </w:rPr>
  </w:style>
  <w:style w:type="character" w:customStyle="1" w:styleId="31">
    <w:name w:val="纯文本 字符"/>
    <w:link w:val="10"/>
    <w:qFormat/>
    <w:uiPriority w:val="0"/>
    <w:rPr>
      <w:rFonts w:ascii="宋体" w:hAnsi="Courier New" w:eastAsia="仿宋_GB2312"/>
      <w:kern w:val="2"/>
      <w:sz w:val="24"/>
    </w:rPr>
  </w:style>
  <w:style w:type="character" w:customStyle="1" w:styleId="32">
    <w:name w:val="font31"/>
    <w:basedOn w:val="17"/>
    <w:qFormat/>
    <w:uiPriority w:val="0"/>
    <w:rPr>
      <w:rFonts w:hint="eastAsia" w:ascii="宋体" w:hAnsi="宋体" w:eastAsia="宋体" w:cs="宋体"/>
      <w:b/>
      <w:color w:val="000000"/>
      <w:sz w:val="14"/>
      <w:szCs w:val="14"/>
      <w:u w:val="none"/>
    </w:rPr>
  </w:style>
  <w:style w:type="character" w:customStyle="1" w:styleId="33">
    <w:name w:val="font01"/>
    <w:basedOn w:val="17"/>
    <w:qFormat/>
    <w:uiPriority w:val="0"/>
    <w:rPr>
      <w:rFonts w:hint="eastAsia" w:ascii="宋体" w:hAnsi="宋体" w:eastAsia="宋体" w:cs="宋体"/>
      <w:color w:val="000000"/>
      <w:sz w:val="14"/>
      <w:szCs w:val="14"/>
      <w:u w:val="none"/>
    </w:rPr>
  </w:style>
  <w:style w:type="paragraph" w:customStyle="1" w:styleId="34">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5">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9</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许丹绮</cp:lastModifiedBy>
  <dcterms:modified xsi:type="dcterms:W3CDTF">2026-06-05T07:06:56Z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