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岱山社区公园海盗船绳索损坏维修</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（珠海正方公共资源运营有限公司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6</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 xml:space="preserve"> 15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珠海正方公共资源运营有限公司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岱山社区公寓儿童游乐设备海盗船绳索损坏，直径80cm，长度4.5m，绳直径12mm，采用尼龙材质（室外用）更换，现采购维修服务。</w:t>
      </w:r>
    </w:p>
    <w:p>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捌仟元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8000.00</w:t>
      </w:r>
      <w:r>
        <w:rPr>
          <w:rFonts w:hint="default" w:ascii="Times New Roman" w:hAnsi="Times New Roman" w:eastAsia="宋体" w:cs="Times New Roman"/>
          <w:color w:val="auto"/>
          <w:sz w:val="24"/>
          <w:u w:val="none"/>
        </w:rPr>
        <w:t>元），报价上限：人民币</w:t>
      </w:r>
      <w:r>
        <w:rPr>
          <w:rFonts w:hint="eastAsia" w:cs="Times New Roman"/>
          <w:color w:val="auto"/>
          <w:sz w:val="24"/>
          <w:u w:val="none"/>
          <w:lang w:eastAsia="zh-CN"/>
        </w:rPr>
        <w:t>捌仟元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8000.00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岱山社区公园海盗船绳索损坏维修</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1、投标人必须是在中华人民共和国境内依法注册、具备独立民事责任承担能力的法人、其他组织及个体工商户，持有合法有效营业执照；</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2</w:t>
      </w:r>
      <w:r>
        <w:rPr>
          <w:rFonts w:hint="default" w:ascii="Times New Roman" w:hAnsi="Times New Roman" w:eastAsia="宋体" w:cs="Times New Roman"/>
          <w:b w:val="0"/>
          <w:bCs w:val="0"/>
          <w:color w:val="auto"/>
          <w:sz w:val="24"/>
        </w:rPr>
        <w:t>.供应商未被列入“信用中国”网站(www.creditchina.gov.cn)“记录失信被执行人或重大税收违法失信主体”记录名单；若供应商为个体户，则需未被列入“国家企业信用信息公示系统”网站（www.gsxt.gov.cn）“经营异常或严重违法失信”记录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3</w:t>
      </w:r>
      <w:r>
        <w:rPr>
          <w:rFonts w:hint="default" w:ascii="Times New Roman" w:hAnsi="Times New Roman" w:eastAsia="宋体" w:cs="Times New Roman"/>
          <w:b w:val="0"/>
          <w:bCs w:val="0"/>
          <w:color w:val="auto"/>
          <w:sz w:val="24"/>
        </w:rPr>
        <w:t>.未被纳入正方集团“黑名单”；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4</w:t>
      </w:r>
      <w:r>
        <w:rPr>
          <w:rFonts w:hint="default" w:ascii="Times New Roman" w:hAnsi="Times New Roman" w:eastAsia="宋体" w:cs="Times New Roman"/>
          <w:b w:val="0"/>
          <w:bCs w:val="0"/>
          <w:color w:val="auto"/>
          <w:sz w:val="24"/>
        </w:rPr>
        <w:t>.与其他投标人不存在单位负责人为同一人或者存在控股、管理关系；</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rPr>
        <w:t>.本项目不接受联合体投标。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7"/>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6"/>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 xml:space="preserve"> 6</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17 </w:t>
      </w:r>
      <w:r>
        <w:rPr>
          <w:rFonts w:hint="default" w:ascii="Times New Roman" w:hAnsi="Times New Roman" w:eastAsia="宋体" w:cs="Times New Roman"/>
          <w:color w:val="auto"/>
          <w:sz w:val="24"/>
        </w:rPr>
        <w:t>日 1</w:t>
      </w:r>
      <w:r>
        <w:rPr>
          <w:rFonts w:hint="eastAsia" w:cs="Times New Roman"/>
          <w:color w:val="auto"/>
          <w:sz w:val="24"/>
          <w:lang w:val="en-US" w:eastAsia="zh-CN"/>
        </w:rPr>
        <w:t>7:3</w:t>
      </w:r>
      <w:r>
        <w:rPr>
          <w:rFonts w:hint="default" w:ascii="Times New Roman" w:hAnsi="Times New Roman" w:eastAsia="宋体" w:cs="Times New Roman"/>
          <w:color w:val="auto"/>
          <w:sz w:val="24"/>
        </w:rPr>
        <w:t>0（北京时间）；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岱山社区公园海盗船绳索损坏维修</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2.8 若中标供应商放弃中标资格、不符合中标条件的、因不可抗力不能履行合同或者被查实存在影响中标结果的违法行为等情形，招标人可按照确定的【经评审投标价由低到高】排名顺序依次确定增补为中标供应商，也可重新招标。</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pPr>
        <w:pStyle w:val="34"/>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pStyle w:val="34"/>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pPr>
        <w:pStyle w:val="34"/>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pPr>
        <w:pStyle w:val="34"/>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pPr>
        <w:pStyle w:val="34"/>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pPr>
        <w:pStyle w:val="34"/>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pPr>
        <w:pStyle w:val="34"/>
        <w:spacing w:beforeLines="0" w:afterLines="0" w:line="480" w:lineRule="auto"/>
        <w:ind w:firstLine="480"/>
        <w:rPr>
          <w:rFonts w:hint="eastAsia"/>
        </w:rPr>
      </w:pPr>
      <w:r>
        <w:rPr>
          <w:rFonts w:hint="default" w:ascii="宋体" w:hAnsi="宋体"/>
          <w:sz w:val="24"/>
        </w:rPr>
        <w:t>（4）其他细微偏差按照有利于采购人的原则进行补正。</w:t>
      </w:r>
    </w:p>
    <w:p>
      <w:pPr>
        <w:pStyle w:val="2"/>
        <w:rPr>
          <w:rFonts w:hint="eastAsia"/>
        </w:rPr>
      </w:pP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珠海正方公共资源运营有限公司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 xml:space="preserve">6 </w:t>
      </w:r>
      <w:r>
        <w:rPr>
          <w:rFonts w:hint="eastAsia" w:ascii="宋体" w:hAnsi="宋体" w:eastAsia="宋体" w:cs="宋体"/>
          <w:color w:val="auto"/>
          <w:sz w:val="24"/>
          <w:szCs w:val="24"/>
        </w:rPr>
        <w:t xml:space="preserve">月 </w:t>
      </w:r>
      <w:r>
        <w:rPr>
          <w:rFonts w:hint="eastAsia" w:ascii="宋体" w:hAnsi="宋体" w:cs="宋体"/>
          <w:color w:val="auto"/>
          <w:sz w:val="24"/>
          <w:szCs w:val="24"/>
          <w:lang w:val="en-US" w:eastAsia="zh-CN"/>
        </w:rPr>
        <w:t>15</w:t>
      </w:r>
      <w:bookmarkStart w:id="94" w:name="_GoBack"/>
      <w:bookmarkEnd w:id="94"/>
      <w:r>
        <w:rPr>
          <w:rFonts w:hint="eastAsia" w:ascii="宋体" w:hAnsi="宋体" w:eastAsia="宋体" w:cs="宋体"/>
          <w:color w:val="auto"/>
          <w:sz w:val="24"/>
          <w:szCs w:val="24"/>
        </w:rPr>
        <w:t xml:space="preserve"> 日</w:t>
      </w: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15547"/>
      <w:bookmarkStart w:id="4" w:name="_Toc9199"/>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503427710"/>
      <w:bookmarkStart w:id="8" w:name="_Toc202252034"/>
      <w:bookmarkStart w:id="9" w:name="_Toc202816996"/>
      <w:bookmarkStart w:id="10" w:name="_Toc17685"/>
      <w:bookmarkStart w:id="11" w:name="_Toc15317"/>
      <w:bookmarkStart w:id="12" w:name="_Toc202819878"/>
      <w:bookmarkStart w:id="13" w:name="_Toc202820351"/>
      <w:bookmarkStart w:id="14" w:name="_Toc698"/>
      <w:bookmarkStart w:id="15" w:name="_Toc16107"/>
      <w:bookmarkStart w:id="16" w:name="_Toc259090982"/>
      <w:bookmarkStart w:id="17" w:name="_Toc202254105"/>
      <w:bookmarkStart w:id="18" w:name="_Toc202251700"/>
      <w:bookmarkStart w:id="19" w:name="_Toc276645579"/>
      <w:bookmarkStart w:id="20" w:name="_Toc202251075"/>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76645580"/>
      <w:bookmarkStart w:id="22" w:name="_Toc13089"/>
      <w:bookmarkStart w:id="23" w:name="_Toc259090983"/>
      <w:bookmarkStart w:id="24" w:name="_Toc20366"/>
      <w:bookmarkStart w:id="25" w:name="_Toc503427711"/>
      <w:bookmarkStart w:id="26" w:name="_Toc24181"/>
      <w:bookmarkStart w:id="27" w:name="_Toc32660"/>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岱山社区公园海盗船绳索损坏维修</w:t>
      </w:r>
      <w:r>
        <w:rPr>
          <w:rFonts w:hint="eastAsia" w:ascii="宋体" w:hAnsi="宋体"/>
          <w:kern w:val="0"/>
          <w:sz w:val="24"/>
          <w:u w:val="single"/>
          <w:lang w:val="en-US" w:eastAsia="zh-CN"/>
        </w:rPr>
        <w:t xml:space="preserve"> </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hint="eastAsia" w:ascii="宋体" w:hAnsi="宋体" w:eastAsia="宋体"/>
          <w:sz w:val="28"/>
          <w:lang w:val="en-US" w:eastAsia="zh-CN"/>
        </w:rPr>
      </w:pPr>
      <w:bookmarkStart w:id="29" w:name="_Toc503427713"/>
      <w:bookmarkStart w:id="30" w:name="_Toc17080"/>
      <w:bookmarkStart w:id="31" w:name="_Toc19817"/>
      <w:bookmarkStart w:id="32" w:name="_Toc528"/>
      <w:bookmarkStart w:id="33" w:name="_Toc19171"/>
      <w:bookmarkStart w:id="34" w:name="_Toc27591"/>
      <w:r>
        <w:rPr>
          <w:rFonts w:hint="eastAsia" w:ascii="宋体" w:hAnsi="宋体" w:eastAsia="宋体"/>
          <w:sz w:val="28"/>
          <w:lang w:val="en-US" w:eastAsia="zh-CN"/>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岱山社区公园海盗船绳索损坏维修</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r>
        <w:rPr>
          <w:rFonts w:hint="eastAsia" w:ascii="宋体" w:hAnsi="宋体"/>
          <w:sz w:val="24"/>
          <w:lang w:eastAsia="zh-CN"/>
        </w:rPr>
        <w:t>；</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hint="eastAsia" w:ascii="宋体" w:hAnsi="宋体" w:eastAsia="宋体"/>
          <w:sz w:val="24"/>
          <w:lang w:eastAsia="zh-CN"/>
        </w:rPr>
      </w:pPr>
      <w:r>
        <w:rPr>
          <w:rFonts w:hint="eastAsia" w:ascii="宋体" w:hAnsi="宋体"/>
          <w:sz w:val="24"/>
          <w:lang w:val="en-US" w:eastAsia="zh-CN"/>
        </w:rPr>
        <w:t>2</w:t>
      </w:r>
      <w:r>
        <w:rPr>
          <w:rFonts w:hint="eastAsia" w:ascii="宋体" w:hAnsi="宋体"/>
          <w:sz w:val="24"/>
        </w:rPr>
        <w:t>.2 存在直接控股或管理关系的</w:t>
      </w:r>
      <w:r>
        <w:rPr>
          <w:rFonts w:hint="eastAsia" w:ascii="宋体" w:hAnsi="宋体"/>
          <w:sz w:val="24"/>
          <w:lang w:eastAsia="zh-CN"/>
        </w:rPr>
        <w:t>。</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35" w:name="_Toc31767"/>
      <w:bookmarkStart w:id="36" w:name="_Toc14285"/>
      <w:bookmarkStart w:id="37" w:name="_Toc15464"/>
      <w:bookmarkStart w:id="38" w:name="_Toc24356"/>
      <w:bookmarkStart w:id="39" w:name="_Toc32141"/>
      <w:bookmarkStart w:id="40" w:name="_Toc26971"/>
      <w:bookmarkStart w:id="41" w:name="_Toc31877"/>
      <w:bookmarkStart w:id="42" w:name="_Toc5048"/>
      <w:bookmarkStart w:id="43" w:name="_Toc19796"/>
      <w:bookmarkStart w:id="44" w:name="_Toc13922"/>
      <w:bookmarkStart w:id="45" w:name="_Toc19969"/>
      <w:bookmarkStart w:id="46" w:name="_Toc10559"/>
      <w:bookmarkStart w:id="47" w:name="_Toc6220"/>
      <w:bookmarkStart w:id="48" w:name="_Toc24969"/>
      <w:bookmarkStart w:id="49" w:name="_Toc9476"/>
      <w:bookmarkStart w:id="50" w:name="_Toc10585"/>
      <w:bookmarkStart w:id="51" w:name="_Toc27468"/>
      <w:bookmarkStart w:id="52" w:name="_Toc276645583"/>
      <w:bookmarkStart w:id="53" w:name="_Toc6275"/>
      <w:bookmarkStart w:id="54" w:name="_Toc264628882"/>
      <w:bookmarkStart w:id="55" w:name="_Toc4726"/>
      <w:bookmarkStart w:id="56" w:name="_Toc32498"/>
      <w:bookmarkStart w:id="57" w:name="_Toc4427"/>
      <w:bookmarkStart w:id="58" w:name="_Toc503427714"/>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baseline"/>
        <w:rPr>
          <w:rFonts w:hint="eastAsia"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59" w:name="_Toc20437"/>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5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珠海正方公共资源运营有限公司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60" w:name="_Toc202819882"/>
      <w:bookmarkStart w:id="61" w:name="_Toc202254108"/>
      <w:bookmarkStart w:id="62" w:name="_Toc12992"/>
      <w:bookmarkStart w:id="63" w:name="_Toc24253"/>
      <w:bookmarkStart w:id="64" w:name="_Toc202251078"/>
      <w:bookmarkStart w:id="65" w:name="_Toc3330"/>
      <w:bookmarkStart w:id="66" w:name="_Toc29543"/>
      <w:bookmarkStart w:id="67" w:name="_Toc259090996"/>
      <w:bookmarkStart w:id="68" w:name="_Toc21572"/>
      <w:bookmarkStart w:id="69" w:name="_Toc202251703"/>
      <w:bookmarkStart w:id="70" w:name="_Toc202817000"/>
      <w:bookmarkStart w:id="71" w:name="_Toc202820355"/>
      <w:bookmarkStart w:id="72" w:name="_Toc276645592"/>
      <w:bookmarkStart w:id="73" w:name="_Toc202252037"/>
      <w:bookmarkStart w:id="74" w:name="_Toc503427721"/>
      <w:r>
        <w:rPr>
          <w:rFonts w:hint="eastAsia" w:ascii="黑体" w:hAnsi="黑体" w:cs="黑体"/>
          <w:b/>
          <w:bCs w:val="0"/>
          <w:sz w:val="28"/>
          <w:szCs w:val="28"/>
          <w:lang w:val="en-US" w:eastAsia="zh-CN"/>
        </w:rPr>
        <w:br w:type="page"/>
      </w:r>
    </w:p>
    <w:p>
      <w:pPr>
        <w:pStyle w:val="5"/>
        <w:spacing w:before="100" w:after="100" w:line="360" w:lineRule="auto"/>
        <w:rPr>
          <w:rFonts w:hint="eastAsia" w:ascii="宋体" w:hAnsi="宋体" w:eastAsia="宋体"/>
          <w:sz w:val="28"/>
          <w:lang w:val="en-US" w:eastAsia="zh-CN"/>
        </w:rPr>
      </w:pPr>
      <w:bookmarkStart w:id="75" w:name="_Toc7304"/>
      <w:bookmarkStart w:id="76" w:name="_Toc10726"/>
      <w:bookmarkStart w:id="77" w:name="_Toc5662"/>
      <w:bookmarkStart w:id="78" w:name="_Toc500"/>
      <w:bookmarkStart w:id="79" w:name="_Toc9094"/>
      <w:bookmarkStart w:id="80" w:name="_Toc29470"/>
      <w:bookmarkStart w:id="81" w:name="_Toc2576"/>
      <w:bookmarkStart w:id="82" w:name="_Toc16860"/>
      <w:bookmarkStart w:id="83" w:name="_Toc30192"/>
      <w:bookmarkStart w:id="84" w:name="_Toc3193"/>
      <w:bookmarkStart w:id="85" w:name="_Toc6669"/>
      <w:bookmarkStart w:id="86" w:name="_Toc5278"/>
      <w:bookmarkStart w:id="87" w:name="_Toc22499"/>
      <w:bookmarkStart w:id="88" w:name="_Toc24446"/>
      <w:bookmarkStart w:id="89" w:name="_Toc32145"/>
      <w:bookmarkStart w:id="90" w:name="_Toc113"/>
      <w:r>
        <w:rPr>
          <w:rFonts w:hint="eastAsia" w:ascii="宋体" w:hAnsi="宋体" w:eastAsia="宋体"/>
          <w:sz w:val="28"/>
          <w:lang w:val="en-US" w:eastAsia="zh-CN"/>
        </w:rPr>
        <w:t>1.</w:t>
      </w:r>
      <w:r>
        <w:rPr>
          <w:rFonts w:hint="eastAsia" w:ascii="宋体" w:hAnsi="宋体"/>
          <w:sz w:val="28"/>
          <w:lang w:val="en-US" w:eastAsia="zh-CN"/>
        </w:rPr>
        <w:t>4</w:t>
      </w:r>
      <w:r>
        <w:rPr>
          <w:rFonts w:hint="eastAsia" w:ascii="宋体" w:hAnsi="宋体" w:eastAsia="宋体"/>
          <w:sz w:val="28"/>
          <w:lang w:val="en-US" w:eastAsia="zh-CN"/>
        </w:rPr>
        <w:t>.</w:t>
      </w:r>
      <w:bookmarkEnd w:id="75"/>
      <w:bookmarkEnd w:id="76"/>
      <w:bookmarkEnd w:id="77"/>
      <w:bookmarkStart w:id="91" w:name="_Toc28886"/>
      <w:bookmarkStart w:id="92" w:name="_Toc29247"/>
      <w:bookmarkStart w:id="93" w:name="_Toc17294"/>
      <w:r>
        <w:rPr>
          <w:rFonts w:hint="eastAsia" w:ascii="宋体" w:hAnsi="宋体"/>
          <w:sz w:val="28"/>
          <w:lang w:val="en-US" w:eastAsia="zh-CN"/>
        </w:rPr>
        <w:t>1</w:t>
      </w:r>
      <w:r>
        <w:rPr>
          <w:rFonts w:hint="eastAsia" w:ascii="宋体" w:hAnsi="宋体" w:eastAsia="宋体"/>
          <w:sz w:val="28"/>
          <w:lang w:val="en-US" w:eastAsia="zh-CN"/>
        </w:rPr>
        <w:t>信用信息</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2"/>
        <w:rPr>
          <w:rFonts w:hint="eastAsia"/>
          <w:lang w:val="en-US" w:eastAsia="zh-CN"/>
        </w:rPr>
        <w:sectPr>
          <w:pgSz w:w="11906" w:h="16838"/>
          <w:pgMar w:top="1304" w:right="1531" w:bottom="1247" w:left="1531" w:header="851" w:footer="992" w:gutter="0"/>
          <w:cols w:space="425" w:num="1"/>
          <w:docGrid w:type="lines" w:linePitch="312" w:charSpace="0"/>
        </w:sectPr>
      </w:pPr>
    </w:p>
    <w:p>
      <w:pPr>
        <w:rPr>
          <w:rFonts w:hint="eastAsia"/>
          <w:lang w:val="en-US" w:eastAsia="zh-CN"/>
        </w:rPr>
      </w:pPr>
    </w:p>
    <w:p>
      <w:pPr>
        <w:pStyle w:val="4"/>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pStyle w:val="5"/>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岱山社区公园海盗船绳索损坏维修</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pPr>
        <w:spacing w:line="360" w:lineRule="auto"/>
        <w:rPr>
          <w:rFonts w:hint="default" w:ascii="Times New Roman" w:hAnsi="Times New Roman" w:eastAsia="宋体" w:cs="Times New Roman"/>
          <w:color w:val="auto"/>
          <w:sz w:val="24"/>
          <w:szCs w:val="24"/>
        </w:rPr>
      </w:pPr>
      <w:permStart w:id="10"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10"/>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根据已收到的</w:t>
      </w:r>
      <w:permStart w:id="11" w:edGrp="everyone"/>
      <w:r>
        <w:rPr>
          <w:rFonts w:hint="eastAsia" w:cs="Times New Roman"/>
          <w:color w:val="auto"/>
          <w:sz w:val="24"/>
          <w:szCs w:val="24"/>
          <w:lang w:eastAsia="zh-CN"/>
        </w:rPr>
        <w:t>（</w:t>
      </w:r>
      <w:r>
        <w:rPr>
          <w:rFonts w:hint="eastAsia" w:cs="Times New Roman"/>
          <w:color w:val="auto"/>
          <w:sz w:val="24"/>
          <w:szCs w:val="24"/>
          <w:lang w:val="en-US" w:eastAsia="zh-CN"/>
        </w:rPr>
        <w:t>岱山社区公园海盗船绳索损坏维修</w:t>
      </w:r>
      <w:r>
        <w:rPr>
          <w:rFonts w:hint="eastAsia" w:cs="Times New Roman"/>
          <w:color w:val="auto"/>
          <w:sz w:val="24"/>
          <w:szCs w:val="24"/>
          <w:lang w:eastAsia="zh-CN"/>
        </w:rPr>
        <w:t>）</w:t>
      </w:r>
      <w:permEnd w:id="11"/>
      <w:r>
        <w:rPr>
          <w:rFonts w:hint="default" w:ascii="Times New Roman" w:hAnsi="Times New Roman" w:eastAsia="宋体" w:cs="Times New Roman"/>
          <w:color w:val="auto"/>
          <w:sz w:val="24"/>
          <w:szCs w:val="24"/>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 xml:space="preserve">     元 （¥       元）承接</w:t>
      </w:r>
      <w:permStart w:id="12" w:edGrp="everyone"/>
      <w:r>
        <w:rPr>
          <w:rFonts w:hint="eastAsia" w:cs="Times New Roman"/>
          <w:color w:val="auto"/>
          <w:sz w:val="24"/>
          <w:szCs w:val="24"/>
          <w:lang w:eastAsia="zh-CN"/>
        </w:rPr>
        <w:t>（</w:t>
      </w:r>
      <w:r>
        <w:rPr>
          <w:rFonts w:hint="eastAsia" w:cs="Times New Roman"/>
          <w:color w:val="auto"/>
          <w:sz w:val="24"/>
          <w:szCs w:val="24"/>
          <w:lang w:val="en-US" w:eastAsia="zh-CN"/>
        </w:rPr>
        <w:t>岱山社区公园海盗船绳索损坏维修</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 xml:space="preserve"> </w:t>
      </w:r>
      <w:permEnd w:id="12"/>
      <w:r>
        <w:rPr>
          <w:rFonts w:hint="default" w:ascii="Times New Roman" w:hAnsi="Times New Roman" w:eastAsia="宋体" w:cs="Times New Roman"/>
          <w:color w:val="auto"/>
          <w:sz w:val="24"/>
          <w:szCs w:val="24"/>
        </w:rPr>
        <w:t>项目</w:t>
      </w:r>
      <w:r>
        <w:rPr>
          <w:rFonts w:hint="eastAsia" w:cs="Times New Roman"/>
          <w:color w:val="auto"/>
          <w:sz w:val="24"/>
          <w:szCs w:val="24"/>
          <w:lang w:eastAsia="zh-CN"/>
        </w:rPr>
        <w:t>，</w:t>
      </w:r>
      <w:r>
        <w:rPr>
          <w:rFonts w:hint="eastAsia" w:cs="Times New Roman"/>
          <w:color w:val="auto"/>
          <w:sz w:val="24"/>
          <w:szCs w:val="24"/>
          <w:lang w:val="en-US" w:eastAsia="zh-CN"/>
        </w:rPr>
        <w:t>具体详见下表：</w:t>
      </w:r>
    </w:p>
    <w:tbl>
      <w:tblPr>
        <w:tblStyle w:val="14"/>
        <w:tblW w:w="9496" w:type="dxa"/>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6"/>
        <w:gridCol w:w="1132"/>
        <w:gridCol w:w="2295"/>
        <w:gridCol w:w="825"/>
        <w:gridCol w:w="900"/>
        <w:gridCol w:w="1140"/>
        <w:gridCol w:w="1260"/>
        <w:gridCol w:w="1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i w:val="0"/>
                <w:color w:val="000000"/>
                <w:kern w:val="0"/>
                <w:sz w:val="24"/>
                <w:szCs w:val="24"/>
                <w:u w:val="none"/>
                <w:lang w:val="en-US" w:eastAsia="zh-CN" w:bidi="ar"/>
              </w:rPr>
              <w:t>数</w:t>
            </w:r>
            <w:r>
              <w:rPr>
                <w:rFonts w:hint="eastAsia" w:ascii="宋体" w:hAnsi="宋体" w:eastAsia="宋体" w:cs="宋体"/>
                <w:b/>
                <w:i w:val="0"/>
                <w:color w:val="000000"/>
                <w:kern w:val="0"/>
                <w:sz w:val="24"/>
                <w:szCs w:val="24"/>
                <w:u w:val="none"/>
                <w:lang w:val="en-US" w:eastAsia="zh-CN" w:bidi="ar"/>
              </w:rPr>
              <w:t>量</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1228"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32"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2295"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825"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0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40" w:type="dxa"/>
            <w:tcBorders>
              <w:top w:val="single" w:color="000000" w:sz="4" w:space="0"/>
              <w:left w:val="single" w:color="000000" w:sz="4" w:space="0"/>
              <w:bottom w:val="single" w:color="auto"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单价 </w:t>
            </w:r>
          </w:p>
        </w:tc>
        <w:tc>
          <w:tcPr>
            <w:tcW w:w="1260" w:type="dxa"/>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1228"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34"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32"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服务</w:t>
            </w:r>
          </w:p>
        </w:tc>
        <w:tc>
          <w:tcPr>
            <w:tcW w:w="2295"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eastAsia="zh-CN"/>
              </w:rPr>
            </w:pPr>
            <w:r>
              <w:rPr>
                <w:rFonts w:hint="eastAsia" w:ascii="宋体" w:hAnsi="宋体" w:eastAsia="宋体" w:cs="宋体"/>
                <w:i w:val="0"/>
                <w:color w:val="000000"/>
                <w:sz w:val="22"/>
                <w:szCs w:val="22"/>
                <w:u w:val="none"/>
              </w:rPr>
              <w:t>岱山社区公寓儿童游乐设备海盗船绳索损坏，直径80cm，长度4.5m，绳直径12mm，采用尼龙材质（室外用）更换，现采购维修服务</w:t>
            </w:r>
            <w:r>
              <w:rPr>
                <w:rFonts w:hint="eastAsia" w:ascii="宋体" w:hAnsi="宋体" w:cs="宋体"/>
                <w:i w:val="0"/>
                <w:color w:val="000000"/>
                <w:sz w:val="22"/>
                <w:szCs w:val="22"/>
                <w:u w:val="none"/>
                <w:lang w:eastAsia="zh-CN"/>
              </w:rPr>
              <w:t>。</w:t>
            </w:r>
          </w:p>
        </w:tc>
        <w:tc>
          <w:tcPr>
            <w:tcW w:w="825"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项</w:t>
            </w:r>
          </w:p>
        </w:tc>
        <w:tc>
          <w:tcPr>
            <w:tcW w:w="9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22"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6292" w:type="dxa"/>
            <w:gridSpan w:val="5"/>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合计（元）</w:t>
            </w: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6" w:hRule="atLeast"/>
        </w:trPr>
        <w:tc>
          <w:tcPr>
            <w:tcW w:w="9496" w:type="dxa"/>
            <w:gridSpan w:val="8"/>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注：</w:t>
            </w: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w:t>
            </w:r>
            <w:r>
              <w:rPr>
                <w:rFonts w:hint="eastAsia" w:ascii="宋体" w:hAnsi="宋体" w:eastAsia="宋体" w:cs="宋体"/>
                <w:color w:val="auto"/>
                <w:sz w:val="22"/>
                <w:szCs w:val="22"/>
              </w:rPr>
              <w:t>所有报价均为含税价，</w:t>
            </w:r>
            <w:r>
              <w:rPr>
                <w:rFonts w:hint="eastAsia" w:ascii="宋体" w:hAnsi="宋体" w:cs="宋体"/>
                <w:color w:val="auto"/>
                <w:sz w:val="22"/>
                <w:szCs w:val="22"/>
                <w:lang w:val="en-US" w:eastAsia="zh-CN"/>
              </w:rPr>
              <w:t>本次报价为</w:t>
            </w:r>
            <w:r>
              <w:rPr>
                <w:rFonts w:hint="eastAsia" w:ascii="宋体" w:hAnsi="宋体" w:eastAsia="宋体" w:cs="宋体"/>
                <w:color w:val="auto"/>
                <w:sz w:val="22"/>
                <w:szCs w:val="22"/>
              </w:rPr>
              <w:t>全包价且已包含人工费、材料费、交通差旅费、餐饮费、运费等完成本项目的所有费用。所有报价金额均保留2位小数</w:t>
            </w:r>
            <w:r>
              <w:rPr>
                <w:rFonts w:hint="eastAsia" w:ascii="宋体" w:hAnsi="宋体" w:cs="宋体"/>
                <w:color w:val="auto"/>
                <w:sz w:val="22"/>
                <w:szCs w:val="22"/>
                <w:lang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yellow"/>
                <w:lang w:val="en-US" w:eastAsia="zh-CN"/>
              </w:rPr>
              <w:t>2.</w:t>
            </w:r>
            <w:r>
              <w:rPr>
                <w:rFonts w:hint="eastAsia" w:ascii="宋体" w:hAnsi="宋体" w:eastAsia="宋体" w:cs="宋体"/>
                <w:color w:val="auto"/>
                <w:sz w:val="22"/>
                <w:szCs w:val="22"/>
                <w:highlight w:val="yellow"/>
                <w:lang w:val="en-US" w:eastAsia="zh-CN"/>
              </w:rPr>
              <w:t>发票类型</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none"/>
              </w:rPr>
              <w:t>%</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w:t>
            </w:r>
            <w:r>
              <w:rPr>
                <w:rFonts w:hint="eastAsia" w:ascii="宋体" w:hAnsi="宋体" w:eastAsia="宋体" w:cs="宋体"/>
                <w:color w:val="auto"/>
                <w:sz w:val="22"/>
                <w:szCs w:val="22"/>
              </w:rPr>
              <w:t>专用发票</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增值税普通发票</w:t>
            </w:r>
            <w:r>
              <w:rPr>
                <w:rFonts w:hint="eastAsia" w:ascii="宋体" w:hAnsi="宋体" w:cs="宋体"/>
                <w:color w:val="auto"/>
                <w:sz w:val="22"/>
                <w:szCs w:val="22"/>
                <w:lang w:val="en-US"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注：如因国家政策变化导致增值税税率发生变化的，本</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项下不含增值税的价款金额不变，对应增值税金额按照新税率计算，价款总额作对应调整</w:t>
            </w:r>
            <w:r>
              <w:rPr>
                <w:rFonts w:hint="eastAsia" w:ascii="宋体" w:hAnsi="宋体" w:cs="宋体"/>
                <w:color w:val="auto"/>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lang w:eastAsia="zh-CN"/>
              </w:rPr>
            </w:pPr>
            <w:r>
              <w:rPr>
                <w:rFonts w:hint="eastAsia" w:ascii="宋体" w:hAnsi="宋体" w:eastAsia="宋体" w:cs="宋体"/>
                <w:color w:val="auto"/>
                <w:kern w:val="0"/>
                <w:sz w:val="22"/>
                <w:szCs w:val="22"/>
                <w:lang w:val="en-US" w:eastAsia="zh-CN" w:bidi="ar-SA"/>
              </w:rPr>
              <w:t>3.质量标准：合格，符合相关要求及规定</w:t>
            </w:r>
            <w:r>
              <w:rPr>
                <w:rFonts w:hint="eastAsia" w:ascii="宋体" w:hAnsi="宋体" w:cs="宋体"/>
                <w:color w:val="auto"/>
                <w:kern w:val="0"/>
                <w:sz w:val="22"/>
                <w:szCs w:val="22"/>
                <w:lang w:val="en-US" w:eastAsia="zh-CN" w:bidi="ar-SA"/>
              </w:rPr>
              <w:t>；</w:t>
            </w:r>
          </w:p>
          <w:p>
            <w:pPr>
              <w:pStyle w:val="6"/>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i w:val="0"/>
                <w:color w:val="000000"/>
                <w:kern w:val="0"/>
                <w:sz w:val="24"/>
                <w:szCs w:val="24"/>
                <w:u w:val="none"/>
                <w:lang w:val="en-US" w:eastAsia="zh-CN" w:bidi="ar"/>
              </w:rPr>
            </w:pPr>
            <w:r>
              <w:rPr>
                <w:rFonts w:hint="eastAsia" w:hAnsi="宋体" w:cs="宋体"/>
                <w:color w:val="auto"/>
                <w:sz w:val="22"/>
                <w:szCs w:val="22"/>
                <w:lang w:val="en-US" w:eastAsia="zh-CN"/>
              </w:rPr>
              <w:t>4.报价单位须在报价前自行对现场进行实地勘探，充分了解项目现状及维修条件。参与报价即视为已全面知悉并认可现场实际情况，后续不得以不了解现场为由提出任何费用调整。收货地址：岱山社区公园</w:t>
            </w:r>
            <w:r>
              <w:rPr>
                <w:rFonts w:hint="eastAsia" w:ascii="宋体" w:hAnsi="宋体" w:eastAsia="宋体" w:cs="宋体"/>
                <w:color w:val="auto"/>
                <w:sz w:val="22"/>
                <w:szCs w:val="22"/>
                <w:lang w:val="en-US" w:eastAsia="zh-CN"/>
              </w:rPr>
              <w:t>，收货人：黄海威15089155510。</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联系方式</w:t>
      </w:r>
      <w:r>
        <w:rPr>
          <w:rFonts w:hint="eastAsia" w:cs="Times New Roman"/>
          <w:color w:val="auto"/>
          <w:kern w:val="2"/>
          <w:sz w:val="24"/>
          <w:szCs w:val="24"/>
          <w:lang w:val="en-US" w:eastAsia="zh-CN" w:bidi="ar-SA"/>
        </w:rPr>
        <w:t>：</w:t>
      </w:r>
    </w:p>
    <w:p>
      <w:pPr>
        <w:autoSpaceDE w:val="0"/>
        <w:autoSpaceDN w:val="0"/>
        <w:spacing w:before="312" w:beforeLines="100" w:line="360" w:lineRule="auto"/>
        <w:jc w:val="left"/>
        <w:rPr>
          <w:rFonts w:hint="eastAsia" w:ascii="宋体" w:hAnsi="宋体"/>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2"/>
        <w:rPr>
          <w:rFonts w:hint="eastAsia" w:ascii="宋体" w:hAnsi="宋体"/>
          <w:sz w:val="24"/>
          <w:szCs w:val="24"/>
        </w:rPr>
      </w:pPr>
    </w:p>
    <w:p>
      <w:pPr>
        <w:rPr>
          <w:rFonts w:hint="eastAsia" w:ascii="宋体" w:hAnsi="宋体"/>
          <w:sz w:val="24"/>
          <w:szCs w:val="24"/>
        </w:rPr>
      </w:pPr>
    </w:p>
    <w:p>
      <w:pPr>
        <w:pStyle w:val="2"/>
        <w:rPr>
          <w:rFonts w:hint="eastAsia" w:ascii="宋体" w:hAnsi="宋体"/>
          <w:sz w:val="24"/>
          <w:szCs w:val="24"/>
        </w:rPr>
      </w:pPr>
    </w:p>
    <w:p>
      <w:pPr>
        <w:pStyle w:val="2"/>
        <w:ind w:left="0" w:leftChars="0" w:firstLine="0" w:firstLineChars="0"/>
        <w:rPr>
          <w:rFonts w:hint="eastAsia" w:ascii="宋体" w:hAnsi="宋体"/>
          <w:sz w:val="24"/>
          <w:szCs w:val="24"/>
        </w:rPr>
      </w:pPr>
    </w:p>
    <w:p>
      <w:pPr>
        <w:pStyle w:val="5"/>
        <w:spacing w:before="100" w:after="100" w:line="360" w:lineRule="auto"/>
        <w:rPr>
          <w:rFonts w:hint="default"/>
          <w:lang w:val="en-US" w:eastAsia="zh-CN"/>
        </w:rPr>
      </w:pPr>
      <w:r>
        <w:rPr>
          <w:rFonts w:hint="eastAsia" w:ascii="宋体" w:hAnsi="宋体"/>
          <w:sz w:val="28"/>
          <w:lang w:val="en-US" w:eastAsia="zh-CN"/>
        </w:rPr>
        <w:t>附件1：现场图片</w:t>
      </w:r>
    </w:p>
    <w:p>
      <w:pPr>
        <w:rPr>
          <w:rFonts w:hint="eastAsia" w:ascii="宋体" w:hAnsi="宋体"/>
          <w:sz w:val="24"/>
          <w:szCs w:val="24"/>
        </w:rPr>
      </w:pPr>
      <w:r>
        <w:rPr>
          <w:rFonts w:hint="eastAsia"/>
          <w:lang w:val="en-US" w:eastAsia="zh-CN"/>
        </w:rPr>
        <w:drawing>
          <wp:anchor distT="0" distB="0" distL="114300" distR="114300" simplePos="0" relativeHeight="251665408" behindDoc="0" locked="0" layoutInCell="1" allowOverlap="1">
            <wp:simplePos x="0" y="0"/>
            <wp:positionH relativeFrom="column">
              <wp:posOffset>33655</wp:posOffset>
            </wp:positionH>
            <wp:positionV relativeFrom="paragraph">
              <wp:posOffset>95250</wp:posOffset>
            </wp:positionV>
            <wp:extent cx="5490845" cy="4124325"/>
            <wp:effectExtent l="0" t="0" r="14605" b="9525"/>
            <wp:wrapNone/>
            <wp:docPr id="4" name="图片 4" descr="海盗船绳索损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海盗船绳索损坏"/>
                    <pic:cNvPicPr>
                      <a:picLocks noChangeAspect="1"/>
                    </pic:cNvPicPr>
                  </pic:nvPicPr>
                  <pic:blipFill>
                    <a:blip r:embed="rId9"/>
                    <a:stretch>
                      <a:fillRect/>
                    </a:stretch>
                  </pic:blipFill>
                  <pic:spPr>
                    <a:xfrm>
                      <a:off x="0" y="0"/>
                      <a:ext cx="5490845" cy="4124325"/>
                    </a:xfrm>
                    <a:prstGeom prst="rect">
                      <a:avLst/>
                    </a:prstGeom>
                  </pic:spPr>
                </pic:pic>
              </a:graphicData>
            </a:graphic>
          </wp:anchor>
        </w:drawing>
      </w:r>
    </w:p>
    <w:p>
      <w:pPr>
        <w:pStyle w:val="2"/>
        <w:rPr>
          <w:rFonts w:hint="eastAsia"/>
          <w:lang w:val="en-US" w:eastAsia="zh-CN"/>
        </w:rPr>
      </w:pP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33A0B"/>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5B1555F"/>
    <w:rsid w:val="0671572A"/>
    <w:rsid w:val="067D1626"/>
    <w:rsid w:val="0841052C"/>
    <w:rsid w:val="090B3F17"/>
    <w:rsid w:val="097558B4"/>
    <w:rsid w:val="09770F2A"/>
    <w:rsid w:val="0A261215"/>
    <w:rsid w:val="0A4F74B7"/>
    <w:rsid w:val="0A6034E0"/>
    <w:rsid w:val="0C1C2D99"/>
    <w:rsid w:val="0D8F41B1"/>
    <w:rsid w:val="0DB93286"/>
    <w:rsid w:val="0DCB0AAA"/>
    <w:rsid w:val="0E49720A"/>
    <w:rsid w:val="0EC420D1"/>
    <w:rsid w:val="0EC93FBB"/>
    <w:rsid w:val="10E91871"/>
    <w:rsid w:val="11DD4B3A"/>
    <w:rsid w:val="129618DC"/>
    <w:rsid w:val="14DC73BB"/>
    <w:rsid w:val="14EB65E0"/>
    <w:rsid w:val="1588048B"/>
    <w:rsid w:val="168857E4"/>
    <w:rsid w:val="16D97ADD"/>
    <w:rsid w:val="16E45AEB"/>
    <w:rsid w:val="177F1319"/>
    <w:rsid w:val="17DF53E0"/>
    <w:rsid w:val="1B013FAA"/>
    <w:rsid w:val="1B513E4B"/>
    <w:rsid w:val="1BDC56E2"/>
    <w:rsid w:val="1C186A2A"/>
    <w:rsid w:val="1D556636"/>
    <w:rsid w:val="1DCE44E0"/>
    <w:rsid w:val="202F7D49"/>
    <w:rsid w:val="210322A7"/>
    <w:rsid w:val="2121293A"/>
    <w:rsid w:val="23EC6A93"/>
    <w:rsid w:val="24957E2A"/>
    <w:rsid w:val="259F18F8"/>
    <w:rsid w:val="26497039"/>
    <w:rsid w:val="26934D1F"/>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BDD1A9B"/>
    <w:rsid w:val="3BF341D2"/>
    <w:rsid w:val="3DDA2166"/>
    <w:rsid w:val="3E7E4135"/>
    <w:rsid w:val="3EC52271"/>
    <w:rsid w:val="3ED65B24"/>
    <w:rsid w:val="3F676A9B"/>
    <w:rsid w:val="408829A2"/>
    <w:rsid w:val="40DF147E"/>
    <w:rsid w:val="410E417C"/>
    <w:rsid w:val="42FA2D39"/>
    <w:rsid w:val="43F34101"/>
    <w:rsid w:val="4483748A"/>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7B0426"/>
    <w:rsid w:val="5BD82D7C"/>
    <w:rsid w:val="5BE44C27"/>
    <w:rsid w:val="5BFB7194"/>
    <w:rsid w:val="5D497B32"/>
    <w:rsid w:val="5EBE23CD"/>
    <w:rsid w:val="617E685D"/>
    <w:rsid w:val="61A2602F"/>
    <w:rsid w:val="61FF0F78"/>
    <w:rsid w:val="63A6159C"/>
    <w:rsid w:val="63F16E5E"/>
    <w:rsid w:val="64847D61"/>
    <w:rsid w:val="665C30B6"/>
    <w:rsid w:val="66852B3E"/>
    <w:rsid w:val="67183BE9"/>
    <w:rsid w:val="67DE23FD"/>
    <w:rsid w:val="682078ED"/>
    <w:rsid w:val="68B65BF9"/>
    <w:rsid w:val="6A0D3F8C"/>
    <w:rsid w:val="6A934041"/>
    <w:rsid w:val="6B4E5816"/>
    <w:rsid w:val="6BB9773A"/>
    <w:rsid w:val="6CD54EA3"/>
    <w:rsid w:val="6D535020"/>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21</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2026-06-15T07:39:04Z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