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8259F">
      <w:pPr>
        <w:spacing w:line="400" w:lineRule="atLeast"/>
        <w:jc w:val="center"/>
        <w:rPr>
          <w:rFonts w:hint="default" w:ascii="Times New Roman" w:hAnsi="Times New Roman" w:cs="Times New Roman"/>
          <w:b/>
          <w:bCs/>
          <w:color w:val="auto"/>
          <w:spacing w:val="-10"/>
          <w:sz w:val="56"/>
          <w:szCs w:val="56"/>
        </w:rPr>
      </w:pPr>
    </w:p>
    <w:p w14:paraId="06BA889E">
      <w:pPr>
        <w:spacing w:line="400" w:lineRule="atLeast"/>
        <w:jc w:val="center"/>
        <w:rPr>
          <w:rFonts w:hint="eastAsia" w:cs="Times New Roman"/>
          <w:b/>
          <w:bCs w:val="0"/>
          <w:color w:val="auto"/>
          <w:spacing w:val="-10"/>
          <w:sz w:val="56"/>
          <w:szCs w:val="56"/>
          <w:lang w:val="en-US" w:eastAsia="zh-CN"/>
        </w:rPr>
      </w:pPr>
      <w:permStart w:id="0" w:edGrp="everyone"/>
      <w:r>
        <w:rPr>
          <w:rFonts w:hint="eastAsia" w:cs="Times New Roman"/>
          <w:b/>
          <w:bCs w:val="0"/>
          <w:color w:val="auto"/>
          <w:spacing w:val="-10"/>
          <w:sz w:val="56"/>
          <w:szCs w:val="56"/>
          <w:lang w:val="en-US" w:eastAsia="zh-CN"/>
        </w:rPr>
        <w:t>香洲创港中心项目招商中心展厅</w:t>
      </w:r>
    </w:p>
    <w:p w14:paraId="6FF0095D">
      <w:pPr>
        <w:spacing w:line="400" w:lineRule="atLeast"/>
        <w:jc w:val="center"/>
        <w:rPr>
          <w:rFonts w:hint="eastAsia" w:ascii="Times New Roman" w:hAnsi="Times New Roman" w:eastAsia="宋体" w:cs="Times New Roman"/>
          <w:b/>
          <w:bCs w:val="0"/>
          <w:color w:val="auto"/>
          <w:spacing w:val="-10"/>
          <w:sz w:val="56"/>
          <w:szCs w:val="56"/>
          <w:lang w:eastAsia="zh-CN"/>
        </w:rPr>
      </w:pPr>
      <w:r>
        <w:rPr>
          <w:rFonts w:hint="eastAsia" w:cs="Times New Roman"/>
          <w:b/>
          <w:bCs w:val="0"/>
          <w:color w:val="auto"/>
          <w:spacing w:val="-10"/>
          <w:sz w:val="56"/>
          <w:szCs w:val="56"/>
          <w:lang w:val="en-US" w:eastAsia="zh-CN"/>
        </w:rPr>
        <w:t>沙盘模型翻新服务（第二次）</w:t>
      </w:r>
    </w:p>
    <w:permEnd w:id="0"/>
    <w:p w14:paraId="283BCEBA">
      <w:pPr>
        <w:spacing w:line="400" w:lineRule="atLeast"/>
        <w:jc w:val="center"/>
        <w:rPr>
          <w:rFonts w:hint="eastAsia" w:ascii="Times New Roman" w:hAnsi="Times New Roman" w:eastAsia="宋体" w:cs="Times New Roman"/>
          <w:b/>
          <w:bCs/>
          <w:color w:val="auto"/>
          <w:spacing w:val="-10"/>
          <w:lang w:eastAsia="zh-CN"/>
        </w:rPr>
      </w:pPr>
    </w:p>
    <w:p w14:paraId="3D3B3B70">
      <w:pPr>
        <w:spacing w:line="400" w:lineRule="atLeast"/>
        <w:jc w:val="center"/>
        <w:rPr>
          <w:rFonts w:hint="default" w:ascii="Times New Roman" w:hAnsi="Times New Roman" w:cs="Times New Roman"/>
          <w:b/>
          <w:bCs/>
          <w:color w:val="auto"/>
          <w:spacing w:val="-10"/>
        </w:rPr>
      </w:pPr>
    </w:p>
    <w:p w14:paraId="6852AC6A">
      <w:pPr>
        <w:spacing w:line="400" w:lineRule="atLeast"/>
        <w:jc w:val="center"/>
        <w:rPr>
          <w:rFonts w:hint="default" w:ascii="Times New Roman" w:hAnsi="Times New Roman" w:cs="Times New Roman"/>
          <w:b/>
          <w:bCs/>
          <w:color w:val="auto"/>
          <w:spacing w:val="-10"/>
        </w:rPr>
      </w:pPr>
    </w:p>
    <w:p w14:paraId="20559786">
      <w:pPr>
        <w:spacing w:line="400" w:lineRule="atLeast"/>
        <w:jc w:val="center"/>
        <w:rPr>
          <w:rFonts w:hint="default" w:ascii="Times New Roman" w:hAnsi="Times New Roman" w:cs="Times New Roman"/>
          <w:b/>
          <w:bCs/>
          <w:color w:val="auto"/>
          <w:spacing w:val="-10"/>
        </w:rPr>
      </w:pPr>
    </w:p>
    <w:p w14:paraId="26E1EA4C">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14:paraId="2CB2BB2B">
      <w:pPr>
        <w:spacing w:line="480" w:lineRule="exact"/>
        <w:rPr>
          <w:rFonts w:hint="default" w:ascii="Times New Roman" w:hAnsi="Times New Roman" w:cs="Times New Roman"/>
          <w:b/>
          <w:bCs/>
          <w:color w:val="auto"/>
          <w:sz w:val="44"/>
          <w:szCs w:val="44"/>
        </w:rPr>
      </w:pPr>
    </w:p>
    <w:p w14:paraId="3CAAD26C">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20D01657">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657E1F0C">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2BEF6FBF">
      <w:pPr>
        <w:pStyle w:val="19"/>
        <w:rPr>
          <w:rFonts w:hint="default" w:ascii="Times New Roman" w:hAnsi="Times New Roman" w:cs="Times New Roman"/>
          <w:color w:val="auto"/>
        </w:rPr>
      </w:pPr>
    </w:p>
    <w:p w14:paraId="1E5A8C05">
      <w:pPr>
        <w:pStyle w:val="19"/>
        <w:rPr>
          <w:rFonts w:hint="default" w:ascii="Times New Roman" w:hAnsi="Times New Roman" w:cs="Times New Roman"/>
          <w:color w:val="auto"/>
        </w:rPr>
      </w:pPr>
    </w:p>
    <w:p w14:paraId="14972B91">
      <w:pPr>
        <w:spacing w:line="480" w:lineRule="exact"/>
        <w:rPr>
          <w:rFonts w:hint="default" w:ascii="Times New Roman" w:hAnsi="Times New Roman" w:cs="Times New Roman"/>
          <w:b/>
          <w:bCs/>
          <w:color w:val="auto"/>
          <w:sz w:val="32"/>
          <w:szCs w:val="32"/>
        </w:rPr>
      </w:pPr>
    </w:p>
    <w:p w14:paraId="46F4AB04">
      <w:pPr>
        <w:pStyle w:val="19"/>
        <w:rPr>
          <w:rFonts w:hint="default" w:ascii="Times New Roman" w:hAnsi="Times New Roman" w:cs="Times New Roman"/>
          <w:color w:val="auto"/>
        </w:rPr>
      </w:pPr>
    </w:p>
    <w:p w14:paraId="1F876AAF">
      <w:pPr>
        <w:pStyle w:val="19"/>
        <w:rPr>
          <w:rFonts w:hint="default" w:ascii="Times New Roman" w:hAnsi="Times New Roman" w:cs="Times New Roman"/>
          <w:color w:val="auto"/>
        </w:rPr>
      </w:pPr>
    </w:p>
    <w:p w14:paraId="4198E1C2">
      <w:pPr>
        <w:pStyle w:val="19"/>
        <w:rPr>
          <w:rFonts w:hint="default" w:ascii="Times New Roman" w:hAnsi="Times New Roman" w:cs="Times New Roman"/>
          <w:color w:val="auto"/>
        </w:rPr>
      </w:pPr>
    </w:p>
    <w:p w14:paraId="738CF2D6">
      <w:pPr>
        <w:pStyle w:val="19"/>
        <w:rPr>
          <w:rFonts w:hint="default" w:ascii="Times New Roman" w:hAnsi="Times New Roman" w:cs="Times New Roman"/>
          <w:color w:val="auto"/>
        </w:rPr>
      </w:pPr>
    </w:p>
    <w:p w14:paraId="20306DBD">
      <w:pPr>
        <w:spacing w:line="480" w:lineRule="exact"/>
        <w:rPr>
          <w:rFonts w:hint="default" w:ascii="Times New Roman" w:hAnsi="Times New Roman" w:cs="Times New Roman"/>
          <w:b/>
          <w:bCs/>
          <w:color w:val="auto"/>
          <w:sz w:val="32"/>
          <w:szCs w:val="32"/>
        </w:rPr>
      </w:pPr>
    </w:p>
    <w:p w14:paraId="2A8228D9">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4A1AA33A">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（珠海正方产业开发运营有限公司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14:paraId="6DB3B38E">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2026年6月17日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14:paraId="72AD20AA">
      <w:pPr>
        <w:spacing w:line="360" w:lineRule="auto"/>
        <w:jc w:val="center"/>
        <w:rPr>
          <w:rFonts w:hint="default" w:ascii="Times New Roman" w:hAnsi="Times New Roman" w:cs="Times New Roman"/>
          <w:b/>
          <w:bCs/>
          <w:color w:val="auto"/>
          <w:sz w:val="44"/>
          <w:szCs w:val="32"/>
        </w:rPr>
      </w:pPr>
    </w:p>
    <w:p w14:paraId="2508A897">
      <w:pPr>
        <w:spacing w:line="360" w:lineRule="auto"/>
        <w:jc w:val="center"/>
        <w:rPr>
          <w:rFonts w:hint="default" w:ascii="Times New Roman" w:hAnsi="Times New Roman" w:cs="Times New Roman"/>
          <w:b/>
          <w:bCs/>
          <w:color w:val="auto"/>
          <w:sz w:val="44"/>
          <w:szCs w:val="32"/>
        </w:rPr>
      </w:pPr>
    </w:p>
    <w:p w14:paraId="46535D21">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14:paraId="5B9B3A83">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14:paraId="2B02D726">
      <w:pPr>
        <w:pStyle w:val="19"/>
        <w:rPr>
          <w:rFonts w:hint="default" w:ascii="Times New Roman" w:hAnsi="Times New Roman" w:cs="Times New Roman"/>
          <w:color w:val="auto"/>
        </w:rPr>
      </w:pPr>
    </w:p>
    <w:p w14:paraId="6594D45E">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14:paraId="7C016AF1">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珠海正方产业开发运营有限公司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14:paraId="520A3754">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14:paraId="79051D0C">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1.模型为香洲创港中心项目招商中心展厅沙盘模型，整体尺寸约10m×5.2m，比例：园林1:110、建筑1:120，底座钢琴烤漆、围边钢化玻璃，建筑主体ABS + 亚加力材质，灯光分组智能控制。</w:t>
      </w:r>
    </w:p>
    <w:p w14:paraId="69F19B29">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2.服务范围：现场检修、电路修复、灯光更换、景观翻新、标识调整、构筑物校准等。</w:t>
      </w:r>
    </w:p>
    <w:p w14:paraId="1CFB5B4F">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3.质量要求：翻新后无裸露线路、灯光全亮、标识清晰、景观整洁、构筑物对位精准，符合原模型工艺与环保标准，翻新部分质保1年。</w:t>
      </w:r>
    </w:p>
    <w:p w14:paraId="5F7A393B">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14:paraId="72C0096D">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叁万陆仟</w:t>
      </w:r>
      <w:r>
        <w:rPr>
          <w:rFonts w:hint="eastAsia" w:cs="Times New Roman"/>
          <w:color w:val="auto"/>
          <w:sz w:val="24"/>
          <w:u w:val="none"/>
          <w:lang w:eastAsia="zh-CN"/>
        </w:rPr>
        <w:t>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36000.00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val="en-US" w:eastAsia="zh-CN"/>
        </w:rPr>
        <w:t>叁万陆仟</w:t>
      </w:r>
      <w:r>
        <w:rPr>
          <w:rFonts w:hint="eastAsia" w:cs="Times New Roman"/>
          <w:color w:val="auto"/>
          <w:sz w:val="24"/>
          <w:u w:val="none"/>
          <w:lang w:eastAsia="zh-CN"/>
        </w:rPr>
        <w:t>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36000.00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14:paraId="000B2250">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14:paraId="4334ACF2">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r>
        <w:rPr>
          <w:rFonts w:hint="eastAsia" w:cs="Times New Roman"/>
          <w:color w:val="auto"/>
          <w:sz w:val="24"/>
          <w:u w:val="single"/>
          <w:lang w:val="en-US" w:eastAsia="zh-CN"/>
        </w:rPr>
        <w:t>香洲创港中心项目招商中心展厅沙盘模型翻新服务（第二次）</w:t>
      </w:r>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14:paraId="7608026E">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14:paraId="79D60F0E">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14:paraId="31526484">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ascii="Times New Roman" w:hAnsi="Times New Roman" w:eastAsia="宋体" w:cs="Times New Roman"/>
          <w:b w:val="0"/>
          <w:bCs w:val="0"/>
          <w:color w:val="auto"/>
          <w:sz w:val="24"/>
          <w:lang w:val="en-US" w:eastAsia="zh-CN"/>
        </w:rPr>
        <w:t>投标人自公告发布之日起近5年具备2个或以上中大型沙盘（沙盘面积30㎡以上）制作/维修/翻新项目业绩（提供合同关键页，包含合同封面页、合同概况页、双方盖章落款页，提供的复印件需加盖公章，以上资料均完整提供则算一个业绩）；</w:t>
      </w:r>
    </w:p>
    <w:p w14:paraId="3A9B5819">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rPr>
        <w:t>供应商未被列入“信用中国”网站(www.creditchina.gov.cn)“记录失信被执行人或重大税收违法失信主体或政府采购严重违法失信行为”记录名单；</w:t>
      </w:r>
    </w:p>
    <w:p w14:paraId="7883954A">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4</w:t>
      </w:r>
      <w:r>
        <w:rPr>
          <w:rFonts w:hint="default" w:ascii="Times New Roman" w:hAnsi="Times New Roman" w:eastAsia="宋体" w:cs="Times New Roman"/>
          <w:b w:val="0"/>
          <w:bCs w:val="0"/>
          <w:color w:val="auto"/>
          <w:sz w:val="24"/>
        </w:rPr>
        <w:t>.未被纳入正方集团“黑名单”；</w:t>
      </w:r>
    </w:p>
    <w:p w14:paraId="7780CC3C">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rPr>
        <w:t>.与其他投标人不存在单位负责人为同一人或者存在控股、管理关系；</w:t>
      </w:r>
    </w:p>
    <w:p w14:paraId="39A32A4C">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6</w:t>
      </w:r>
      <w:r>
        <w:rPr>
          <w:rFonts w:hint="default" w:ascii="Times New Roman" w:hAnsi="Times New Roman" w:eastAsia="宋体" w:cs="Times New Roman"/>
          <w:b w:val="0"/>
          <w:bCs w:val="0"/>
          <w:color w:val="auto"/>
          <w:sz w:val="24"/>
        </w:rPr>
        <w:t>.本项目不接受联合体投标。</w:t>
      </w:r>
    </w:p>
    <w:p w14:paraId="67D140C7">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14:paraId="71C2A20B">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14:paraId="31296A5A">
      <w:pPr>
        <w:pStyle w:val="6"/>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14:paraId="4A134E1D">
      <w:pPr>
        <w:pStyle w:val="6"/>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14:paraId="488A4880">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14:paraId="76A11A4B">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14:paraId="4301A440">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14:paraId="745FB2FE">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14:paraId="04CF38B5">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14:paraId="50DDEBFB">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14:paraId="775602BF">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14:paraId="1E4ACB9D">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14:paraId="7E0534D7">
      <w:pPr>
        <w:pStyle w:val="5"/>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14:paraId="7F8C7C2B">
      <w:pPr>
        <w:pStyle w:val="5"/>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在满足询价文件全部实质性要求的前提下，选取经评审</w:t>
      </w:r>
      <w:r>
        <w:rPr>
          <w:rFonts w:hint="eastAsia" w:hAnsi="宋体" w:cs="仿宋"/>
          <w:color w:val="auto"/>
          <w:sz w:val="24"/>
          <w:u w:val="none"/>
          <w:lang w:val="en-US" w:eastAsia="zh-CN"/>
        </w:rPr>
        <w:t>的</w:t>
      </w:r>
      <w:r>
        <w:rPr>
          <w:rFonts w:hint="eastAsia" w:hAnsi="宋体" w:cs="仿宋"/>
          <w:sz w:val="24"/>
          <w:u w:val="none"/>
          <w:lang w:val="en-US" w:eastAsia="zh-CN"/>
        </w:rPr>
        <w:t>报价最低的1家单位为中标单位。如报价单位价格一致，则以大号中签原则，评标委员现场抽签确定。</w:t>
      </w:r>
    </w:p>
    <w:p w14:paraId="5DCC5BFA">
      <w:pPr>
        <w:pStyle w:val="5"/>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14:paraId="4C10B75B">
      <w:pPr>
        <w:pStyle w:val="5"/>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14:paraId="650B924D">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14:paraId="03FB3C23">
      <w:pPr>
        <w:spacing w:beforeLines="0" w:afterLines="0" w:line="48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4" w:edGrp="everyone"/>
      <w:r>
        <w:rPr>
          <w:rFonts w:hint="eastAsia" w:cs="Times New Roman"/>
          <w:color w:val="auto"/>
          <w:sz w:val="24"/>
          <w:highlight w:val="yellow"/>
          <w:lang w:val="en-US" w:eastAsia="zh-CN"/>
        </w:rPr>
        <w:t>2026</w:t>
      </w:r>
      <w:r>
        <w:rPr>
          <w:rFonts w:hint="default" w:ascii="Times New Roman" w:hAnsi="Times New Roman" w:eastAsia="宋体" w:cs="Times New Roman"/>
          <w:color w:val="auto"/>
          <w:sz w:val="24"/>
          <w:highlight w:val="yellow"/>
        </w:rPr>
        <w:t>年</w:t>
      </w:r>
      <w:r>
        <w:rPr>
          <w:rFonts w:hint="eastAsia" w:cs="Times New Roman"/>
          <w:color w:val="auto"/>
          <w:sz w:val="24"/>
          <w:highlight w:val="yellow"/>
          <w:lang w:val="en-US" w:eastAsia="zh-CN"/>
        </w:rPr>
        <w:t>6</w:t>
      </w:r>
      <w:r>
        <w:rPr>
          <w:rFonts w:hint="default" w:ascii="Times New Roman" w:hAnsi="Times New Roman" w:eastAsia="宋体" w:cs="Times New Roman"/>
          <w:color w:val="auto"/>
          <w:sz w:val="24"/>
          <w:highlight w:val="yellow"/>
        </w:rPr>
        <w:t>月</w:t>
      </w:r>
      <w:r>
        <w:rPr>
          <w:rFonts w:hint="eastAsia" w:cs="Times New Roman"/>
          <w:color w:val="auto"/>
          <w:sz w:val="24"/>
          <w:highlight w:val="yellow"/>
          <w:lang w:val="en-US" w:eastAsia="zh-CN"/>
        </w:rPr>
        <w:t xml:space="preserve"> 23 </w:t>
      </w:r>
      <w:r>
        <w:rPr>
          <w:rFonts w:hint="default" w:ascii="Times New Roman" w:hAnsi="Times New Roman" w:eastAsia="宋体" w:cs="Times New Roman"/>
          <w:color w:val="auto"/>
          <w:sz w:val="24"/>
          <w:highlight w:val="yellow"/>
        </w:rPr>
        <w:t>日 1</w:t>
      </w:r>
      <w:r>
        <w:rPr>
          <w:rFonts w:hint="eastAsia" w:cs="Times New Roman"/>
          <w:color w:val="auto"/>
          <w:sz w:val="24"/>
          <w:highlight w:val="yellow"/>
          <w:lang w:val="en-US" w:eastAsia="zh-CN"/>
        </w:rPr>
        <w:t>8:00</w:t>
      </w:r>
      <w:r>
        <w:rPr>
          <w:rFonts w:hint="default" w:ascii="Times New Roman" w:hAnsi="Times New Roman" w:eastAsia="宋体" w:cs="Times New Roman"/>
          <w:color w:val="auto"/>
          <w:sz w:val="24"/>
          <w:highlight w:val="yellow"/>
        </w:rPr>
        <w:t>（北京时间）；</w:t>
      </w:r>
    </w:p>
    <w:permEnd w:id="4"/>
    <w:p w14:paraId="799C7D39">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ascii="Arial" w:hAnsi="Arial" w:eastAsia="Arial" w:cs="Arial"/>
          <w:b/>
          <w:bCs/>
          <w:i w:val="0"/>
          <w:iCs w:val="0"/>
          <w:caps w:val="0"/>
          <w:color w:val="2C4A77"/>
          <w:spacing w:val="0"/>
          <w:sz w:val="21"/>
          <w:szCs w:val="21"/>
          <w:highlight w:val="yellow"/>
          <w:shd w:val="clear" w:fill="FFFFFF"/>
        </w:rPr>
        <w:t>procurement@zhzf-group.com</w:t>
      </w:r>
      <w:r>
        <w:rPr>
          <w:rFonts w:hint="default" w:ascii="Times New Roman" w:hAnsi="Times New Roman" w:eastAsia="宋体" w:cs="Times New Roman"/>
          <w:color w:val="auto"/>
          <w:sz w:val="24"/>
        </w:rPr>
        <w:t>（邮件主题请用括号备注：</w:t>
      </w:r>
      <w:permStart w:id="5" w:edGrp="everyone"/>
      <w:r>
        <w:rPr>
          <w:rFonts w:hint="eastAsia" w:cs="Times New Roman"/>
          <w:color w:val="auto"/>
          <w:sz w:val="24"/>
          <w:lang w:val="en-US" w:eastAsia="zh-CN"/>
        </w:rPr>
        <w:t>投标单位全称+</w:t>
      </w:r>
      <w:r>
        <w:rPr>
          <w:rFonts w:hint="eastAsia" w:cs="Times New Roman"/>
          <w:color w:val="auto"/>
          <w:sz w:val="24"/>
          <w:lang w:eastAsia="zh-CN"/>
        </w:rPr>
        <w:t>香洲创港中心项目招商中心展厅沙盘模型翻新服务（第二次）</w:t>
      </w:r>
      <w:r>
        <w:rPr>
          <w:rFonts w:hint="default" w:ascii="Times New Roman" w:hAnsi="Times New Roman" w:eastAsia="宋体" w:cs="Times New Roman"/>
          <w:color w:val="auto"/>
          <w:sz w:val="24"/>
        </w:rPr>
        <w:t>+</w:t>
      </w:r>
      <w:r>
        <w:rPr>
          <w:rFonts w:hint="eastAsia" w:cs="Times New Roman"/>
          <w:color w:val="auto"/>
          <w:sz w:val="24"/>
          <w:lang w:val="en-US" w:eastAsia="zh-CN"/>
        </w:rPr>
        <w:t>熊工</w:t>
      </w:r>
      <w:permEnd w:id="5"/>
      <w:r>
        <w:rPr>
          <w:rFonts w:hint="default" w:ascii="Times New Roman" w:hAnsi="Times New Roman" w:eastAsia="宋体" w:cs="Times New Roman"/>
          <w:color w:val="auto"/>
          <w:sz w:val="24"/>
        </w:rPr>
        <w:t>）。</w:t>
      </w:r>
    </w:p>
    <w:p w14:paraId="627DF58A">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14:paraId="783D7182">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14:paraId="38B29300">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14:paraId="723E8B4A">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14:paraId="500B42E4">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14:paraId="29A6BABA">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14:paraId="4DC69CA3">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14:paraId="2488C759">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14:paraId="0F296802">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14:paraId="729A8035">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14:paraId="438A53FC">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14:paraId="1882A223">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若中标供应商放弃中标资格、不符合中标条件的、因不可抗力不能履行合同或者被查实存在影响中标结果的违法行为等情形，招标人可按照确定的【报价由低到高】排名顺序依次确定增补为中标供应商，也可重新招标。</w:t>
      </w:r>
    </w:p>
    <w:p w14:paraId="422C087F">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14:paraId="69C7A085">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14:paraId="02C1BF8F">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14:paraId="5D5072B7">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14:paraId="6EF03F74">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14:paraId="1DF15558">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14:paraId="19741CB3">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14:paraId="2650C688">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14:paraId="500E5A73">
      <w:pPr>
        <w:pStyle w:val="18"/>
        <w:rPr>
          <w:rFonts w:hint="eastAsia"/>
        </w:rPr>
      </w:pPr>
    </w:p>
    <w:p w14:paraId="590AD7F8">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14:paraId="499D0129">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珠海市香洲区卫康路199号香洲创港中心17栋15楼。</w:t>
      </w:r>
    </w:p>
    <w:p w14:paraId="67C20DA0">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6"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熊工18529603760</w:t>
      </w:r>
      <w:r>
        <w:rPr>
          <w:rFonts w:hint="eastAsia" w:ascii="Times New Roman" w:hAnsi="Times New Roman" w:eastAsia="宋体" w:cs="Times New Roman"/>
          <w:color w:val="auto"/>
          <w:sz w:val="24"/>
          <w:szCs w:val="24"/>
          <w:lang w:eastAsia="zh-CN"/>
        </w:rPr>
        <w:t>）</w:t>
      </w:r>
      <w:permEnd w:id="6"/>
      <w:r>
        <w:rPr>
          <w:rFonts w:hint="default" w:ascii="Times New Roman" w:hAnsi="Times New Roman" w:eastAsia="宋体" w:cs="Times New Roman"/>
          <w:color w:val="auto"/>
          <w:sz w:val="24"/>
        </w:rPr>
        <w:t>。</w:t>
      </w:r>
    </w:p>
    <w:p w14:paraId="0AB82910">
      <w:pPr>
        <w:pStyle w:val="19"/>
        <w:ind w:firstLine="480" w:firstLineChars="200"/>
        <w:rPr>
          <w:rFonts w:hint="default" w:ascii="Times New Roman" w:hAnsi="Times New Roman" w:eastAsia="宋体" w:cs="Times New Roman"/>
          <w:color w:val="auto"/>
          <w:sz w:val="24"/>
          <w:szCs w:val="24"/>
        </w:rPr>
      </w:pPr>
    </w:p>
    <w:p w14:paraId="0E5510DF">
      <w:pPr>
        <w:pStyle w:val="19"/>
        <w:jc w:val="right"/>
        <w:rPr>
          <w:rFonts w:hint="eastAsia" w:ascii="宋体" w:hAnsi="宋体" w:eastAsia="宋体" w:cs="宋体"/>
          <w:color w:val="auto"/>
          <w:sz w:val="24"/>
          <w:szCs w:val="24"/>
        </w:rPr>
      </w:pPr>
    </w:p>
    <w:p w14:paraId="17A2A854">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珠海正方产业开发运营有限公司</w:t>
      </w:r>
      <w:r>
        <w:rPr>
          <w:rFonts w:hint="eastAsia" w:ascii="宋体" w:hAnsi="宋体" w:eastAsia="宋体" w:cs="宋体"/>
          <w:color w:val="auto"/>
          <w:sz w:val="24"/>
          <w:szCs w:val="24"/>
        </w:rPr>
        <w:t xml:space="preserve">         </w:t>
      </w:r>
    </w:p>
    <w:p w14:paraId="23CD8181">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 xml:space="preserve">6 </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17</w:t>
      </w:r>
      <w:r>
        <w:rPr>
          <w:rFonts w:hint="eastAsia" w:ascii="宋体" w:hAnsi="宋体" w:eastAsia="宋体" w:cs="宋体"/>
          <w:color w:val="auto"/>
          <w:sz w:val="24"/>
          <w:szCs w:val="24"/>
        </w:rPr>
        <w:t xml:space="preserve"> 日</w:t>
      </w:r>
    </w:p>
    <w:p w14:paraId="454F4F82">
      <w:pPr>
        <w:pStyle w:val="19"/>
        <w:jc w:val="right"/>
        <w:rPr>
          <w:rFonts w:hint="eastAsia" w:ascii="宋体" w:hAnsi="宋体" w:eastAsia="宋体" w:cs="宋体"/>
          <w:color w:val="auto"/>
          <w:sz w:val="24"/>
          <w:szCs w:val="24"/>
        </w:rPr>
      </w:pPr>
    </w:p>
    <w:p w14:paraId="560CEF91">
      <w:pPr>
        <w:pStyle w:val="19"/>
        <w:jc w:val="right"/>
        <w:rPr>
          <w:rFonts w:hint="eastAsia" w:ascii="宋体" w:hAnsi="宋体" w:eastAsia="宋体" w:cs="宋体"/>
          <w:color w:val="auto"/>
          <w:sz w:val="24"/>
          <w:szCs w:val="24"/>
        </w:rPr>
      </w:pPr>
    </w:p>
    <w:p w14:paraId="462C8E7D">
      <w:pPr>
        <w:pStyle w:val="19"/>
        <w:jc w:val="right"/>
        <w:rPr>
          <w:rFonts w:hint="eastAsia" w:ascii="宋体" w:hAnsi="宋体" w:eastAsia="宋体" w:cs="宋体"/>
          <w:color w:val="auto"/>
          <w:sz w:val="24"/>
          <w:szCs w:val="24"/>
        </w:rPr>
      </w:pPr>
    </w:p>
    <w:p w14:paraId="6D5A88D6">
      <w:pPr>
        <w:pStyle w:val="19"/>
        <w:jc w:val="right"/>
        <w:rPr>
          <w:rFonts w:hint="eastAsia" w:ascii="宋体" w:hAnsi="宋体" w:eastAsia="宋体" w:cs="宋体"/>
          <w:color w:val="auto"/>
          <w:sz w:val="24"/>
          <w:szCs w:val="24"/>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14:paraId="74D430B3">
      <w:pPr>
        <w:pStyle w:val="19"/>
        <w:jc w:val="right"/>
        <w:rPr>
          <w:rFonts w:hint="eastAsia" w:ascii="宋体" w:hAnsi="宋体" w:eastAsia="宋体" w:cs="宋体"/>
          <w:color w:val="auto"/>
          <w:sz w:val="24"/>
          <w:szCs w:val="24"/>
        </w:rPr>
      </w:pPr>
    </w:p>
    <w:p w14:paraId="043D11DF">
      <w:pPr>
        <w:pStyle w:val="19"/>
        <w:jc w:val="right"/>
        <w:rPr>
          <w:rFonts w:hint="eastAsia" w:ascii="宋体" w:hAnsi="宋体" w:eastAsia="宋体" w:cs="宋体"/>
          <w:color w:val="auto"/>
          <w:sz w:val="24"/>
          <w:szCs w:val="24"/>
        </w:rPr>
      </w:pPr>
    </w:p>
    <w:p w14:paraId="5C9B2473">
      <w:pPr>
        <w:pStyle w:val="2"/>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9199"/>
      <w:bookmarkStart w:id="4" w:name="_Toc27664"/>
      <w:r>
        <w:rPr>
          <w:rFonts w:hint="eastAsia" w:ascii="宋体" w:hAnsi="宋体" w:eastAsia="宋体"/>
          <w:lang w:eastAsia="zh-CN"/>
        </w:rPr>
        <w:t>报价文件格式</w:t>
      </w:r>
      <w:bookmarkEnd w:id="2"/>
      <w:bookmarkEnd w:id="3"/>
      <w:bookmarkEnd w:id="4"/>
      <w:bookmarkStart w:id="5" w:name="_Toc276645578"/>
      <w:bookmarkStart w:id="6" w:name="_Toc503427708"/>
    </w:p>
    <w:p w14:paraId="1008FF90">
      <w:pPr>
        <w:pStyle w:val="3"/>
        <w:spacing w:line="360" w:lineRule="auto"/>
        <w:rPr>
          <w:rFonts w:hint="eastAsia" w:ascii="黑体" w:hAnsi="黑体" w:eastAsia="黑体" w:cs="黑体"/>
          <w:b/>
          <w:bCs w:val="0"/>
          <w:sz w:val="28"/>
          <w:szCs w:val="28"/>
        </w:rPr>
      </w:pPr>
      <w:bookmarkStart w:id="7" w:name="_Toc276645579"/>
      <w:bookmarkStart w:id="8" w:name="_Toc259090982"/>
      <w:bookmarkStart w:id="9" w:name="_Toc202251700"/>
      <w:bookmarkStart w:id="10" w:name="_Toc202251075"/>
      <w:bookmarkStart w:id="11" w:name="_Toc503427710"/>
      <w:bookmarkStart w:id="12" w:name="_Toc15317"/>
      <w:bookmarkStart w:id="13" w:name="_Toc202816996"/>
      <w:bookmarkStart w:id="14" w:name="_Toc202820351"/>
      <w:bookmarkStart w:id="15" w:name="_Toc17685"/>
      <w:bookmarkStart w:id="16" w:name="_Toc202252034"/>
      <w:bookmarkStart w:id="17" w:name="_Toc202254105"/>
      <w:bookmarkStart w:id="18" w:name="_Toc698"/>
      <w:bookmarkStart w:id="19" w:name="_Toc16107"/>
      <w:bookmarkStart w:id="20" w:name="_Toc202819878"/>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A0C6567">
      <w:pPr>
        <w:pStyle w:val="4"/>
        <w:spacing w:before="100" w:after="100" w:line="360" w:lineRule="auto"/>
        <w:rPr>
          <w:rFonts w:ascii="宋体" w:hAnsi="宋体"/>
          <w:sz w:val="28"/>
        </w:rPr>
      </w:pPr>
      <w:bookmarkStart w:id="21" w:name="_Toc13089"/>
      <w:bookmarkStart w:id="22" w:name="_Toc276645580"/>
      <w:bookmarkStart w:id="23" w:name="_Toc32660"/>
      <w:bookmarkStart w:id="24" w:name="_Toc20366"/>
      <w:bookmarkStart w:id="25" w:name="_Toc24181"/>
      <w:bookmarkStart w:id="26" w:name="_Toc503427711"/>
      <w:bookmarkStart w:id="27" w:name="_Toc259090983"/>
      <w:r>
        <w:rPr>
          <w:rFonts w:hint="eastAsia" w:ascii="宋体" w:hAnsi="宋体"/>
          <w:sz w:val="28"/>
        </w:rPr>
        <w:t>1.1投标函</w:t>
      </w:r>
      <w:bookmarkEnd w:id="21"/>
      <w:bookmarkEnd w:id="22"/>
      <w:bookmarkEnd w:id="23"/>
      <w:bookmarkEnd w:id="24"/>
      <w:bookmarkEnd w:id="25"/>
      <w:bookmarkEnd w:id="26"/>
      <w:bookmarkEnd w:id="27"/>
    </w:p>
    <w:p w14:paraId="286FC591">
      <w:pPr>
        <w:pStyle w:val="5"/>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珠海正方产业开发运营有限公司</w:t>
      </w:r>
    </w:p>
    <w:p w14:paraId="1223C8F4">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香洲创港中心项目招商中心展厅沙盘模型翻新服务（第二次）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14:paraId="54814E43">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14:paraId="71DF325C">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14:paraId="0A44358B">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14:paraId="51D1CEA8">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14:paraId="53FC0B46">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14:paraId="5CF52EE3">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14:paraId="1C51C085">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14:paraId="3F63148A">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14:paraId="12F91E31">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14:paraId="2A979B80">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14:paraId="2F424EE1">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14:paraId="11D9DA28">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14:paraId="196587CC">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14:paraId="3A5FE1DA">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14:paraId="4BC296EC">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14:paraId="1A1E566B">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14:paraId="22CCBEC4">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14:paraId="4C30240E">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14:paraId="5091807B">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14:paraId="4ABB1C7B">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14:paraId="527E9777">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14:paraId="608ED5D7">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14:paraId="47449AB5">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14:paraId="58978BC6">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14:paraId="6712D16F">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14:paraId="0CA9BFD8">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14:paraId="53DE3EA1">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14:paraId="7F05C002">
      <w:pPr>
        <w:pStyle w:val="4"/>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14:paraId="0B40BB16">
      <w:pPr>
        <w:rPr>
          <w:rFonts w:hint="eastAsia" w:ascii="宋体" w:hAnsi="宋体" w:eastAsia="宋体" w:cs="宋体"/>
          <w:b/>
          <w:bCs/>
          <w:sz w:val="44"/>
          <w:szCs w:val="44"/>
        </w:rPr>
      </w:pPr>
    </w:p>
    <w:p w14:paraId="41A3C7E1">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2283D46C">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7DE84AC6">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1BB10164">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5AEC3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42F63CA4">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652601B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33BAA433">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6774652">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65A4DD4C">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5243F9C5">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E957062">
                            <w:pPr>
                              <w:jc w:val="center"/>
                              <w:rPr>
                                <w:rFonts w:hAnsi="宋体"/>
                                <w:szCs w:val="21"/>
                              </w:rPr>
                            </w:pPr>
                          </w:p>
                          <w:p w14:paraId="1801E114">
                            <w:pPr>
                              <w:jc w:val="center"/>
                              <w:rPr>
                                <w:rFonts w:hAnsi="宋体"/>
                                <w:szCs w:val="21"/>
                              </w:rPr>
                            </w:pPr>
                          </w:p>
                          <w:p w14:paraId="2658CA69">
                            <w:pPr>
                              <w:jc w:val="center"/>
                              <w:rPr>
                                <w:rFonts w:hAnsi="宋体"/>
                                <w:szCs w:val="21"/>
                              </w:rPr>
                            </w:pPr>
                          </w:p>
                          <w:p w14:paraId="18DA394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6E957062">
                      <w:pPr>
                        <w:jc w:val="center"/>
                        <w:rPr>
                          <w:rFonts w:hAnsi="宋体"/>
                          <w:szCs w:val="21"/>
                        </w:rPr>
                      </w:pPr>
                    </w:p>
                    <w:p w14:paraId="1801E114">
                      <w:pPr>
                        <w:jc w:val="center"/>
                        <w:rPr>
                          <w:rFonts w:hAnsi="宋体"/>
                          <w:szCs w:val="21"/>
                        </w:rPr>
                      </w:pPr>
                    </w:p>
                    <w:p w14:paraId="2658CA69">
                      <w:pPr>
                        <w:jc w:val="center"/>
                        <w:rPr>
                          <w:rFonts w:hAnsi="宋体"/>
                          <w:szCs w:val="21"/>
                        </w:rPr>
                      </w:pPr>
                    </w:p>
                    <w:p w14:paraId="18DA394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B46D3FC">
                            <w:pPr>
                              <w:jc w:val="center"/>
                              <w:rPr>
                                <w:rFonts w:hAnsi="宋体"/>
                                <w:szCs w:val="21"/>
                              </w:rPr>
                            </w:pPr>
                          </w:p>
                          <w:p w14:paraId="19DCC1B5">
                            <w:pPr>
                              <w:jc w:val="center"/>
                              <w:rPr>
                                <w:rFonts w:hAnsi="宋体"/>
                                <w:szCs w:val="21"/>
                              </w:rPr>
                            </w:pPr>
                          </w:p>
                          <w:p w14:paraId="550B1367">
                            <w:pPr>
                              <w:jc w:val="center"/>
                              <w:rPr>
                                <w:rFonts w:hAnsi="宋体"/>
                                <w:szCs w:val="21"/>
                              </w:rPr>
                            </w:pPr>
                          </w:p>
                          <w:p w14:paraId="22963052">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1B46D3FC">
                      <w:pPr>
                        <w:jc w:val="center"/>
                        <w:rPr>
                          <w:rFonts w:hAnsi="宋体"/>
                          <w:szCs w:val="21"/>
                        </w:rPr>
                      </w:pPr>
                    </w:p>
                    <w:p w14:paraId="19DCC1B5">
                      <w:pPr>
                        <w:jc w:val="center"/>
                        <w:rPr>
                          <w:rFonts w:hAnsi="宋体"/>
                          <w:szCs w:val="21"/>
                        </w:rPr>
                      </w:pPr>
                    </w:p>
                    <w:p w14:paraId="550B1367">
                      <w:pPr>
                        <w:jc w:val="center"/>
                        <w:rPr>
                          <w:rFonts w:hAnsi="宋体"/>
                          <w:szCs w:val="21"/>
                        </w:rPr>
                      </w:pPr>
                    </w:p>
                    <w:p w14:paraId="22963052">
                      <w:pPr>
                        <w:jc w:val="center"/>
                        <w:rPr>
                          <w:szCs w:val="21"/>
                        </w:rPr>
                      </w:pPr>
                      <w:r>
                        <w:rPr>
                          <w:rFonts w:hint="eastAsia" w:hAnsi="宋体"/>
                          <w:szCs w:val="21"/>
                        </w:rPr>
                        <w:t>法定代表人身份证复印件正面</w:t>
                      </w:r>
                    </w:p>
                  </w:txbxContent>
                </v:textbox>
              </v:shape>
            </w:pict>
          </mc:Fallback>
        </mc:AlternateContent>
      </w:r>
    </w:p>
    <w:p w14:paraId="1F8453D7">
      <w:pPr>
        <w:bidi w:val="0"/>
        <w:rPr>
          <w:rFonts w:hint="default"/>
          <w:lang w:val="en-US" w:eastAsia="zh-CN"/>
        </w:rPr>
      </w:pPr>
    </w:p>
    <w:p w14:paraId="40E80813">
      <w:pPr>
        <w:bidi w:val="0"/>
        <w:rPr>
          <w:rFonts w:hint="default"/>
          <w:lang w:val="en-US" w:eastAsia="zh-CN"/>
        </w:rPr>
      </w:pPr>
    </w:p>
    <w:p w14:paraId="4A338C1B">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025F9A0">
                            <w:pPr>
                              <w:jc w:val="center"/>
                              <w:rPr>
                                <w:rFonts w:hAnsi="宋体"/>
                                <w:szCs w:val="21"/>
                              </w:rPr>
                            </w:pPr>
                          </w:p>
                          <w:p w14:paraId="577E1515">
                            <w:pPr>
                              <w:jc w:val="center"/>
                              <w:rPr>
                                <w:rFonts w:hAnsi="宋体"/>
                                <w:szCs w:val="21"/>
                              </w:rPr>
                            </w:pPr>
                          </w:p>
                          <w:p w14:paraId="3081090A">
                            <w:pPr>
                              <w:jc w:val="center"/>
                              <w:rPr>
                                <w:rFonts w:hAnsi="宋体"/>
                                <w:szCs w:val="21"/>
                              </w:rPr>
                            </w:pPr>
                          </w:p>
                          <w:p w14:paraId="4E502954">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025F9A0">
                      <w:pPr>
                        <w:jc w:val="center"/>
                        <w:rPr>
                          <w:rFonts w:hAnsi="宋体"/>
                          <w:szCs w:val="21"/>
                        </w:rPr>
                      </w:pPr>
                    </w:p>
                    <w:p w14:paraId="577E1515">
                      <w:pPr>
                        <w:jc w:val="center"/>
                        <w:rPr>
                          <w:rFonts w:hAnsi="宋体"/>
                          <w:szCs w:val="21"/>
                        </w:rPr>
                      </w:pPr>
                    </w:p>
                    <w:p w14:paraId="3081090A">
                      <w:pPr>
                        <w:jc w:val="center"/>
                        <w:rPr>
                          <w:rFonts w:hAnsi="宋体"/>
                          <w:szCs w:val="21"/>
                        </w:rPr>
                      </w:pPr>
                    </w:p>
                    <w:p w14:paraId="4E502954">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0BEEFA1">
                            <w:pPr>
                              <w:jc w:val="center"/>
                              <w:rPr>
                                <w:rFonts w:hAnsi="宋体"/>
                                <w:szCs w:val="21"/>
                              </w:rPr>
                            </w:pPr>
                          </w:p>
                          <w:p w14:paraId="1B618345">
                            <w:pPr>
                              <w:jc w:val="center"/>
                              <w:rPr>
                                <w:rFonts w:hAnsi="宋体"/>
                                <w:szCs w:val="21"/>
                              </w:rPr>
                            </w:pPr>
                          </w:p>
                          <w:p w14:paraId="638774E5">
                            <w:pPr>
                              <w:jc w:val="center"/>
                              <w:rPr>
                                <w:rFonts w:hAnsi="宋体"/>
                                <w:szCs w:val="21"/>
                              </w:rPr>
                            </w:pPr>
                          </w:p>
                          <w:p w14:paraId="4F4FFAEE">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0BEEFA1">
                      <w:pPr>
                        <w:jc w:val="center"/>
                        <w:rPr>
                          <w:rFonts w:hAnsi="宋体"/>
                          <w:szCs w:val="21"/>
                        </w:rPr>
                      </w:pPr>
                    </w:p>
                    <w:p w14:paraId="1B618345">
                      <w:pPr>
                        <w:jc w:val="center"/>
                        <w:rPr>
                          <w:rFonts w:hAnsi="宋体"/>
                          <w:szCs w:val="21"/>
                        </w:rPr>
                      </w:pPr>
                    </w:p>
                    <w:p w14:paraId="638774E5">
                      <w:pPr>
                        <w:jc w:val="center"/>
                        <w:rPr>
                          <w:rFonts w:hAnsi="宋体"/>
                          <w:szCs w:val="21"/>
                        </w:rPr>
                      </w:pPr>
                    </w:p>
                    <w:p w14:paraId="4F4FFAEE">
                      <w:pPr>
                        <w:jc w:val="center"/>
                        <w:rPr>
                          <w:szCs w:val="21"/>
                        </w:rPr>
                      </w:pPr>
                      <w:r>
                        <w:rPr>
                          <w:rFonts w:hint="eastAsia" w:hAnsi="宋体"/>
                          <w:szCs w:val="21"/>
                        </w:rPr>
                        <w:t>法定代表人身份证复印件正面</w:t>
                      </w:r>
                    </w:p>
                  </w:txbxContent>
                </v:textbox>
              </v:shape>
            </w:pict>
          </mc:Fallback>
        </mc:AlternateContent>
      </w:r>
    </w:p>
    <w:p w14:paraId="4ED123D0">
      <w:pPr>
        <w:bidi w:val="0"/>
        <w:rPr>
          <w:rFonts w:hint="default"/>
          <w:lang w:val="en-US" w:eastAsia="zh-CN"/>
        </w:rPr>
      </w:pPr>
    </w:p>
    <w:p w14:paraId="0BCF7962">
      <w:pPr>
        <w:bidi w:val="0"/>
        <w:rPr>
          <w:rFonts w:hint="default"/>
          <w:lang w:val="en-US" w:eastAsia="zh-CN"/>
        </w:rPr>
      </w:pPr>
    </w:p>
    <w:p w14:paraId="2F425EBB">
      <w:pPr>
        <w:bidi w:val="0"/>
        <w:rPr>
          <w:rFonts w:hint="default"/>
          <w:lang w:val="en-US" w:eastAsia="zh-CN"/>
        </w:rPr>
      </w:pPr>
    </w:p>
    <w:p w14:paraId="0D4605BA">
      <w:pPr>
        <w:bidi w:val="0"/>
        <w:rPr>
          <w:rFonts w:hint="default"/>
          <w:lang w:val="en-US" w:eastAsia="zh-CN"/>
        </w:rPr>
      </w:pPr>
    </w:p>
    <w:p w14:paraId="0018CEAB">
      <w:pPr>
        <w:bidi w:val="0"/>
        <w:rPr>
          <w:rFonts w:hint="default"/>
          <w:lang w:val="en-US" w:eastAsia="zh-CN"/>
        </w:rPr>
      </w:pPr>
    </w:p>
    <w:p w14:paraId="1F71AE3B">
      <w:pPr>
        <w:bidi w:val="0"/>
        <w:rPr>
          <w:rFonts w:hint="default"/>
          <w:lang w:val="en-US" w:eastAsia="zh-CN"/>
        </w:rPr>
      </w:pPr>
    </w:p>
    <w:p w14:paraId="511EF08F">
      <w:pPr>
        <w:bidi w:val="0"/>
        <w:rPr>
          <w:rFonts w:hint="default"/>
          <w:lang w:val="en-US" w:eastAsia="zh-CN"/>
        </w:rPr>
      </w:pPr>
    </w:p>
    <w:p w14:paraId="04CD2235">
      <w:pPr>
        <w:bidi w:val="0"/>
        <w:rPr>
          <w:rFonts w:hint="default"/>
          <w:lang w:val="en-US" w:eastAsia="zh-CN"/>
        </w:rPr>
      </w:pPr>
    </w:p>
    <w:p w14:paraId="09C293D2">
      <w:pPr>
        <w:bidi w:val="0"/>
        <w:rPr>
          <w:rFonts w:hint="default"/>
          <w:b/>
          <w:bCs/>
          <w:lang w:val="en-US" w:eastAsia="zh-CN"/>
        </w:rPr>
      </w:pPr>
    </w:p>
    <w:p w14:paraId="45BC1DAD">
      <w:pPr>
        <w:bidi w:val="0"/>
        <w:rPr>
          <w:rFonts w:hint="eastAsia" w:ascii="Calibri" w:hAnsi="Calibri" w:eastAsia="宋体" w:cs="Times New Roman"/>
          <w:kern w:val="2"/>
          <w:sz w:val="21"/>
          <w:szCs w:val="24"/>
          <w:lang w:val="en-US" w:eastAsia="zh-CN" w:bidi="ar-SA"/>
        </w:rPr>
      </w:pPr>
    </w:p>
    <w:p w14:paraId="26DC99BE">
      <w:pPr>
        <w:bidi w:val="0"/>
        <w:jc w:val="left"/>
        <w:rPr>
          <w:rFonts w:hint="eastAsia"/>
          <w:lang w:val="en-US" w:eastAsia="zh-CN"/>
        </w:rPr>
      </w:pPr>
      <w:bookmarkStart w:id="28" w:name="_Toc20809"/>
      <w:bookmarkEnd w:id="28"/>
    </w:p>
    <w:p w14:paraId="7A29336E">
      <w:pPr>
        <w:bidi w:val="0"/>
        <w:jc w:val="center"/>
        <w:rPr>
          <w:rFonts w:hint="eastAsia" w:ascii="宋体" w:hAnsi="宋体" w:eastAsia="宋体" w:cs="宋体"/>
          <w:b/>
          <w:bCs/>
          <w:sz w:val="44"/>
          <w:szCs w:val="44"/>
        </w:rPr>
      </w:pPr>
    </w:p>
    <w:p w14:paraId="0CFF4BD8">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745DF9">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14:paraId="40B5CF78">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14:paraId="3F040D0F">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rFonts w:hint="eastAsia"/>
          <w:b/>
          <w:sz w:val="32"/>
          <w:lang w:val="en-US" w:eastAsia="zh-CN"/>
        </w:rPr>
        <w:t>1.2.1</w:t>
      </w:r>
      <w:r>
        <w:rPr>
          <w:b/>
          <w:sz w:val="32"/>
        </w:rPr>
        <w:t>授权委托</w:t>
      </w:r>
      <w:r>
        <w:rPr>
          <w:rFonts w:hint="eastAsia"/>
          <w:b/>
          <w:sz w:val="32"/>
          <w:lang w:val="en-US" w:eastAsia="zh-CN"/>
        </w:rPr>
        <w:t>书（非法定代表人投标需提供）</w:t>
      </w:r>
    </w:p>
    <w:p w14:paraId="552BA416">
      <w:pPr>
        <w:rPr>
          <w:rFonts w:hint="eastAsia"/>
        </w:rPr>
      </w:pPr>
    </w:p>
    <w:p w14:paraId="0509E2E3">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E03C0A0">
      <w:pPr>
        <w:pStyle w:val="6"/>
        <w:spacing w:before="1" w:line="364" w:lineRule="auto"/>
        <w:ind w:right="105"/>
        <w:rPr>
          <w:spacing w:val="-8"/>
        </w:rPr>
      </w:pPr>
    </w:p>
    <w:p w14:paraId="6DC48538">
      <w:pPr>
        <w:pStyle w:val="6"/>
        <w:spacing w:before="1" w:line="364" w:lineRule="auto"/>
        <w:ind w:left="0" w:leftChars="0" w:right="105" w:firstLine="0" w:firstLineChars="0"/>
        <w:rPr>
          <w:spacing w:val="-8"/>
        </w:rPr>
      </w:pPr>
    </w:p>
    <w:p w14:paraId="2583EFB3">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FA8BC78">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14:paraId="038DE786">
      <w:pPr>
        <w:bidi w:val="0"/>
        <w:rPr>
          <w:rFonts w:hint="default"/>
          <w:lang w:val="en-US" w:eastAsia="zh-CN"/>
        </w:rPr>
      </w:pPr>
    </w:p>
    <w:p w14:paraId="6E569ED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5015387">
                            <w:pPr>
                              <w:jc w:val="center"/>
                              <w:rPr>
                                <w:rFonts w:hAnsi="宋体"/>
                                <w:szCs w:val="21"/>
                              </w:rPr>
                            </w:pPr>
                          </w:p>
                          <w:p w14:paraId="1BA628D6">
                            <w:pPr>
                              <w:jc w:val="center"/>
                              <w:rPr>
                                <w:rFonts w:hAnsi="宋体"/>
                                <w:szCs w:val="21"/>
                              </w:rPr>
                            </w:pPr>
                          </w:p>
                          <w:p w14:paraId="7DA77B78">
                            <w:pPr>
                              <w:jc w:val="center"/>
                              <w:rPr>
                                <w:rFonts w:hAnsi="宋体"/>
                                <w:szCs w:val="21"/>
                              </w:rPr>
                            </w:pPr>
                          </w:p>
                          <w:p w14:paraId="604D3229">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75015387">
                      <w:pPr>
                        <w:jc w:val="center"/>
                        <w:rPr>
                          <w:rFonts w:hAnsi="宋体"/>
                          <w:szCs w:val="21"/>
                        </w:rPr>
                      </w:pPr>
                    </w:p>
                    <w:p w14:paraId="1BA628D6">
                      <w:pPr>
                        <w:jc w:val="center"/>
                        <w:rPr>
                          <w:rFonts w:hAnsi="宋体"/>
                          <w:szCs w:val="21"/>
                        </w:rPr>
                      </w:pPr>
                    </w:p>
                    <w:p w14:paraId="7DA77B78">
                      <w:pPr>
                        <w:jc w:val="center"/>
                        <w:rPr>
                          <w:rFonts w:hAnsi="宋体"/>
                          <w:szCs w:val="21"/>
                        </w:rPr>
                      </w:pPr>
                    </w:p>
                    <w:p w14:paraId="604D3229">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1FB1896">
                            <w:pPr>
                              <w:jc w:val="center"/>
                              <w:rPr>
                                <w:rFonts w:hAnsi="宋体"/>
                                <w:szCs w:val="21"/>
                              </w:rPr>
                            </w:pPr>
                          </w:p>
                          <w:p w14:paraId="3835314A">
                            <w:pPr>
                              <w:jc w:val="center"/>
                              <w:rPr>
                                <w:rFonts w:hAnsi="宋体"/>
                                <w:szCs w:val="21"/>
                              </w:rPr>
                            </w:pPr>
                          </w:p>
                          <w:p w14:paraId="214FB830">
                            <w:pPr>
                              <w:jc w:val="center"/>
                              <w:rPr>
                                <w:rFonts w:hAnsi="宋体"/>
                                <w:szCs w:val="21"/>
                              </w:rPr>
                            </w:pPr>
                          </w:p>
                          <w:p w14:paraId="2B1C3C71">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61FB1896">
                      <w:pPr>
                        <w:jc w:val="center"/>
                        <w:rPr>
                          <w:rFonts w:hAnsi="宋体"/>
                          <w:szCs w:val="21"/>
                        </w:rPr>
                      </w:pPr>
                    </w:p>
                    <w:p w14:paraId="3835314A">
                      <w:pPr>
                        <w:jc w:val="center"/>
                        <w:rPr>
                          <w:rFonts w:hAnsi="宋体"/>
                          <w:szCs w:val="21"/>
                        </w:rPr>
                      </w:pPr>
                    </w:p>
                    <w:p w14:paraId="214FB830">
                      <w:pPr>
                        <w:jc w:val="center"/>
                        <w:rPr>
                          <w:rFonts w:hAnsi="宋体"/>
                          <w:szCs w:val="21"/>
                        </w:rPr>
                      </w:pPr>
                    </w:p>
                    <w:p w14:paraId="2B1C3C71">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383392CC">
      <w:pPr>
        <w:bidi w:val="0"/>
        <w:rPr>
          <w:rFonts w:hint="default"/>
          <w:lang w:val="en-US" w:eastAsia="zh-CN"/>
        </w:rPr>
      </w:pPr>
    </w:p>
    <w:p w14:paraId="43F7A8E6">
      <w:pPr>
        <w:bidi w:val="0"/>
        <w:rPr>
          <w:rFonts w:hint="default"/>
          <w:lang w:val="en-US" w:eastAsia="zh-CN"/>
        </w:rPr>
      </w:pPr>
    </w:p>
    <w:p w14:paraId="22E51D23">
      <w:pPr>
        <w:bidi w:val="0"/>
        <w:rPr>
          <w:rFonts w:hint="default"/>
          <w:lang w:val="en-US" w:eastAsia="zh-CN"/>
        </w:rPr>
      </w:pPr>
    </w:p>
    <w:p w14:paraId="3ECE6574">
      <w:pPr>
        <w:bidi w:val="0"/>
        <w:rPr>
          <w:rFonts w:hint="default"/>
          <w:lang w:val="en-US" w:eastAsia="zh-CN"/>
        </w:rPr>
      </w:pPr>
    </w:p>
    <w:p w14:paraId="55409A18">
      <w:pPr>
        <w:bidi w:val="0"/>
        <w:rPr>
          <w:rFonts w:hint="default"/>
          <w:lang w:val="en-US" w:eastAsia="zh-CN"/>
        </w:rPr>
      </w:pPr>
    </w:p>
    <w:p w14:paraId="4A0789BB">
      <w:pPr>
        <w:bidi w:val="0"/>
        <w:rPr>
          <w:rFonts w:hint="default"/>
          <w:lang w:val="en-US" w:eastAsia="zh-CN"/>
        </w:rPr>
      </w:pPr>
    </w:p>
    <w:p w14:paraId="1E16B142">
      <w:pPr>
        <w:bidi w:val="0"/>
        <w:rPr>
          <w:rFonts w:hint="default"/>
          <w:lang w:val="en-US" w:eastAsia="zh-CN"/>
        </w:rPr>
      </w:pPr>
    </w:p>
    <w:p w14:paraId="17C01D3F">
      <w:pPr>
        <w:bidi w:val="0"/>
        <w:rPr>
          <w:rFonts w:hint="default"/>
          <w:lang w:val="en-US" w:eastAsia="zh-CN"/>
        </w:rPr>
      </w:pPr>
    </w:p>
    <w:p w14:paraId="3CF82AA4">
      <w:pPr>
        <w:pStyle w:val="6"/>
        <w:spacing w:before="2" w:line="364" w:lineRule="auto"/>
        <w:ind w:left="0" w:leftChars="0" w:right="3705" w:firstLine="0" w:firstLineChars="0"/>
      </w:pPr>
    </w:p>
    <w:p w14:paraId="54E3BFA7">
      <w:pPr>
        <w:pStyle w:val="6"/>
        <w:spacing w:before="2" w:line="364" w:lineRule="auto"/>
        <w:ind w:left="0" w:leftChars="0" w:right="3705" w:firstLine="0" w:firstLineChars="0"/>
      </w:pPr>
    </w:p>
    <w:p w14:paraId="35B6EFED">
      <w:pPr>
        <w:pStyle w:val="6"/>
        <w:spacing w:before="2" w:line="364" w:lineRule="auto"/>
        <w:ind w:left="0" w:leftChars="0" w:right="3705" w:firstLine="0" w:firstLineChars="0"/>
      </w:pPr>
    </w:p>
    <w:p w14:paraId="5DC426E7">
      <w:pPr>
        <w:pStyle w:val="6"/>
        <w:spacing w:before="201"/>
        <w:ind w:left="4920"/>
        <w:rPr>
          <w:spacing w:val="-120"/>
        </w:rPr>
      </w:pPr>
      <w:r>
        <w:t>公司名称（公章</w:t>
      </w:r>
      <w:r>
        <w:rPr>
          <w:spacing w:val="-120"/>
        </w:rPr>
        <w:t>）</w:t>
      </w:r>
    </w:p>
    <w:p w14:paraId="6C8C1EF6">
      <w:pPr>
        <w:pStyle w:val="6"/>
        <w:spacing w:before="201"/>
        <w:ind w:left="4920"/>
        <w:rPr>
          <w:spacing w:val="-120"/>
        </w:rPr>
      </w:pPr>
    </w:p>
    <w:p w14:paraId="4C63232E">
      <w:pPr>
        <w:pStyle w:val="6"/>
        <w:ind w:left="4920"/>
        <w:rPr>
          <w:spacing w:val="-120"/>
        </w:rPr>
      </w:pPr>
      <w:r>
        <w:t>法定代表人（签名或签章</w:t>
      </w:r>
      <w:r>
        <w:rPr>
          <w:spacing w:val="-120"/>
        </w:rPr>
        <w:t>）</w:t>
      </w:r>
    </w:p>
    <w:p w14:paraId="29FC5008">
      <w:pPr>
        <w:pStyle w:val="6"/>
        <w:ind w:left="4920"/>
        <w:rPr>
          <w:spacing w:val="-120"/>
        </w:rPr>
      </w:pPr>
    </w:p>
    <w:p w14:paraId="1BFD3DF1">
      <w:pPr>
        <w:pStyle w:val="6"/>
        <w:spacing w:before="1"/>
        <w:ind w:left="4920"/>
        <w:rPr>
          <w:rFonts w:hint="eastAsia"/>
          <w:b/>
          <w:bCs/>
          <w:spacing w:val="0"/>
          <w:sz w:val="28"/>
          <w:szCs w:val="28"/>
          <w:lang w:val="en-US" w:eastAsia="zh-CN"/>
        </w:rPr>
      </w:pPr>
      <w:r>
        <w:t>被授权委托人（签名</w:t>
      </w:r>
      <w:r>
        <w:rPr>
          <w:spacing w:val="-120"/>
        </w:rPr>
        <w:t>）</w:t>
      </w:r>
    </w:p>
    <w:p w14:paraId="2D0C305E">
      <w:pPr>
        <w:rPr>
          <w:rFonts w:hint="eastAsia"/>
          <w:b/>
          <w:bCs/>
          <w:spacing w:val="0"/>
          <w:sz w:val="24"/>
          <w:szCs w:val="24"/>
          <w:lang w:val="en-US" w:eastAsia="zh-CN"/>
        </w:rPr>
      </w:pPr>
      <w:r>
        <w:rPr>
          <w:rFonts w:hint="eastAsia"/>
          <w:b/>
          <w:bCs/>
          <w:spacing w:val="0"/>
          <w:sz w:val="24"/>
          <w:szCs w:val="24"/>
          <w:lang w:val="en-US" w:eastAsia="zh-CN"/>
        </w:rPr>
        <w:br w:type="page"/>
      </w:r>
    </w:p>
    <w:p w14:paraId="485B3E1C">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2B05722">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14:paraId="30C9F574">
      <w:pPr>
        <w:pStyle w:val="6"/>
        <w:spacing w:before="1"/>
        <w:rPr>
          <w:rFonts w:hint="eastAsia"/>
          <w:spacing w:val="-120"/>
          <w:lang w:val="en-US" w:eastAsia="zh-CN"/>
        </w:rPr>
      </w:pPr>
    </w:p>
    <w:p w14:paraId="02D09867">
      <w:pPr>
        <w:pStyle w:val="6"/>
        <w:spacing w:before="1"/>
        <w:rPr>
          <w:rFonts w:hint="eastAsia"/>
          <w:spacing w:val="-120"/>
          <w:lang w:val="en-US" w:eastAsia="zh-CN"/>
        </w:rPr>
      </w:pPr>
    </w:p>
    <w:p w14:paraId="27E1F8A0">
      <w:pPr>
        <w:pStyle w:val="6"/>
        <w:spacing w:before="1"/>
        <w:rPr>
          <w:rFonts w:hint="eastAsia"/>
          <w:spacing w:val="-120"/>
          <w:lang w:val="en-US" w:eastAsia="zh-CN"/>
        </w:rPr>
      </w:pPr>
    </w:p>
    <w:p w14:paraId="4CADA58F">
      <w:pPr>
        <w:pStyle w:val="6"/>
        <w:spacing w:before="1"/>
        <w:rPr>
          <w:rFonts w:hint="eastAsia"/>
          <w:spacing w:val="-120"/>
          <w:lang w:val="en-US" w:eastAsia="zh-CN"/>
        </w:rPr>
      </w:pPr>
    </w:p>
    <w:p w14:paraId="46260F18">
      <w:pPr>
        <w:pStyle w:val="6"/>
        <w:spacing w:before="1"/>
        <w:rPr>
          <w:rFonts w:hint="eastAsia"/>
          <w:spacing w:val="-120"/>
          <w:lang w:val="en-US" w:eastAsia="zh-CN"/>
        </w:rPr>
      </w:pPr>
    </w:p>
    <w:p w14:paraId="3E321678">
      <w:pPr>
        <w:rPr>
          <w:rFonts w:hint="eastAsia"/>
          <w:b/>
          <w:sz w:val="32"/>
          <w:szCs w:val="32"/>
          <w:lang w:val="en-US" w:eastAsia="zh-CN"/>
        </w:rPr>
      </w:pPr>
      <w:r>
        <w:rPr>
          <w:rFonts w:hint="eastAsia"/>
          <w:b/>
          <w:sz w:val="32"/>
          <w:szCs w:val="32"/>
          <w:lang w:val="en-US" w:eastAsia="zh-CN"/>
        </w:rPr>
        <w:br w:type="page"/>
      </w:r>
    </w:p>
    <w:p w14:paraId="72960B1D">
      <w:pPr>
        <w:pStyle w:val="4"/>
        <w:spacing w:before="100" w:after="100" w:line="360" w:lineRule="auto"/>
        <w:rPr>
          <w:rFonts w:hint="eastAsia" w:ascii="宋体" w:hAnsi="宋体" w:eastAsia="宋体"/>
          <w:sz w:val="28"/>
          <w:lang w:val="en-US" w:eastAsia="zh-CN"/>
        </w:rPr>
      </w:pPr>
      <w:bookmarkStart w:id="29" w:name="_Toc528"/>
      <w:bookmarkStart w:id="30" w:name="_Toc503427713"/>
      <w:bookmarkStart w:id="31" w:name="_Toc19817"/>
      <w:bookmarkStart w:id="32" w:name="_Toc27591"/>
      <w:bookmarkStart w:id="33" w:name="_Toc17080"/>
      <w:bookmarkStart w:id="34" w:name="_Toc19171"/>
      <w:r>
        <w:rPr>
          <w:rFonts w:hint="eastAsia" w:ascii="宋体" w:hAnsi="宋体" w:eastAsia="宋体"/>
          <w:sz w:val="28"/>
          <w:lang w:val="en-US" w:eastAsia="zh-CN"/>
        </w:rPr>
        <w:t>1.3关于资格的声明函</w:t>
      </w:r>
      <w:bookmarkEnd w:id="29"/>
      <w:bookmarkEnd w:id="30"/>
      <w:bookmarkEnd w:id="31"/>
      <w:bookmarkEnd w:id="32"/>
      <w:bookmarkEnd w:id="33"/>
      <w:bookmarkEnd w:id="34"/>
    </w:p>
    <w:p w14:paraId="4F06A6DC">
      <w:pPr>
        <w:pStyle w:val="5"/>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珠海正方产业开发运营有限公司</w:t>
      </w:r>
    </w:p>
    <w:p w14:paraId="752951F0">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香洲创港中心项目招商中心展厅沙盘模型翻新服务（第二次）</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14:paraId="46710B27">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14:paraId="6516D581">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14:paraId="069DC329">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14:paraId="53C2AFCE">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14:paraId="13804B05">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14:paraId="2D2F0357">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14:paraId="111E1F9E">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14:paraId="0CBDEDEE">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14:paraId="1621DAB7">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14:paraId="2B15AFE9">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14:paraId="4511FDFD">
      <w:pPr>
        <w:spacing w:line="360" w:lineRule="auto"/>
        <w:ind w:firstLine="480" w:firstLineChars="200"/>
        <w:rPr>
          <w:rFonts w:ascii="宋体" w:hAnsi="宋体"/>
          <w:sz w:val="24"/>
        </w:rPr>
      </w:pPr>
      <w:r>
        <w:rPr>
          <w:rFonts w:hint="eastAsia" w:ascii="宋体" w:hAnsi="宋体"/>
          <w:sz w:val="24"/>
        </w:rPr>
        <w:t>说明：</w:t>
      </w:r>
    </w:p>
    <w:p w14:paraId="68306AC8">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14:paraId="40D501AE">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14:paraId="180AD652">
      <w:pPr>
        <w:adjustRightInd w:val="0"/>
        <w:snapToGrid w:val="0"/>
        <w:spacing w:line="360" w:lineRule="auto"/>
        <w:rPr>
          <w:rFonts w:hint="eastAsia" w:ascii="宋体" w:hAnsi="宋体"/>
          <w:sz w:val="24"/>
        </w:rPr>
      </w:pPr>
    </w:p>
    <w:p w14:paraId="1252CCBA">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68BA0364">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5BB2DFB4">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78A1077C">
      <w:pPr>
        <w:spacing w:line="360" w:lineRule="auto"/>
        <w:rPr>
          <w:rFonts w:ascii="宋体" w:hAnsi="宋体"/>
          <w:sz w:val="24"/>
          <w:lang w:val="en-GB"/>
        </w:rPr>
        <w:sectPr>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14:paraId="74EAC748">
      <w:pPr>
        <w:pStyle w:val="4"/>
        <w:spacing w:before="100" w:after="100" w:line="360" w:lineRule="auto"/>
        <w:rPr>
          <w:rFonts w:hint="eastAsia" w:ascii="宋体" w:hAnsi="宋体" w:eastAsia="宋体"/>
          <w:sz w:val="28"/>
          <w:lang w:val="en-US" w:eastAsia="zh-CN"/>
        </w:rPr>
      </w:pPr>
      <w:bookmarkStart w:id="35" w:name="_Toc24969"/>
      <w:bookmarkStart w:id="36" w:name="_Toc19796"/>
      <w:bookmarkStart w:id="37" w:name="_Toc24356"/>
      <w:bookmarkStart w:id="38" w:name="_Toc5048"/>
      <w:bookmarkStart w:id="39" w:name="_Toc6220"/>
      <w:bookmarkStart w:id="40" w:name="_Toc10585"/>
      <w:bookmarkStart w:id="41" w:name="_Toc31767"/>
      <w:bookmarkStart w:id="42" w:name="_Toc10559"/>
      <w:bookmarkStart w:id="43" w:name="_Toc19969"/>
      <w:bookmarkStart w:id="44" w:name="_Toc9476"/>
      <w:bookmarkStart w:id="45" w:name="_Toc31877"/>
      <w:bookmarkStart w:id="46" w:name="_Toc32141"/>
      <w:bookmarkStart w:id="47" w:name="_Toc15464"/>
      <w:bookmarkStart w:id="48" w:name="_Toc13922"/>
      <w:bookmarkStart w:id="49" w:name="_Toc14285"/>
      <w:bookmarkStart w:id="50" w:name="_Toc26971"/>
      <w:bookmarkStart w:id="51" w:name="_Toc32498"/>
      <w:bookmarkStart w:id="52" w:name="_Toc276645583"/>
      <w:bookmarkStart w:id="53" w:name="_Toc27468"/>
      <w:bookmarkStart w:id="54" w:name="_Toc6275"/>
      <w:bookmarkStart w:id="55" w:name="_Toc264628882"/>
      <w:bookmarkStart w:id="56" w:name="_Toc503427714"/>
      <w:bookmarkStart w:id="57" w:name="_Toc4726"/>
      <w:bookmarkStart w:id="58" w:name="_Toc4427"/>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C533DCD">
      <w:pPr>
        <w:pStyle w:val="5"/>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cs="宋体"/>
          <w:b/>
          <w:bCs/>
          <w:kern w:val="28"/>
          <w:sz w:val="24"/>
          <w:szCs w:val="24"/>
          <w:lang w:val="en-US"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w:t>
      </w:r>
      <w:r>
        <w:rPr>
          <w:rFonts w:hint="eastAsia" w:hAnsi="宋体" w:cs="宋体"/>
          <w:b/>
          <w:bCs/>
          <w:kern w:val="28"/>
          <w:sz w:val="24"/>
          <w:szCs w:val="24"/>
          <w:lang w:val="en-US" w:eastAsia="zh-CN"/>
        </w:rPr>
        <w:t>章）</w:t>
      </w:r>
    </w:p>
    <w:p w14:paraId="16275DD3">
      <w:pPr>
        <w:pStyle w:val="4"/>
        <w:spacing w:before="100" w:after="100" w:line="360" w:lineRule="auto"/>
        <w:rPr>
          <w:rFonts w:hint="eastAsia" w:ascii="宋体" w:hAnsi="宋体"/>
          <w:sz w:val="28"/>
          <w:highlight w:val="none"/>
          <w:lang w:val="en-US" w:eastAsia="zh-CN"/>
        </w:rPr>
      </w:pPr>
      <w:bookmarkStart w:id="59" w:name="_Toc21911"/>
      <w:r>
        <w:rPr>
          <w:rFonts w:hint="eastAsia" w:ascii="宋体" w:hAnsi="宋体"/>
          <w:sz w:val="28"/>
          <w:highlight w:val="none"/>
          <w:lang w:val="en-US" w:eastAsia="zh-CN"/>
        </w:rPr>
        <w:t xml:space="preserve">1.3.2 </w:t>
      </w:r>
      <w:bookmarkEnd w:id="59"/>
      <w:r>
        <w:rPr>
          <w:rFonts w:hint="eastAsia" w:ascii="宋体" w:hAnsi="宋体"/>
          <w:sz w:val="28"/>
          <w:highlight w:val="none"/>
          <w:lang w:val="en-US" w:eastAsia="zh-CN"/>
        </w:rPr>
        <w:t>业绩证明</w:t>
      </w:r>
    </w:p>
    <w:p w14:paraId="779915E6">
      <w:pPr>
        <w:pStyle w:val="4"/>
        <w:spacing w:before="100" w:after="100" w:line="360" w:lineRule="auto"/>
        <w:rPr>
          <w:rFonts w:hint="eastAsia" w:ascii="宋体" w:hAnsi="宋体" w:eastAsia="宋体" w:cs="Times New Roman"/>
          <w:b/>
          <w:bCs/>
          <w:kern w:val="2"/>
          <w:sz w:val="28"/>
          <w:szCs w:val="32"/>
          <w:highlight w:val="none"/>
          <w:lang w:val="en-US" w:eastAsia="zh-CN" w:bidi="ar-SA"/>
        </w:rPr>
      </w:pPr>
      <w:r>
        <w:rPr>
          <w:rFonts w:hint="eastAsia" w:ascii="宋体" w:hAnsi="宋体" w:eastAsia="宋体" w:cs="Times New Roman"/>
          <w:b/>
          <w:bCs/>
          <w:kern w:val="2"/>
          <w:sz w:val="28"/>
          <w:szCs w:val="32"/>
          <w:highlight w:val="none"/>
          <w:lang w:val="en-US" w:eastAsia="zh-CN" w:bidi="ar-SA"/>
        </w:rPr>
        <w:t>自公告发布之日起近5年具备2个或以上中大型沙盘（沙盘面积30㎡以上）制作/维修/翻新项目业绩（提供合同关键页，包含合同封面页、合同概况页、双方盖章落款页，提供的复印件需加盖公章，以上资料均完整提供则算一个业绩）；</w:t>
      </w:r>
    </w:p>
    <w:p w14:paraId="28FB930B">
      <w:pPr>
        <w:numPr>
          <w:ilvl w:val="0"/>
          <w:numId w:val="0"/>
        </w:numPr>
        <w:rPr>
          <w:rFonts w:hint="eastAsia"/>
          <w:b/>
          <w:sz w:val="24"/>
          <w:szCs w:val="24"/>
          <w:highlight w:val="none"/>
          <w:lang w:val="en-US" w:eastAsia="zh-CN"/>
        </w:rPr>
      </w:pPr>
    </w:p>
    <w:p w14:paraId="182A5101">
      <w:pPr>
        <w:numPr>
          <w:ilvl w:val="0"/>
          <w:numId w:val="0"/>
        </w:numPr>
        <w:rPr>
          <w:rFonts w:hint="default"/>
          <w:b/>
          <w:sz w:val="24"/>
          <w:szCs w:val="24"/>
          <w:highlight w:val="none"/>
          <w:lang w:val="en-US" w:eastAsia="zh-CN"/>
        </w:rPr>
      </w:pPr>
      <w:r>
        <w:rPr>
          <w:rFonts w:hint="eastAsia"/>
          <w:b/>
          <w:sz w:val="24"/>
          <w:szCs w:val="24"/>
          <w:highlight w:val="none"/>
          <w:lang w:val="en-US" w:eastAsia="zh-CN"/>
        </w:rPr>
        <w:t>合同封面页示例：</w:t>
      </w:r>
    </w:p>
    <w:p w14:paraId="306F8E1F">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073650" cy="6907530"/>
            <wp:effectExtent l="0" t="0" r="12700" b="7620"/>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073650" cy="6907530"/>
                    </a:xfrm>
                    <a:prstGeom prst="rect">
                      <a:avLst/>
                    </a:prstGeom>
                  </pic:spPr>
                </pic:pic>
              </a:graphicData>
            </a:graphic>
          </wp:inline>
        </w:drawing>
      </w:r>
    </w:p>
    <w:p w14:paraId="3C6890A2">
      <w:pPr>
        <w:numPr>
          <w:ilvl w:val="0"/>
          <w:numId w:val="0"/>
        </w:numPr>
        <w:rPr>
          <w:rFonts w:hint="default" w:ascii="宋体" w:hAnsi="宋体" w:eastAsia="宋体" w:cs="宋体"/>
          <w:bCs/>
          <w:sz w:val="28"/>
          <w:szCs w:val="28"/>
          <w:highlight w:val="none"/>
          <w:lang w:val="en-US" w:eastAsia="zh-CN"/>
        </w:rPr>
      </w:pPr>
    </w:p>
    <w:p w14:paraId="5BF01C0E">
      <w:pPr>
        <w:pStyle w:val="18"/>
        <w:rPr>
          <w:rFonts w:hint="default" w:ascii="宋体" w:hAnsi="宋体" w:eastAsia="宋体" w:cs="宋体"/>
          <w:bCs/>
          <w:sz w:val="28"/>
          <w:szCs w:val="28"/>
          <w:highlight w:val="none"/>
          <w:lang w:val="en-US" w:eastAsia="zh-CN"/>
        </w:rPr>
      </w:pPr>
    </w:p>
    <w:p w14:paraId="51354101">
      <w:pPr>
        <w:numPr>
          <w:ilvl w:val="0"/>
          <w:numId w:val="0"/>
        </w:numPr>
        <w:rPr>
          <w:rFonts w:hint="eastAsia"/>
          <w:b/>
          <w:sz w:val="24"/>
          <w:szCs w:val="24"/>
          <w:highlight w:val="none"/>
          <w:lang w:val="en-US" w:eastAsia="zh-CN"/>
        </w:rPr>
      </w:pPr>
    </w:p>
    <w:p w14:paraId="15F02A69">
      <w:pPr>
        <w:numPr>
          <w:ilvl w:val="0"/>
          <w:numId w:val="0"/>
        </w:numPr>
        <w:rPr>
          <w:rFonts w:hint="default"/>
          <w:b/>
          <w:sz w:val="24"/>
          <w:szCs w:val="24"/>
          <w:highlight w:val="none"/>
          <w:lang w:val="en-US" w:eastAsia="zh-CN"/>
        </w:rPr>
      </w:pPr>
      <w:r>
        <w:rPr>
          <w:rFonts w:hint="eastAsia"/>
          <w:b/>
          <w:sz w:val="24"/>
          <w:szCs w:val="24"/>
          <w:highlight w:val="none"/>
          <w:lang w:val="en-US" w:eastAsia="zh-CN"/>
        </w:rPr>
        <w:t>合同概况页示例：</w:t>
      </w:r>
    </w:p>
    <w:p w14:paraId="2F1749A1">
      <w:pPr>
        <w:rPr>
          <w:rFonts w:hint="default"/>
          <w:highlight w:val="none"/>
          <w:lang w:val="en-US" w:eastAsia="zh-CN"/>
        </w:rPr>
      </w:pPr>
    </w:p>
    <w:p w14:paraId="69252FEE">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64E35CBC">
      <w:pPr>
        <w:numPr>
          <w:ilvl w:val="0"/>
          <w:numId w:val="0"/>
        </w:numPr>
        <w:rPr>
          <w:rFonts w:hint="default" w:ascii="宋体" w:hAnsi="宋体" w:eastAsia="宋体" w:cs="宋体"/>
          <w:bCs/>
          <w:sz w:val="28"/>
          <w:szCs w:val="28"/>
          <w:highlight w:val="none"/>
          <w:lang w:val="en-US" w:eastAsia="zh-CN"/>
        </w:rPr>
      </w:pPr>
    </w:p>
    <w:p w14:paraId="0DA606EE">
      <w:pPr>
        <w:numPr>
          <w:ilvl w:val="0"/>
          <w:numId w:val="0"/>
        </w:numPr>
        <w:rPr>
          <w:rFonts w:hint="eastAsia"/>
          <w:b/>
          <w:sz w:val="24"/>
          <w:szCs w:val="24"/>
          <w:highlight w:val="none"/>
          <w:lang w:val="en-US" w:eastAsia="zh-CN"/>
        </w:rPr>
      </w:pPr>
    </w:p>
    <w:p w14:paraId="0BA99136">
      <w:pPr>
        <w:numPr>
          <w:ilvl w:val="0"/>
          <w:numId w:val="0"/>
        </w:numPr>
        <w:rPr>
          <w:rFonts w:hint="default" w:ascii="宋体" w:hAnsi="宋体" w:eastAsia="宋体" w:cs="宋体"/>
          <w:bCs/>
          <w:sz w:val="28"/>
          <w:szCs w:val="28"/>
          <w:highlight w:val="none"/>
          <w:lang w:val="en-US" w:eastAsia="zh-CN"/>
        </w:rPr>
      </w:pPr>
      <w:r>
        <w:rPr>
          <w:rFonts w:hint="eastAsia"/>
          <w:b/>
          <w:sz w:val="24"/>
          <w:szCs w:val="24"/>
          <w:highlight w:val="none"/>
          <w:lang w:val="en-US" w:eastAsia="zh-CN"/>
        </w:rPr>
        <w:t>合同双方盖章落款页示例：</w:t>
      </w:r>
    </w:p>
    <w:p w14:paraId="55E3F483">
      <w:pPr>
        <w:rPr>
          <w:rFonts w:hint="default"/>
          <w:highlight w:val="none"/>
          <w:lang w:val="en-US" w:eastAsia="zh-CN"/>
        </w:rPr>
      </w:pPr>
    </w:p>
    <w:p w14:paraId="4A093A89">
      <w:pPr>
        <w:pStyle w:val="5"/>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baseline"/>
        <w:rPr>
          <w:highlight w:val="none"/>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highlight w:val="none"/>
        </w:rP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228D35AB">
      <w:pPr>
        <w:pStyle w:val="4"/>
        <w:spacing w:before="100" w:after="100" w:line="360" w:lineRule="auto"/>
        <w:rPr>
          <w:rFonts w:hint="eastAsia" w:ascii="宋体" w:hAnsi="宋体" w:eastAsia="宋体"/>
          <w:sz w:val="28"/>
          <w:lang w:val="en-US" w:eastAsia="zh-CN"/>
        </w:rPr>
      </w:pPr>
      <w:bookmarkStart w:id="60" w:name="_Toc7304"/>
      <w:bookmarkStart w:id="61" w:name="_Toc5662"/>
      <w:bookmarkStart w:id="62" w:name="_Toc10726"/>
      <w:bookmarkStart w:id="63" w:name="_Toc32145"/>
      <w:bookmarkStart w:id="64" w:name="_Toc3193"/>
      <w:bookmarkStart w:id="65" w:name="_Toc29470"/>
      <w:bookmarkStart w:id="66" w:name="_Toc2576"/>
      <w:bookmarkStart w:id="67" w:name="_Toc9094"/>
      <w:bookmarkStart w:id="68" w:name="_Toc5278"/>
      <w:bookmarkStart w:id="69" w:name="_Toc22499"/>
      <w:bookmarkStart w:id="70" w:name="_Toc6669"/>
      <w:bookmarkStart w:id="71" w:name="_Toc30192"/>
      <w:bookmarkStart w:id="72" w:name="_Toc24446"/>
      <w:bookmarkStart w:id="73" w:name="_Toc500"/>
      <w:bookmarkStart w:id="74" w:name="_Toc113"/>
      <w:bookmarkStart w:id="75" w:name="_Toc16860"/>
      <w:r>
        <w:rPr>
          <w:rFonts w:hint="eastAsia" w:ascii="宋体" w:hAnsi="宋体" w:eastAsia="宋体"/>
          <w:sz w:val="28"/>
          <w:lang w:val="en-US" w:eastAsia="zh-CN"/>
        </w:rPr>
        <w:t>1.</w:t>
      </w:r>
      <w:bookmarkEnd w:id="60"/>
      <w:bookmarkEnd w:id="61"/>
      <w:bookmarkEnd w:id="62"/>
      <w:bookmarkStart w:id="76" w:name="_Toc17294"/>
      <w:bookmarkStart w:id="77" w:name="_Toc28886"/>
      <w:bookmarkStart w:id="78" w:name="_Toc29247"/>
      <w:r>
        <w:rPr>
          <w:rFonts w:hint="eastAsia" w:ascii="宋体" w:hAnsi="宋体"/>
          <w:sz w:val="28"/>
          <w:lang w:val="en-US" w:eastAsia="zh-CN"/>
        </w:rPr>
        <w:t>3.3</w:t>
      </w:r>
      <w:r>
        <w:rPr>
          <w:rFonts w:hint="eastAsia" w:ascii="宋体" w:hAnsi="宋体" w:eastAsia="宋体"/>
          <w:sz w:val="28"/>
          <w:lang w:val="en-US" w:eastAsia="zh-CN"/>
        </w:rPr>
        <w:t>信用信息</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36FFA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14:paraId="7FE689DA">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14:paraId="423049B0">
      <w:pPr>
        <w:numPr>
          <w:ilvl w:val="0"/>
          <w:numId w:val="0"/>
        </w:numPr>
        <w:rPr>
          <w:rFonts w:hint="default"/>
          <w:b/>
          <w:color w:val="auto"/>
          <w:sz w:val="24"/>
          <w:szCs w:val="24"/>
          <w:lang w:val="en-US" w:eastAsia="zh-CN"/>
        </w:rPr>
      </w:pPr>
      <w:r>
        <w:rPr>
          <w:rFonts w:hint="eastAsia"/>
          <w:b/>
          <w:color w:val="auto"/>
          <w:sz w:val="24"/>
          <w:szCs w:val="24"/>
          <w:lang w:val="en-US" w:eastAsia="zh-CN"/>
        </w:rPr>
        <w:t>示例：</w:t>
      </w:r>
    </w:p>
    <w:p w14:paraId="0E7F6FEB">
      <w:pPr>
        <w:pStyle w:val="4"/>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14:paraId="32BD8D05">
      <w:pPr>
        <w:pStyle w:val="18"/>
        <w:rPr>
          <w:rFonts w:hint="eastAsia"/>
          <w:lang w:val="en-US" w:eastAsia="zh-CN"/>
        </w:rPr>
        <w:sectPr>
          <w:pgSz w:w="11906" w:h="16838"/>
          <w:pgMar w:top="1304" w:right="1531" w:bottom="1247" w:left="1531" w:header="851" w:footer="992" w:gutter="0"/>
          <w:cols w:space="425" w:num="1"/>
          <w:docGrid w:type="lines" w:linePitch="312" w:charSpace="0"/>
        </w:sectPr>
      </w:pPr>
    </w:p>
    <w:p w14:paraId="17F03B82">
      <w:pPr>
        <w:pStyle w:val="4"/>
        <w:spacing w:before="100" w:after="100" w:line="360" w:lineRule="auto"/>
        <w:rPr>
          <w:rFonts w:hint="eastAsia" w:ascii="宋体" w:hAnsi="宋体" w:eastAsia="宋体"/>
          <w:sz w:val="28"/>
          <w:lang w:val="en-US" w:eastAsia="zh-CN"/>
        </w:rPr>
      </w:pPr>
      <w:bookmarkStart w:id="79" w:name="_Toc20437"/>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79"/>
    </w:p>
    <w:p w14:paraId="584D9B4E">
      <w:pPr>
        <w:keepLines/>
        <w:widowControl/>
        <w:spacing w:line="360" w:lineRule="auto"/>
        <w:jc w:val="center"/>
        <w:rPr>
          <w:rFonts w:ascii="宋体" w:hAnsi="宋体"/>
          <w:sz w:val="24"/>
        </w:rPr>
      </w:pPr>
    </w:p>
    <w:p w14:paraId="3BF03681">
      <w:pPr>
        <w:pStyle w:val="5"/>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珠海正方产业开发运营有限公司</w:t>
      </w:r>
    </w:p>
    <w:p w14:paraId="06CCA685">
      <w:pPr>
        <w:pStyle w:val="5"/>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14:paraId="0EA181A3">
      <w:pPr>
        <w:pStyle w:val="5"/>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14:paraId="60E690A3">
      <w:pPr>
        <w:pStyle w:val="5"/>
        <w:keepLines/>
        <w:widowControl/>
        <w:snapToGrid w:val="0"/>
        <w:spacing w:line="360" w:lineRule="auto"/>
        <w:ind w:firstLine="0"/>
        <w:rPr>
          <w:rFonts w:hAnsi="宋体"/>
          <w:bCs/>
          <w:sz w:val="24"/>
          <w:szCs w:val="24"/>
        </w:rPr>
      </w:pPr>
    </w:p>
    <w:p w14:paraId="3E0355F1">
      <w:pPr>
        <w:pStyle w:val="5"/>
        <w:keepLines/>
        <w:widowControl/>
        <w:snapToGrid w:val="0"/>
        <w:spacing w:line="360" w:lineRule="auto"/>
        <w:ind w:firstLine="0"/>
        <w:rPr>
          <w:rFonts w:hAnsi="宋体"/>
          <w:bCs/>
          <w:sz w:val="24"/>
          <w:szCs w:val="24"/>
        </w:rPr>
      </w:pPr>
      <w:r>
        <w:rPr>
          <w:rFonts w:hint="eastAsia" w:hAnsi="宋体"/>
          <w:bCs/>
          <w:sz w:val="24"/>
          <w:szCs w:val="24"/>
        </w:rPr>
        <w:t>注：</w:t>
      </w:r>
    </w:p>
    <w:p w14:paraId="481B0618">
      <w:pPr>
        <w:pStyle w:val="5"/>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14:paraId="37CCEDA4">
      <w:pPr>
        <w:pStyle w:val="5"/>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14:paraId="126135FF">
      <w:pPr>
        <w:spacing w:line="360" w:lineRule="auto"/>
        <w:rPr>
          <w:rFonts w:ascii="宋体" w:hAnsi="宋体"/>
          <w:sz w:val="24"/>
        </w:rPr>
      </w:pPr>
    </w:p>
    <w:p w14:paraId="3FE95707">
      <w:pPr>
        <w:spacing w:line="360" w:lineRule="auto"/>
        <w:rPr>
          <w:rFonts w:ascii="宋体" w:hAnsi="宋体"/>
          <w:sz w:val="24"/>
        </w:rPr>
      </w:pPr>
    </w:p>
    <w:p w14:paraId="765F5103">
      <w:pPr>
        <w:spacing w:line="360" w:lineRule="auto"/>
        <w:rPr>
          <w:rFonts w:ascii="宋体" w:hAnsi="宋体"/>
          <w:sz w:val="24"/>
        </w:rPr>
      </w:pPr>
    </w:p>
    <w:p w14:paraId="5540B083">
      <w:pPr>
        <w:spacing w:line="360" w:lineRule="auto"/>
        <w:rPr>
          <w:rFonts w:ascii="宋体" w:hAnsi="宋体"/>
          <w:sz w:val="24"/>
        </w:rPr>
      </w:pPr>
    </w:p>
    <w:p w14:paraId="26FC0768">
      <w:pPr>
        <w:spacing w:line="360" w:lineRule="auto"/>
        <w:rPr>
          <w:rFonts w:ascii="宋体" w:hAnsi="宋体"/>
          <w:sz w:val="24"/>
        </w:rPr>
      </w:pPr>
    </w:p>
    <w:p w14:paraId="2B47873A">
      <w:pPr>
        <w:spacing w:line="360" w:lineRule="auto"/>
        <w:rPr>
          <w:rFonts w:ascii="宋体" w:hAnsi="宋体"/>
          <w:sz w:val="24"/>
        </w:rPr>
      </w:pPr>
    </w:p>
    <w:p w14:paraId="081CFBB0">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4C0D6691">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261D9C56">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0AFD964A">
      <w:pPr>
        <w:numPr>
          <w:ilvl w:val="0"/>
          <w:numId w:val="0"/>
        </w:numPr>
        <w:rPr>
          <w:rFonts w:hint="eastAsia"/>
        </w:rPr>
      </w:pPr>
    </w:p>
    <w:bookmarkEnd w:id="5"/>
    <w:bookmarkEnd w:id="6"/>
    <w:p w14:paraId="70A22297">
      <w:pPr>
        <w:pStyle w:val="18"/>
        <w:rPr>
          <w:rFonts w:hint="default"/>
          <w:lang w:val="en-US" w:eastAsia="zh-CN"/>
        </w:rPr>
      </w:pPr>
    </w:p>
    <w:p w14:paraId="5CC2D3B5">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80" w:name="_Toc12992"/>
      <w:bookmarkStart w:id="81" w:name="_Toc202251703"/>
      <w:bookmarkStart w:id="82" w:name="_Toc202820355"/>
      <w:bookmarkStart w:id="83" w:name="_Toc276645592"/>
      <w:bookmarkStart w:id="84" w:name="_Toc259090996"/>
      <w:bookmarkStart w:id="85" w:name="_Toc202251078"/>
      <w:bookmarkStart w:id="86" w:name="_Toc21572"/>
      <w:bookmarkStart w:id="87" w:name="_Toc29543"/>
      <w:bookmarkStart w:id="88" w:name="_Toc202252037"/>
      <w:bookmarkStart w:id="89" w:name="_Toc202254108"/>
      <w:bookmarkStart w:id="90" w:name="_Toc3330"/>
      <w:bookmarkStart w:id="91" w:name="_Toc503427721"/>
      <w:bookmarkStart w:id="92" w:name="_Toc202817000"/>
      <w:bookmarkStart w:id="93" w:name="_Toc24253"/>
      <w:bookmarkStart w:id="94" w:name="_Toc202819882"/>
      <w:r>
        <w:rPr>
          <w:rFonts w:hint="eastAsia" w:ascii="黑体" w:hAnsi="黑体" w:cs="黑体"/>
          <w:b/>
          <w:bCs w:val="0"/>
          <w:sz w:val="28"/>
          <w:szCs w:val="28"/>
          <w:lang w:val="en-US" w:eastAsia="zh-CN"/>
        </w:rPr>
        <w:br w:type="page"/>
      </w:r>
    </w:p>
    <w:p w14:paraId="5C05CF9F">
      <w:pPr>
        <w:rPr>
          <w:rFonts w:hint="eastAsia"/>
          <w:lang w:val="en-US" w:eastAsia="zh-CN"/>
        </w:rPr>
      </w:pPr>
    </w:p>
    <w:p w14:paraId="4B8E8A97">
      <w:pPr>
        <w:pStyle w:val="3"/>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50AFE22">
      <w:pPr>
        <w:pStyle w:val="4"/>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14:paraId="75469FD3">
      <w:pPr>
        <w:spacing w:line="360" w:lineRule="auto"/>
        <w:rPr>
          <w:rFonts w:hint="default" w:ascii="Times New Roman" w:hAnsi="Times New Roman" w:eastAsia="宋体" w:cs="Times New Roman"/>
          <w:color w:val="auto"/>
          <w:sz w:val="24"/>
          <w:szCs w:val="24"/>
        </w:rPr>
      </w:pPr>
      <w:permStart w:id="7" w:edGrp="everyone"/>
      <w:r>
        <w:rPr>
          <w:rFonts w:hint="eastAsia" w:cs="Times New Roman"/>
          <w:color w:val="auto"/>
          <w:sz w:val="24"/>
          <w:szCs w:val="24"/>
          <w:lang w:eastAsia="zh-CN"/>
        </w:rPr>
        <w:t>（</w:t>
      </w:r>
      <w:r>
        <w:rPr>
          <w:rFonts w:hint="eastAsia" w:cs="Times New Roman"/>
          <w:color w:val="auto"/>
          <w:sz w:val="24"/>
          <w:szCs w:val="24"/>
          <w:lang w:val="en-US" w:eastAsia="zh-CN"/>
        </w:rPr>
        <w:t>珠海正方产业开发运营有限公司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7"/>
    <w:p w14:paraId="6B8D11D5">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8"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val="en-US" w:eastAsia="zh-CN"/>
        </w:rPr>
        <w:t>香洲创港中心项目招商中心展厅沙盘模型翻新服务（第二次）</w:t>
      </w:r>
      <w:r>
        <w:rPr>
          <w:rFonts w:hint="default" w:ascii="Times New Roman" w:hAnsi="Times New Roman" w:eastAsia="宋体" w:cs="Times New Roman"/>
          <w:bCs/>
          <w:color w:val="auto"/>
          <w:sz w:val="24"/>
          <w:szCs w:val="24"/>
          <w:u w:val="single"/>
          <w:lang w:val="en-US" w:eastAsia="zh-CN"/>
        </w:rPr>
        <w:t xml:space="preserve"> </w:t>
      </w:r>
      <w:permEnd w:id="8"/>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14:paraId="66AB5F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14:paraId="2F5143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14:paraId="1EBBD7A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14:paraId="52465AF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14:paraId="73F726E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14:paraId="6233ADF7">
      <w:pPr>
        <w:pStyle w:val="19"/>
        <w:spacing w:line="360" w:lineRule="auto"/>
        <w:ind w:firstLine="480" w:firstLineChars="200"/>
        <w:rPr>
          <w:rFonts w:hint="default" w:ascii="Times New Roman" w:hAnsi="Times New Roman" w:eastAsia="宋体" w:cs="Times New Roman"/>
          <w:color w:val="auto"/>
          <w:sz w:val="24"/>
          <w:szCs w:val="24"/>
        </w:rPr>
      </w:pPr>
    </w:p>
    <w:p w14:paraId="5135DCAA">
      <w:pPr>
        <w:pStyle w:val="19"/>
        <w:spacing w:line="360" w:lineRule="auto"/>
        <w:ind w:firstLine="480" w:firstLineChars="200"/>
        <w:rPr>
          <w:rFonts w:hint="default" w:ascii="Times New Roman" w:hAnsi="Times New Roman" w:eastAsia="宋体" w:cs="Times New Roman"/>
          <w:color w:val="auto"/>
          <w:sz w:val="24"/>
          <w:szCs w:val="24"/>
        </w:rPr>
      </w:pPr>
    </w:p>
    <w:p w14:paraId="03DB5353">
      <w:pPr>
        <w:pStyle w:val="19"/>
        <w:spacing w:line="360" w:lineRule="auto"/>
        <w:ind w:firstLine="480" w:firstLineChars="200"/>
        <w:rPr>
          <w:rFonts w:hint="default" w:ascii="Times New Roman" w:hAnsi="Times New Roman" w:eastAsia="宋体" w:cs="Times New Roman"/>
          <w:color w:val="auto"/>
          <w:sz w:val="24"/>
          <w:szCs w:val="24"/>
        </w:rPr>
      </w:pPr>
    </w:p>
    <w:p w14:paraId="482C8918">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3D1E580C">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601A8D93">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4EB0E074">
      <w:pPr>
        <w:pStyle w:val="19"/>
        <w:spacing w:line="360" w:lineRule="auto"/>
        <w:ind w:firstLine="480" w:firstLineChars="200"/>
        <w:rPr>
          <w:rFonts w:hint="default" w:ascii="Times New Roman" w:hAnsi="Times New Roman" w:eastAsia="宋体" w:cs="Times New Roman"/>
          <w:color w:val="auto"/>
          <w:sz w:val="24"/>
          <w:szCs w:val="24"/>
        </w:rPr>
      </w:pPr>
    </w:p>
    <w:p w14:paraId="287A5B10">
      <w:pPr>
        <w:pStyle w:val="19"/>
        <w:spacing w:line="360" w:lineRule="auto"/>
        <w:ind w:firstLine="420" w:firstLineChars="200"/>
        <w:rPr>
          <w:rFonts w:hint="default" w:ascii="Times New Roman" w:hAnsi="Times New Roman" w:eastAsia="仿宋" w:cs="Times New Roman"/>
          <w:color w:val="auto"/>
          <w:lang w:val="zh-CN"/>
        </w:rPr>
      </w:pPr>
    </w:p>
    <w:p w14:paraId="7904ECCF">
      <w:pPr>
        <w:rPr>
          <w:rFonts w:hint="eastAsia" w:cs="Times New Roman"/>
          <w:color w:val="auto"/>
          <w:sz w:val="32"/>
          <w:szCs w:val="32"/>
          <w:lang w:val="en-US" w:eastAsia="zh-CN"/>
        </w:rPr>
      </w:pPr>
      <w:r>
        <w:rPr>
          <w:rFonts w:hint="eastAsia" w:cs="Times New Roman"/>
          <w:color w:val="auto"/>
          <w:sz w:val="32"/>
          <w:szCs w:val="32"/>
          <w:lang w:val="en-US" w:eastAsia="zh-CN"/>
        </w:rPr>
        <w:br w:type="page"/>
      </w:r>
    </w:p>
    <w:p w14:paraId="0FECB00A">
      <w:pPr>
        <w:pStyle w:val="4"/>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14:paraId="5EB776FF">
      <w:pPr>
        <w:spacing w:line="360" w:lineRule="auto"/>
        <w:rPr>
          <w:rFonts w:hint="default" w:ascii="Times New Roman" w:hAnsi="Times New Roman" w:eastAsia="宋体" w:cs="Times New Roman"/>
          <w:color w:val="auto"/>
          <w:sz w:val="24"/>
          <w:szCs w:val="24"/>
        </w:rPr>
      </w:pPr>
      <w:permStart w:id="9" w:edGrp="everyone"/>
      <w:r>
        <w:rPr>
          <w:rFonts w:hint="eastAsia" w:cs="Times New Roman"/>
          <w:color w:val="auto"/>
          <w:sz w:val="24"/>
          <w:szCs w:val="24"/>
          <w:lang w:eastAsia="zh-CN"/>
        </w:rPr>
        <w:t>（</w:t>
      </w:r>
      <w:r>
        <w:rPr>
          <w:rFonts w:hint="eastAsia" w:cs="Times New Roman"/>
          <w:color w:val="auto"/>
          <w:sz w:val="24"/>
          <w:szCs w:val="24"/>
          <w:lang w:val="en-US" w:eastAsia="zh-CN"/>
        </w:rPr>
        <w:t>珠海正方产业开发运营有限公司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9"/>
    <w:p w14:paraId="312EC4F3">
      <w:pPr>
        <w:keepNext w:val="0"/>
        <w:keepLines w:val="0"/>
        <w:pageBreakBefore w:val="0"/>
        <w:widowControl w:val="0"/>
        <w:kinsoku/>
        <w:wordWrap w:val="0"/>
        <w:overflowPunct/>
        <w:topLinePunct w:val="0"/>
        <w:autoSpaceDE/>
        <w:autoSpaceDN/>
        <w:bidi w:val="0"/>
        <w:adjustRightInd/>
        <w:snapToGrid/>
        <w:spacing w:line="480" w:lineRule="auto"/>
        <w:ind w:firstLine="480" w:firstLineChars="200"/>
        <w:textAlignment w:val="auto"/>
        <w:rPr>
          <w:rFonts w:hint="eastAsia" w:cs="Times New Roman"/>
          <w:color w:val="auto"/>
          <w:sz w:val="24"/>
          <w:szCs w:val="24"/>
          <w:lang w:eastAsia="zh-CN"/>
        </w:rPr>
      </w:pPr>
      <w:r>
        <w:rPr>
          <w:rFonts w:hint="default" w:ascii="Times New Roman" w:hAnsi="Times New Roman" w:eastAsia="宋体" w:cs="Times New Roman"/>
          <w:color w:val="auto"/>
          <w:sz w:val="24"/>
          <w:szCs w:val="24"/>
        </w:rPr>
        <w:t>根据已收到的</w:t>
      </w:r>
      <w:r>
        <w:rPr>
          <w:rFonts w:hint="eastAsia" w:cs="Times New Roman"/>
          <w:color w:val="auto"/>
          <w:sz w:val="24"/>
          <w:szCs w:val="24"/>
          <w:u w:val="single"/>
          <w:lang w:val="en-US" w:eastAsia="zh-CN"/>
        </w:rPr>
        <w:t>香洲创港中心项目招商中心展厅沙盘模型翻新服务（第二次）</w:t>
      </w:r>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default" w:ascii="Times New Roman" w:hAnsi="Times New Roman" w:eastAsia="宋体" w:cs="Times New Roman"/>
          <w:color w:val="auto"/>
          <w:sz w:val="24"/>
          <w:szCs w:val="24"/>
          <w:u w:val="single"/>
        </w:rPr>
        <w:t xml:space="preserve">            </w:t>
      </w:r>
      <w:r>
        <w:rPr>
          <w:rFonts w:hint="eastAsia"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元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元）承接</w:t>
      </w:r>
      <w:permStart w:id="10" w:edGrp="everyone"/>
      <w:r>
        <w:rPr>
          <w:rFonts w:hint="eastAsia" w:cs="Times New Roman"/>
          <w:color w:val="auto"/>
          <w:sz w:val="24"/>
          <w:szCs w:val="24"/>
          <w:lang w:val="en-US" w:eastAsia="zh-CN"/>
        </w:rPr>
        <w:t>香洲创港中心项目招商中心展厅沙盘模型翻新服务（第二次）</w:t>
      </w:r>
      <w:r>
        <w:rPr>
          <w:rFonts w:hint="default" w:ascii="Times New Roman" w:hAnsi="Times New Roman" w:eastAsia="宋体" w:cs="Times New Roman"/>
          <w:color w:val="auto"/>
          <w:sz w:val="24"/>
          <w:szCs w:val="24"/>
          <w:lang w:val="en-US" w:eastAsia="zh-CN"/>
        </w:rPr>
        <w:t xml:space="preserve"> </w:t>
      </w:r>
      <w:permEnd w:id="10"/>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p>
    <w:p w14:paraId="0C302218">
      <w:pPr>
        <w:spacing w:line="48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注：所有报价均为含税价，增值税税率为</w:t>
      </w:r>
      <w:r>
        <w:rPr>
          <w:rFonts w:hint="eastAsia"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专用</w:t>
      </w:r>
      <w:r>
        <w:rPr>
          <w:rFonts w:hint="eastAsia" w:ascii="Times New Roman" w:hAnsi="Times New Roman" w:eastAsia="宋体" w:cs="Times New Roman"/>
          <w:color w:val="auto"/>
          <w:sz w:val="24"/>
          <w:szCs w:val="24"/>
        </w:rPr>
        <w:t>发票）。</w:t>
      </w:r>
      <w:r>
        <w:rPr>
          <w:rFonts w:hint="eastAsia" w:ascii="Times New Roman" w:hAnsi="Times New Roman" w:eastAsia="宋体" w:cs="Times New Roman"/>
          <w:color w:val="auto"/>
          <w:sz w:val="24"/>
          <w:szCs w:val="24"/>
          <w:lang w:val="en-US" w:eastAsia="zh-CN"/>
        </w:rPr>
        <w:t>单项报价请在《</w:t>
      </w:r>
      <w:r>
        <w:rPr>
          <w:rFonts w:hint="eastAsia" w:cs="Times New Roman"/>
          <w:color w:val="auto"/>
          <w:sz w:val="24"/>
          <w:szCs w:val="24"/>
          <w:u w:val="none"/>
          <w:lang w:val="en-US" w:eastAsia="zh-CN"/>
        </w:rPr>
        <w:t>香洲创港中心项目招商中心展厅沙盘模型翻新服务（第二次）报价明细</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u w:val="none"/>
          <w:lang w:val="en-US" w:eastAsia="zh-CN"/>
        </w:rPr>
        <w:t>中</w:t>
      </w:r>
      <w:r>
        <w:rPr>
          <w:rFonts w:hint="eastAsia" w:ascii="Times New Roman" w:hAnsi="Times New Roman" w:eastAsia="宋体" w:cs="Times New Roman"/>
          <w:color w:val="auto"/>
          <w:sz w:val="24"/>
          <w:szCs w:val="24"/>
          <w:lang w:val="en-US" w:eastAsia="zh-CN"/>
        </w:rPr>
        <w:t>明确。</w:t>
      </w:r>
    </w:p>
    <w:p w14:paraId="7A07DE63">
      <w:pPr>
        <w:spacing w:line="336" w:lineRule="auto"/>
        <w:rPr>
          <w:rFonts w:hint="eastAsia" w:cs="Times New Roman"/>
          <w:color w:val="auto"/>
          <w:sz w:val="28"/>
          <w:szCs w:val="28"/>
          <w:highlight w:val="none"/>
          <w:lang w:eastAsia="zh-CN"/>
        </w:rPr>
      </w:pPr>
    </w:p>
    <w:p w14:paraId="7A54E7B7">
      <w:pPr>
        <w:spacing w:line="336" w:lineRule="auto"/>
        <w:rPr>
          <w:rFonts w:hint="eastAsia" w:cs="Times New Roman"/>
          <w:color w:val="auto"/>
          <w:sz w:val="28"/>
          <w:szCs w:val="28"/>
          <w:highlight w:val="none"/>
          <w:lang w:eastAsia="zh-CN"/>
        </w:rPr>
      </w:pPr>
    </w:p>
    <w:p w14:paraId="664C9A2E">
      <w:pPr>
        <w:spacing w:line="336" w:lineRule="auto"/>
        <w:rPr>
          <w:rFonts w:hint="eastAsia" w:cs="Times New Roman"/>
          <w:color w:val="auto"/>
          <w:sz w:val="28"/>
          <w:szCs w:val="28"/>
          <w:highlight w:val="none"/>
          <w:lang w:eastAsia="zh-CN"/>
        </w:rPr>
      </w:pPr>
    </w:p>
    <w:p w14:paraId="741C9C52">
      <w:pPr>
        <w:spacing w:line="336" w:lineRule="auto"/>
        <w:rPr>
          <w:rFonts w:hint="default" w:ascii="Times New Roman" w:hAnsi="Times New Roman" w:eastAsia="宋体" w:cs="Times New Roman"/>
          <w:color w:val="auto"/>
          <w:sz w:val="28"/>
          <w:szCs w:val="28"/>
          <w:highlight w:val="none"/>
        </w:rPr>
      </w:pPr>
    </w:p>
    <w:p w14:paraId="6A44FF2B">
      <w:pPr>
        <w:pStyle w:val="19"/>
        <w:rPr>
          <w:rFonts w:hint="default" w:ascii="Times New Roman" w:hAnsi="Times New Roman" w:eastAsia="宋体" w:cs="Times New Roman"/>
          <w:color w:val="auto"/>
          <w:highlight w:val="none"/>
        </w:rPr>
      </w:pPr>
    </w:p>
    <w:p w14:paraId="60BFEFC7">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14:paraId="2198A61C">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p>
    <w:p w14:paraId="111B7EEA">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14:paraId="5B6C15AC">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p>
    <w:p w14:paraId="740BA541">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14:paraId="1121CD7E">
      <w:pPr>
        <w:spacing w:line="360" w:lineRule="auto"/>
        <w:ind w:firstLine="480" w:firstLineChars="200"/>
        <w:rPr>
          <w:rFonts w:hint="eastAsia" w:cs="Times New Roman"/>
          <w:color w:val="auto"/>
          <w:sz w:val="24"/>
          <w:szCs w:val="24"/>
          <w:lang w:val="en-US" w:eastAsia="zh-CN"/>
        </w:rPr>
      </w:pPr>
    </w:p>
    <w:p w14:paraId="5848773B">
      <w:pPr>
        <w:spacing w:line="360" w:lineRule="auto"/>
        <w:ind w:firstLine="480" w:firstLineChars="200"/>
        <w:rPr>
          <w:rFonts w:hint="eastAsia" w:cs="Times New Roman"/>
          <w:color w:val="auto"/>
          <w:sz w:val="24"/>
          <w:szCs w:val="24"/>
          <w:lang w:val="en-US" w:eastAsia="zh-CN"/>
        </w:rPr>
      </w:pPr>
    </w:p>
    <w:p w14:paraId="0C228E93">
      <w:pPr>
        <w:spacing w:line="360" w:lineRule="auto"/>
        <w:ind w:firstLine="480" w:firstLineChars="200"/>
        <w:rPr>
          <w:rFonts w:hint="eastAsia" w:cs="Times New Roman"/>
          <w:color w:val="auto"/>
          <w:sz w:val="24"/>
          <w:szCs w:val="24"/>
          <w:lang w:val="en-US" w:eastAsia="zh-CN"/>
        </w:rPr>
      </w:pPr>
    </w:p>
    <w:p w14:paraId="11C3FB42">
      <w:pPr>
        <w:spacing w:line="360" w:lineRule="auto"/>
        <w:ind w:firstLine="480" w:firstLineChars="200"/>
        <w:rPr>
          <w:rFonts w:hint="eastAsia" w:cs="Times New Roman"/>
          <w:color w:val="auto"/>
          <w:sz w:val="24"/>
          <w:szCs w:val="24"/>
          <w:lang w:val="en-US" w:eastAsia="zh-CN"/>
        </w:rPr>
      </w:pPr>
    </w:p>
    <w:p w14:paraId="1CE4A2D2">
      <w:pPr>
        <w:spacing w:line="360" w:lineRule="auto"/>
        <w:ind w:firstLine="480" w:firstLineChars="200"/>
        <w:rPr>
          <w:rFonts w:hint="eastAsia" w:cs="Times New Roman"/>
          <w:color w:val="auto"/>
          <w:sz w:val="24"/>
          <w:szCs w:val="24"/>
          <w:lang w:val="en-US" w:eastAsia="zh-CN"/>
        </w:rPr>
      </w:pPr>
    </w:p>
    <w:p w14:paraId="1E23B7C1">
      <w:pPr>
        <w:spacing w:line="360" w:lineRule="auto"/>
        <w:ind w:firstLine="480" w:firstLineChars="200"/>
        <w:rPr>
          <w:rFonts w:hint="eastAsia" w:cs="Times New Roman"/>
          <w:color w:val="auto"/>
          <w:sz w:val="24"/>
          <w:szCs w:val="24"/>
          <w:lang w:val="en-US" w:eastAsia="zh-CN"/>
        </w:rPr>
      </w:pPr>
    </w:p>
    <w:p w14:paraId="1EFBE1CC">
      <w:pPr>
        <w:spacing w:line="360" w:lineRule="auto"/>
        <w:rPr>
          <w:rFonts w:hint="eastAsia" w:cs="Times New Roman"/>
          <w:color w:val="auto"/>
          <w:sz w:val="24"/>
          <w:szCs w:val="24"/>
          <w:lang w:val="en-US" w:eastAsia="zh-CN"/>
        </w:rPr>
      </w:pPr>
    </w:p>
    <w:p w14:paraId="4E6EA2EA">
      <w:pPr>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2.2.1《</w:t>
      </w:r>
      <w:r>
        <w:rPr>
          <w:rFonts w:hint="eastAsia" w:ascii="宋体" w:hAnsi="宋体" w:cs="宋体"/>
          <w:b/>
          <w:bCs/>
          <w:color w:val="auto"/>
          <w:sz w:val="28"/>
          <w:szCs w:val="28"/>
          <w:highlight w:val="none"/>
          <w:u w:val="none"/>
          <w:lang w:val="en-US" w:eastAsia="zh-CN"/>
        </w:rPr>
        <w:t>香洲创港中心项目招商中心展厅沙盘模型翻新服务（第二次）</w:t>
      </w:r>
      <w:r>
        <w:rPr>
          <w:rFonts w:hint="eastAsia" w:ascii="宋体" w:hAnsi="宋体" w:eastAsia="宋体" w:cs="宋体"/>
          <w:b/>
          <w:bCs/>
          <w:color w:val="auto"/>
          <w:sz w:val="28"/>
          <w:szCs w:val="28"/>
          <w:highlight w:val="none"/>
          <w:u w:val="none"/>
          <w:lang w:val="en-US" w:eastAsia="zh-CN"/>
        </w:rPr>
        <w:t>报价明细</w:t>
      </w:r>
      <w:r>
        <w:rPr>
          <w:rFonts w:hint="eastAsia" w:ascii="宋体" w:hAnsi="宋体" w:eastAsia="宋体" w:cs="宋体"/>
          <w:b/>
          <w:bCs/>
          <w:color w:val="auto"/>
          <w:sz w:val="28"/>
          <w:szCs w:val="28"/>
          <w:highlight w:val="none"/>
          <w:lang w:val="en-US" w:eastAsia="zh-CN"/>
        </w:rPr>
        <w:t>》</w:t>
      </w:r>
    </w:p>
    <w:tbl>
      <w:tblPr>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46"/>
        <w:gridCol w:w="672"/>
        <w:gridCol w:w="2719"/>
        <w:gridCol w:w="446"/>
        <w:gridCol w:w="474"/>
        <w:gridCol w:w="1159"/>
        <w:gridCol w:w="904"/>
        <w:gridCol w:w="919"/>
        <w:gridCol w:w="1228"/>
      </w:tblGrid>
      <w:tr w14:paraId="672EA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25F87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0" w:type="auto"/>
            <w:vMerge w:val="restart"/>
            <w:tcBorders>
              <w:top w:val="single" w:color="000000" w:sz="4" w:space="0"/>
              <w:left w:val="single" w:color="000000" w:sz="4" w:space="0"/>
              <w:bottom w:val="single" w:color="000000" w:sz="4" w:space="0"/>
              <w:right w:val="nil"/>
            </w:tcBorders>
            <w:shd w:val="clear"/>
            <w:vAlign w:val="center"/>
          </w:tcPr>
          <w:p w14:paraId="345C3A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分项名称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98CE3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项目要求</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6D493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43E5C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工程量</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2F204F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含税控制单价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（元）</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06AD6EC">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yellow"/>
                <w:u w:val="none"/>
              </w:rPr>
            </w:pP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含税投标单价</w:t>
            </w: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（元）</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58EDE489">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yellow"/>
                <w:u w:val="none"/>
              </w:rPr>
            </w:pP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 xml:space="preserve"> 含税投标小计</w:t>
            </w: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 xml:space="preserve">（元） </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8B1C9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备注</w:t>
            </w:r>
          </w:p>
        </w:tc>
      </w:tr>
      <w:tr w14:paraId="09C38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6DF6112">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nil"/>
            </w:tcBorders>
            <w:shd w:val="clear"/>
            <w:vAlign w:val="center"/>
          </w:tcPr>
          <w:p w14:paraId="43AB9868">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F857154">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427C244">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DF58351">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0ABBBD7">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C6EAAB5">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FA20182">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F9CA0D">
            <w:pPr>
              <w:jc w:val="center"/>
              <w:rPr>
                <w:rFonts w:hint="eastAsia" w:ascii="宋体" w:hAnsi="宋体" w:eastAsia="宋体" w:cs="宋体"/>
                <w:b/>
                <w:bCs/>
                <w:i w:val="0"/>
                <w:iCs w:val="0"/>
                <w:color w:val="000000"/>
                <w:sz w:val="20"/>
                <w:szCs w:val="20"/>
                <w:u w:val="none"/>
              </w:rPr>
            </w:pPr>
          </w:p>
        </w:tc>
      </w:tr>
      <w:tr w14:paraId="2E984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EFC0C69">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nil"/>
            </w:tcBorders>
            <w:shd w:val="clear"/>
            <w:vAlign w:val="center"/>
          </w:tcPr>
          <w:p w14:paraId="4847AA70">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AE1B898">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47CF5A6">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FEC8286">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829B200">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4FED521">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29E995E">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F876A8">
            <w:pPr>
              <w:jc w:val="center"/>
              <w:rPr>
                <w:rFonts w:hint="eastAsia" w:ascii="宋体" w:hAnsi="宋体" w:eastAsia="宋体" w:cs="宋体"/>
                <w:b/>
                <w:bCs/>
                <w:i w:val="0"/>
                <w:iCs w:val="0"/>
                <w:color w:val="000000"/>
                <w:sz w:val="20"/>
                <w:szCs w:val="20"/>
                <w:u w:val="none"/>
              </w:rPr>
            </w:pPr>
          </w:p>
        </w:tc>
      </w:tr>
      <w:tr w14:paraId="79136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60"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29C96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FE9F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电路与灯光系统检修</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36D362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1.建筑内部灯光：17栋、18栋正面立面编程灯光流动字体无法显示，需恢复。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（以上楼栋，报价仅包含因编程、线路、控制器、电源等原因造成的故障修复，不包含灯光系统整体故障需全面检修，甚至导致楼栋建筑需整体调整的情形。）</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1D8C0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0C383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26275A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3,000.00 </w:t>
            </w:r>
          </w:p>
        </w:tc>
        <w:tc>
          <w:tcPr>
            <w:tcW w:w="904" w:type="dxa"/>
            <w:tcBorders>
              <w:top w:val="single" w:color="000000" w:sz="4" w:space="0"/>
              <w:left w:val="single" w:color="000000" w:sz="4" w:space="0"/>
              <w:bottom w:val="single" w:color="000000" w:sz="4" w:space="0"/>
              <w:right w:val="single" w:color="000000" w:sz="4" w:space="0"/>
            </w:tcBorders>
            <w:shd w:val="clear"/>
            <w:vAlign w:val="center"/>
          </w:tcPr>
          <w:p w14:paraId="3C46E6B7">
            <w:pP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vAlign w:val="center"/>
          </w:tcPr>
          <w:p w14:paraId="1CCBA7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restart"/>
            <w:tcBorders>
              <w:top w:val="single" w:color="000000" w:sz="4" w:space="0"/>
              <w:left w:val="single" w:color="000000" w:sz="4" w:space="0"/>
              <w:bottom w:val="nil"/>
              <w:right w:val="single" w:color="000000" w:sz="4" w:space="0"/>
            </w:tcBorders>
            <w:shd w:val="clear"/>
            <w:vAlign w:val="center"/>
          </w:tcPr>
          <w:p w14:paraId="3A16E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1、承包方式：总价包干；</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2、质保期1年，质保与售后服务要求以任务书为准。</w:t>
            </w:r>
          </w:p>
        </w:tc>
      </w:tr>
      <w:tr w14:paraId="3C5B6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80"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78E74E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94763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106E3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2.建筑内部灯光：19 栋、21 栋建筑内部灯全不亮，全面排查线路、变压器、灯珠 / 灯带，全部修复点亮，恢复原分组控制逻辑。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（以上楼栋，报价仅包含因编程、线路、控制器、电源等原因造成的故障修复，不包含灯光系统整体故障需全面检修，甚至导致楼栋建筑需整体调整的情形。）</w:t>
            </w:r>
          </w:p>
        </w:tc>
        <w:tc>
          <w:tcPr>
            <w:tcW w:w="0" w:type="auto"/>
            <w:tcBorders>
              <w:top w:val="single" w:color="000000" w:sz="4" w:space="0"/>
              <w:left w:val="single" w:color="000000" w:sz="4" w:space="0"/>
              <w:bottom w:val="nil"/>
              <w:right w:val="single" w:color="000000" w:sz="4" w:space="0"/>
            </w:tcBorders>
            <w:shd w:val="clear"/>
            <w:vAlign w:val="center"/>
          </w:tcPr>
          <w:p w14:paraId="7504D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000000" w:sz="4" w:space="0"/>
              <w:left w:val="single" w:color="000000" w:sz="4" w:space="0"/>
              <w:bottom w:val="nil"/>
              <w:right w:val="single" w:color="000000" w:sz="4" w:space="0"/>
            </w:tcBorders>
            <w:shd w:val="clear"/>
            <w:vAlign w:val="center"/>
          </w:tcPr>
          <w:p w14:paraId="33F96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261FE0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1,500.00 </w:t>
            </w:r>
          </w:p>
        </w:tc>
        <w:tc>
          <w:tcPr>
            <w:tcW w:w="904" w:type="dxa"/>
            <w:tcBorders>
              <w:top w:val="single" w:color="000000" w:sz="4" w:space="0"/>
              <w:left w:val="single" w:color="000000" w:sz="4" w:space="0"/>
              <w:bottom w:val="single" w:color="000000" w:sz="4" w:space="0"/>
              <w:right w:val="single" w:color="000000" w:sz="4" w:space="0"/>
            </w:tcBorders>
            <w:shd w:val="clear"/>
            <w:vAlign w:val="center"/>
          </w:tcPr>
          <w:p w14:paraId="1CCCA437">
            <w:pP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vAlign w:val="center"/>
          </w:tcPr>
          <w:p w14:paraId="7E5606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0E4D32A5">
            <w:pPr>
              <w:jc w:val="left"/>
              <w:rPr>
                <w:rFonts w:hint="eastAsia" w:ascii="宋体" w:hAnsi="宋体" w:eastAsia="宋体" w:cs="宋体"/>
                <w:i w:val="0"/>
                <w:iCs w:val="0"/>
                <w:color w:val="000000"/>
                <w:sz w:val="20"/>
                <w:szCs w:val="20"/>
                <w:u w:val="none"/>
              </w:rPr>
            </w:pPr>
          </w:p>
        </w:tc>
      </w:tr>
      <w:tr w14:paraId="387DE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5"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127D9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1A91A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190E7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3.环境灯光检修：维护路灯、车灯、树灯、庭院灯、地灯，更换老化光源与故障线路，确保亮度均匀、无闪烁、无死灯。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4.电路安全整改：所有外露电线隐蔽收纳，规范走线、绝缘防护、固定牢靠，消除安全隐患，符合室内用电标准。</w:t>
            </w:r>
          </w:p>
        </w:tc>
        <w:tc>
          <w:tcPr>
            <w:tcW w:w="0" w:type="auto"/>
            <w:tcBorders>
              <w:top w:val="single" w:color="000000" w:sz="4" w:space="0"/>
              <w:left w:val="single" w:color="000000" w:sz="4" w:space="0"/>
              <w:bottom w:val="nil"/>
              <w:right w:val="single" w:color="000000" w:sz="4" w:space="0"/>
            </w:tcBorders>
            <w:shd w:val="clear"/>
            <w:vAlign w:val="center"/>
          </w:tcPr>
          <w:p w14:paraId="30984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000000" w:sz="4" w:space="0"/>
              <w:left w:val="single" w:color="000000" w:sz="4" w:space="0"/>
              <w:bottom w:val="nil"/>
              <w:right w:val="single" w:color="000000" w:sz="4" w:space="0"/>
            </w:tcBorders>
            <w:shd w:val="clear"/>
            <w:vAlign w:val="center"/>
          </w:tcPr>
          <w:p w14:paraId="529B8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6B9A7F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3,500.00 </w:t>
            </w:r>
          </w:p>
        </w:tc>
        <w:tc>
          <w:tcPr>
            <w:tcW w:w="904" w:type="dxa"/>
            <w:tcBorders>
              <w:top w:val="single" w:color="000000" w:sz="4" w:space="0"/>
              <w:left w:val="single" w:color="000000" w:sz="4" w:space="0"/>
              <w:bottom w:val="single" w:color="000000" w:sz="4" w:space="0"/>
              <w:right w:val="single" w:color="000000" w:sz="4" w:space="0"/>
            </w:tcBorders>
            <w:shd w:val="clear"/>
            <w:vAlign w:val="center"/>
          </w:tcPr>
          <w:p w14:paraId="4651CE88">
            <w:pP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vAlign w:val="center"/>
          </w:tcPr>
          <w:p w14:paraId="5B7CB1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71AA4381">
            <w:pPr>
              <w:jc w:val="left"/>
              <w:rPr>
                <w:rFonts w:hint="eastAsia" w:ascii="宋体" w:hAnsi="宋体" w:eastAsia="宋体" w:cs="宋体"/>
                <w:i w:val="0"/>
                <w:iCs w:val="0"/>
                <w:color w:val="000000"/>
                <w:sz w:val="20"/>
                <w:szCs w:val="20"/>
                <w:u w:val="none"/>
              </w:rPr>
            </w:pPr>
          </w:p>
        </w:tc>
      </w:tr>
      <w:tr w14:paraId="7E9D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40"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1ED7B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6087B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70868C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030879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none" w:color="auto" w:sz="0" w:space="0"/>
                <w:lang w:val="en-US" w:eastAsia="zh-CN" w:bidi="ar"/>
              </w:rPr>
            </w:pPr>
          </w:p>
          <w:p w14:paraId="2A3ED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97" w:name="_GoBack"/>
            <w:bookmarkEnd w:id="97"/>
            <w:r>
              <w:rPr>
                <w:rFonts w:hint="eastAsia" w:ascii="宋体" w:hAnsi="宋体" w:eastAsia="宋体" w:cs="宋体"/>
                <w:i w:val="0"/>
                <w:iCs w:val="0"/>
                <w:color w:val="000000"/>
                <w:kern w:val="0"/>
                <w:sz w:val="20"/>
                <w:szCs w:val="20"/>
                <w:u w:val="none"/>
                <w:bdr w:val="none" w:color="auto" w:sz="0" w:space="0"/>
                <w:lang w:val="en-US" w:eastAsia="zh-CN" w:bidi="ar"/>
              </w:rPr>
              <w:t>构筑物与道路校准优化</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6C389F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1.校准精神堡垒等构筑物位置，还原设计对位关系。</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2.遮蔽精神堡垒旁人行道开口，与周边道路、景观衔接自然。</w:t>
            </w:r>
          </w:p>
        </w:tc>
        <w:tc>
          <w:tcPr>
            <w:tcW w:w="0" w:type="auto"/>
            <w:tcBorders>
              <w:top w:val="single" w:color="000000" w:sz="4" w:space="0"/>
              <w:left w:val="single" w:color="000000" w:sz="4" w:space="0"/>
              <w:bottom w:val="single" w:color="auto" w:sz="4" w:space="0"/>
              <w:right w:val="single" w:color="000000" w:sz="4" w:space="0"/>
            </w:tcBorders>
            <w:shd w:val="clear"/>
            <w:vAlign w:val="center"/>
          </w:tcPr>
          <w:p w14:paraId="02BD1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000000" w:sz="4" w:space="0"/>
              <w:left w:val="single" w:color="000000" w:sz="4" w:space="0"/>
              <w:bottom w:val="single" w:color="auto" w:sz="4" w:space="0"/>
              <w:right w:val="single" w:color="000000" w:sz="4" w:space="0"/>
            </w:tcBorders>
            <w:shd w:val="clear"/>
            <w:vAlign w:val="center"/>
          </w:tcPr>
          <w:p w14:paraId="062FA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auto" w:sz="4" w:space="0"/>
              <w:right w:val="single" w:color="000000" w:sz="4" w:space="0"/>
            </w:tcBorders>
            <w:shd w:val="clear"/>
            <w:vAlign w:val="center"/>
          </w:tcPr>
          <w:p w14:paraId="51627A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1,500.00 </w:t>
            </w:r>
          </w:p>
        </w:tc>
        <w:tc>
          <w:tcPr>
            <w:tcW w:w="904" w:type="dxa"/>
            <w:tcBorders>
              <w:top w:val="single" w:color="000000" w:sz="4" w:space="0"/>
              <w:left w:val="single" w:color="000000" w:sz="4" w:space="0"/>
              <w:bottom w:val="single" w:color="000000" w:sz="4" w:space="0"/>
              <w:right w:val="single" w:color="000000" w:sz="4" w:space="0"/>
            </w:tcBorders>
            <w:shd w:val="clear"/>
            <w:vAlign w:val="center"/>
          </w:tcPr>
          <w:p w14:paraId="148E9CD7">
            <w:pP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vAlign w:val="center"/>
          </w:tcPr>
          <w:p w14:paraId="1476D0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1D2FF44F">
            <w:pPr>
              <w:jc w:val="left"/>
              <w:rPr>
                <w:rFonts w:hint="eastAsia" w:ascii="宋体" w:hAnsi="宋体" w:eastAsia="宋体" w:cs="宋体"/>
                <w:i w:val="0"/>
                <w:iCs w:val="0"/>
                <w:color w:val="000000"/>
                <w:sz w:val="20"/>
                <w:szCs w:val="20"/>
                <w:u w:val="none"/>
              </w:rPr>
            </w:pPr>
          </w:p>
        </w:tc>
      </w:tr>
      <w:tr w14:paraId="7BD8D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22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41EB9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88BB8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auto" w:sz="4" w:space="0"/>
            </w:tcBorders>
            <w:shd w:val="clear"/>
            <w:vAlign w:val="center"/>
          </w:tcPr>
          <w:p w14:paraId="67827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3.修正现有错误路名、新增路名立牌、山体步道指示牌、隧道指示立牌等，样式与沙盘风格协调，位置醒目合理。</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4.修正珠海大道互通立交车行路线位置关系。</w:t>
            </w:r>
          </w:p>
        </w:tc>
        <w:tc>
          <w:tcPr>
            <w:tcW w:w="0" w:type="auto"/>
            <w:tcBorders>
              <w:top w:val="single" w:color="auto" w:sz="4" w:space="0"/>
              <w:left w:val="single" w:color="auto" w:sz="4" w:space="0"/>
              <w:bottom w:val="single" w:color="auto" w:sz="4" w:space="0"/>
              <w:right w:val="single" w:color="auto" w:sz="4" w:space="0"/>
            </w:tcBorders>
            <w:shd w:val="clear"/>
            <w:vAlign w:val="center"/>
          </w:tcPr>
          <w:p w14:paraId="3C9C1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auto" w:sz="4" w:space="0"/>
              <w:left w:val="single" w:color="auto" w:sz="4" w:space="0"/>
              <w:bottom w:val="single" w:color="auto" w:sz="4" w:space="0"/>
              <w:right w:val="single" w:color="auto" w:sz="4" w:space="0"/>
            </w:tcBorders>
            <w:shd w:val="clear"/>
            <w:vAlign w:val="center"/>
          </w:tcPr>
          <w:p w14:paraId="237FC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vAlign w:val="center"/>
          </w:tcPr>
          <w:p w14:paraId="3A0CF18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1,500.00 </w:t>
            </w:r>
          </w:p>
        </w:tc>
        <w:tc>
          <w:tcPr>
            <w:tcW w:w="904" w:type="dxa"/>
            <w:tcBorders>
              <w:top w:val="single" w:color="000000" w:sz="4" w:space="0"/>
              <w:left w:val="single" w:color="auto" w:sz="4" w:space="0"/>
              <w:bottom w:val="single" w:color="000000" w:sz="4" w:space="0"/>
              <w:right w:val="single" w:color="000000" w:sz="4" w:space="0"/>
            </w:tcBorders>
            <w:shd w:val="clear"/>
            <w:vAlign w:val="center"/>
          </w:tcPr>
          <w:p w14:paraId="4F1F323D">
            <w:pP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vAlign w:val="center"/>
          </w:tcPr>
          <w:p w14:paraId="3FED2E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7ED24F5F">
            <w:pPr>
              <w:jc w:val="left"/>
              <w:rPr>
                <w:rFonts w:hint="eastAsia" w:ascii="宋体" w:hAnsi="宋体" w:eastAsia="宋体" w:cs="宋体"/>
                <w:i w:val="0"/>
                <w:iCs w:val="0"/>
                <w:color w:val="000000"/>
                <w:sz w:val="20"/>
                <w:szCs w:val="20"/>
                <w:u w:val="none"/>
              </w:rPr>
            </w:pPr>
          </w:p>
        </w:tc>
      </w:tr>
      <w:tr w14:paraId="0F15B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69B0F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93EB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景观植被全面翻新</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090A8F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1.草地整体翻新：除山体外，其他区域更换老化草皮，平整密实、色泽统一，无斑秃、无起翘。</w:t>
            </w:r>
          </w:p>
        </w:tc>
        <w:tc>
          <w:tcPr>
            <w:tcW w:w="0" w:type="auto"/>
            <w:tcBorders>
              <w:top w:val="single" w:color="auto" w:sz="4" w:space="0"/>
              <w:left w:val="single" w:color="000000" w:sz="4" w:space="0"/>
              <w:bottom w:val="nil"/>
              <w:right w:val="single" w:color="000000" w:sz="4" w:space="0"/>
            </w:tcBorders>
            <w:shd w:val="clear"/>
            <w:vAlign w:val="center"/>
          </w:tcPr>
          <w:p w14:paraId="64353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auto" w:sz="4" w:space="0"/>
              <w:left w:val="single" w:color="000000" w:sz="4" w:space="0"/>
              <w:bottom w:val="nil"/>
              <w:right w:val="single" w:color="000000" w:sz="4" w:space="0"/>
            </w:tcBorders>
            <w:shd w:val="clear"/>
            <w:vAlign w:val="center"/>
          </w:tcPr>
          <w:p w14:paraId="184AB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auto" w:sz="4" w:space="0"/>
              <w:left w:val="single" w:color="000000" w:sz="4" w:space="0"/>
              <w:bottom w:val="single" w:color="000000" w:sz="4" w:space="0"/>
              <w:right w:val="single" w:color="000000" w:sz="4" w:space="0"/>
            </w:tcBorders>
            <w:shd w:val="clear"/>
            <w:vAlign w:val="center"/>
          </w:tcPr>
          <w:p w14:paraId="192A102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21,000.00 </w:t>
            </w: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23FB7B29">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0A38DE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54DD9012">
            <w:pPr>
              <w:jc w:val="left"/>
              <w:rPr>
                <w:rFonts w:hint="eastAsia" w:ascii="宋体" w:hAnsi="宋体" w:eastAsia="宋体" w:cs="宋体"/>
                <w:i w:val="0"/>
                <w:iCs w:val="0"/>
                <w:color w:val="000000"/>
                <w:sz w:val="20"/>
                <w:szCs w:val="20"/>
                <w:u w:val="none"/>
              </w:rPr>
            </w:pPr>
          </w:p>
        </w:tc>
      </w:tr>
      <w:tr w14:paraId="22BAA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0" w:type="auto"/>
            <w:tcBorders>
              <w:top w:val="single" w:color="000000" w:sz="4" w:space="0"/>
              <w:left w:val="single" w:color="000000" w:sz="4" w:space="0"/>
              <w:bottom w:val="nil"/>
              <w:right w:val="single" w:color="000000" w:sz="4" w:space="0"/>
            </w:tcBorders>
            <w:shd w:val="clear"/>
            <w:vAlign w:val="center"/>
          </w:tcPr>
          <w:p w14:paraId="2557F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ECA6F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vAlign w:val="center"/>
          </w:tcPr>
          <w:p w14:paraId="0D2A5F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2.植被优化：新增高饱和度鲜艳树种 / 花卉，丰富层次；乔木、灌木、花草搭配合理，重点区域强化视觉效果。</w:t>
            </w:r>
          </w:p>
        </w:tc>
        <w:tc>
          <w:tcPr>
            <w:tcW w:w="0" w:type="auto"/>
            <w:tcBorders>
              <w:top w:val="single" w:color="000000" w:sz="4" w:space="0"/>
              <w:left w:val="single" w:color="000000" w:sz="4" w:space="0"/>
              <w:bottom w:val="nil"/>
              <w:right w:val="single" w:color="000000" w:sz="4" w:space="0"/>
            </w:tcBorders>
            <w:shd w:val="clear"/>
            <w:vAlign w:val="center"/>
          </w:tcPr>
          <w:p w14:paraId="59953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0" w:type="auto"/>
            <w:tcBorders>
              <w:top w:val="single" w:color="000000" w:sz="4" w:space="0"/>
              <w:left w:val="single" w:color="000000" w:sz="4" w:space="0"/>
              <w:bottom w:val="nil"/>
              <w:right w:val="single" w:color="000000" w:sz="4" w:space="0"/>
            </w:tcBorders>
            <w:shd w:val="clear"/>
            <w:vAlign w:val="center"/>
          </w:tcPr>
          <w:p w14:paraId="20C44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nil"/>
              <w:right w:val="single" w:color="000000" w:sz="4" w:space="0"/>
            </w:tcBorders>
            <w:shd w:val="clear"/>
            <w:vAlign w:val="center"/>
          </w:tcPr>
          <w:p w14:paraId="3609C46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4,000.00 </w:t>
            </w:r>
          </w:p>
        </w:tc>
        <w:tc>
          <w:tcPr>
            <w:tcW w:w="0" w:type="auto"/>
            <w:tcBorders>
              <w:top w:val="single" w:color="000000" w:sz="4" w:space="0"/>
              <w:left w:val="single" w:color="000000" w:sz="4" w:space="0"/>
              <w:bottom w:val="nil"/>
              <w:right w:val="single" w:color="000000" w:sz="4" w:space="0"/>
            </w:tcBorders>
            <w:shd w:val="clear"/>
            <w:vAlign w:val="center"/>
          </w:tcPr>
          <w:p w14:paraId="32FFC25C">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vAlign w:val="center"/>
          </w:tcPr>
          <w:p w14:paraId="48B87E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vAlign w:val="center"/>
          </w:tcPr>
          <w:p w14:paraId="46091F37">
            <w:pPr>
              <w:jc w:val="left"/>
              <w:rPr>
                <w:rFonts w:hint="eastAsia" w:ascii="宋体" w:hAnsi="宋体" w:eastAsia="宋体" w:cs="宋体"/>
                <w:i w:val="0"/>
                <w:iCs w:val="0"/>
                <w:color w:val="000000"/>
                <w:sz w:val="20"/>
                <w:szCs w:val="20"/>
                <w:u w:val="none"/>
              </w:rPr>
            </w:pPr>
          </w:p>
        </w:tc>
      </w:tr>
      <w:tr w14:paraId="5237E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gridSpan w:val="7"/>
            <w:tcBorders>
              <w:top w:val="single" w:color="000000" w:sz="4" w:space="0"/>
              <w:left w:val="single" w:color="000000" w:sz="4" w:space="0"/>
              <w:bottom w:val="single" w:color="000000" w:sz="4" w:space="0"/>
              <w:right w:val="single" w:color="000000" w:sz="4" w:space="0"/>
            </w:tcBorders>
            <w:shd w:val="clear"/>
            <w:vAlign w:val="center"/>
          </w:tcPr>
          <w:p w14:paraId="052DD38B">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yellow"/>
                <w:u w:val="none"/>
              </w:rPr>
            </w:pP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含税投标总计（元）</w:t>
            </w:r>
          </w:p>
        </w:tc>
        <w:tc>
          <w:tcPr>
            <w:tcW w:w="0" w:type="auto"/>
            <w:gridSpan w:val="2"/>
            <w:tcBorders>
              <w:top w:val="single" w:color="000000" w:sz="4" w:space="0"/>
              <w:left w:val="single" w:color="000000" w:sz="4" w:space="0"/>
              <w:bottom w:val="single" w:color="000000" w:sz="4" w:space="0"/>
              <w:right w:val="single" w:color="000000" w:sz="4" w:space="0"/>
            </w:tcBorders>
            <w:shd w:val="clear"/>
            <w:vAlign w:val="center"/>
          </w:tcPr>
          <w:p w14:paraId="337CD7C0">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    </w:t>
            </w:r>
            <w:r>
              <w:rPr>
                <w:rFonts w:hint="eastAsia" w:ascii="宋体" w:hAnsi="宋体" w:eastAsia="宋体" w:cs="宋体"/>
                <w:i w:val="0"/>
                <w:iCs w:val="0"/>
                <w:color w:val="000000"/>
                <w:sz w:val="20"/>
                <w:szCs w:val="20"/>
                <w:u w:val="single"/>
                <w:lang w:val="en-US" w:eastAsia="zh-CN"/>
              </w:rPr>
              <w:t xml:space="preserve">         </w:t>
            </w:r>
          </w:p>
        </w:tc>
      </w:tr>
      <w:tr w14:paraId="7DE4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40" w:hRule="atLeast"/>
        </w:trPr>
        <w:tc>
          <w:tcPr>
            <w:tcW w:w="0" w:type="auto"/>
            <w:gridSpan w:val="7"/>
            <w:tcBorders>
              <w:top w:val="single" w:color="000000" w:sz="4" w:space="0"/>
              <w:left w:val="single" w:color="000000" w:sz="4" w:space="0"/>
              <w:bottom w:val="single" w:color="000000" w:sz="4" w:space="0"/>
              <w:right w:val="single" w:color="000000" w:sz="4" w:space="0"/>
            </w:tcBorders>
            <w:shd w:val="clear"/>
            <w:vAlign w:val="center"/>
          </w:tcPr>
          <w:p w14:paraId="377C88BB">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yellow"/>
                <w:u w:val="none"/>
              </w:rPr>
            </w:pPr>
            <w:r>
              <w:rPr>
                <w:rFonts w:hint="eastAsia" w:ascii="宋体" w:hAnsi="宋体" w:eastAsia="宋体" w:cs="宋体"/>
                <w:b/>
                <w:bCs/>
                <w:i w:val="0"/>
                <w:iCs w:val="0"/>
                <w:color w:val="000000"/>
                <w:kern w:val="0"/>
                <w:sz w:val="20"/>
                <w:szCs w:val="20"/>
                <w:highlight w:val="yellow"/>
                <w:u w:val="none"/>
                <w:bdr w:val="none" w:color="auto" w:sz="0" w:space="0"/>
                <w:lang w:val="en-US" w:eastAsia="zh-CN" w:bidi="ar"/>
              </w:rPr>
              <w:t>税率（%）</w:t>
            </w:r>
          </w:p>
        </w:tc>
        <w:tc>
          <w:tcPr>
            <w:tcW w:w="0" w:type="auto"/>
            <w:gridSpan w:val="2"/>
            <w:tcBorders>
              <w:top w:val="single" w:color="000000" w:sz="4" w:space="0"/>
              <w:left w:val="single" w:color="000000" w:sz="4" w:space="0"/>
              <w:bottom w:val="single" w:color="000000" w:sz="4" w:space="0"/>
              <w:right w:val="single" w:color="000000" w:sz="4" w:space="0"/>
            </w:tcBorders>
            <w:shd w:val="clear"/>
            <w:vAlign w:val="center"/>
          </w:tcPr>
          <w:p w14:paraId="1BCA890E">
            <w:pPr>
              <w:keepNext w:val="0"/>
              <w:keepLines w:val="0"/>
              <w:widowControl/>
              <w:suppressLineNumbers w:val="0"/>
              <w:jc w:val="center"/>
              <w:textAlignment w:val="center"/>
              <w:rPr>
                <w:rFonts w:hint="eastAsia" w:ascii="宋体" w:hAnsi="宋体" w:eastAsia="宋体" w:cs="宋体"/>
                <w:i w:val="0"/>
                <w:iCs w:val="0"/>
                <w:color w:val="000000"/>
                <w:sz w:val="20"/>
                <w:szCs w:val="20"/>
                <w:u w:val="single"/>
              </w:rPr>
            </w:pPr>
            <w:r>
              <w:rPr>
                <w:rFonts w:hint="eastAsia" w:ascii="宋体" w:hAnsi="宋体" w:eastAsia="宋体" w:cs="宋体"/>
                <w:i w:val="0"/>
                <w:iCs w:val="0"/>
                <w:color w:val="000000"/>
                <w:kern w:val="0"/>
                <w:sz w:val="20"/>
                <w:szCs w:val="20"/>
                <w:u w:val="single"/>
                <w:bdr w:val="none" w:color="auto" w:sz="0" w:space="0"/>
                <w:lang w:val="en-US" w:eastAsia="zh-CN" w:bidi="ar"/>
              </w:rPr>
              <w:t xml:space="preserve">       % </w:t>
            </w:r>
          </w:p>
        </w:tc>
      </w:tr>
    </w:tbl>
    <w:p w14:paraId="0A406F75">
      <w:pPr>
        <w:pStyle w:val="19"/>
        <w:rPr>
          <w:rFonts w:hint="default" w:ascii="Times New Roman" w:hAnsi="Times New Roman" w:eastAsia="宋体" w:cs="Times New Roman"/>
          <w:color w:val="auto"/>
        </w:rPr>
      </w:pPr>
    </w:p>
    <w:p w14:paraId="51A6E9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272628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p>
    <w:p w14:paraId="0C4F02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14:paraId="33259210">
      <w:pPr>
        <w:autoSpaceDE w:val="0"/>
        <w:autoSpaceDN w:val="0"/>
        <w:spacing w:before="312" w:beforeLines="100" w:line="360" w:lineRule="auto"/>
        <w:jc w:val="left"/>
        <w:rPr>
          <w:rFonts w:hint="eastAsia" w:ascii="宋体" w:hAnsi="宋体"/>
          <w:sz w:val="24"/>
          <w:szCs w:val="24"/>
        </w:rPr>
        <w:sectPr>
          <w:pgSz w:w="11906" w:h="16838"/>
          <w:pgMar w:top="1304" w:right="1531" w:bottom="1247" w:left="1531" w:header="851" w:footer="992" w:gutter="0"/>
          <w:cols w:space="425" w:num="1"/>
          <w:docGrid w:type="lines" w:linePitch="312" w:charSpace="0"/>
        </w:sect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3933D02C">
      <w:pPr>
        <w:spacing w:line="360" w:lineRule="auto"/>
        <w:ind w:firstLine="0" w:firstLineChars="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附件1：</w:t>
      </w:r>
      <w:bookmarkStart w:id="95" w:name="_Hlk41141708"/>
      <w:bookmarkStart w:id="96" w:name="_Toc47961950"/>
      <w:r>
        <w:rPr>
          <w:rFonts w:hint="eastAsia" w:ascii="宋体" w:hAnsi="宋体" w:eastAsia="宋体" w:cs="宋体"/>
          <w:b/>
          <w:bCs/>
          <w:color w:val="auto"/>
          <w:sz w:val="28"/>
          <w:szCs w:val="28"/>
          <w:highlight w:val="none"/>
          <w:lang w:val="en-US" w:eastAsia="zh-CN"/>
        </w:rPr>
        <w:t>技术任务书（另册）</w:t>
      </w:r>
      <w:bookmarkEnd w:id="95"/>
      <w:bookmarkEnd w:id="96"/>
    </w:p>
    <w:p w14:paraId="23AB2843">
      <w:pPr>
        <w:pStyle w:val="18"/>
        <w:ind w:left="0" w:leftChars="0"/>
        <w:rPr>
          <w:rFonts w:hint="default"/>
          <w:b/>
          <w:bCs/>
          <w:highlight w:val="none"/>
          <w:lang w:val="en-US" w:eastAsia="zh-CN"/>
        </w:rPr>
      </w:pPr>
    </w:p>
    <w:p w14:paraId="004BCF3A">
      <w:pPr>
        <w:autoSpaceDE w:val="0"/>
        <w:autoSpaceDN w:val="0"/>
        <w:spacing w:before="312" w:beforeLines="100" w:line="360" w:lineRule="auto"/>
        <w:jc w:val="left"/>
        <w:rPr>
          <w:rFonts w:hint="default" w:ascii="宋体" w:hAnsi="宋体"/>
          <w:sz w:val="24"/>
          <w:szCs w:val="24"/>
          <w:lang w:val="en-US" w:eastAsia="zh-CN"/>
        </w:rPr>
      </w:pPr>
    </w:p>
    <w:sectPr>
      <w:footerReference r:id="rId6"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4CEE3">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5DA1C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7A5DA1C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17A4F">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25E7">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768F">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4F817EF"/>
    <w:rsid w:val="05B1555F"/>
    <w:rsid w:val="05F41565"/>
    <w:rsid w:val="0671572A"/>
    <w:rsid w:val="067D1626"/>
    <w:rsid w:val="0841052C"/>
    <w:rsid w:val="097558B4"/>
    <w:rsid w:val="09770F2A"/>
    <w:rsid w:val="0A261215"/>
    <w:rsid w:val="0A4F74B7"/>
    <w:rsid w:val="0BF0642E"/>
    <w:rsid w:val="0C1C2D99"/>
    <w:rsid w:val="0D8F41B1"/>
    <w:rsid w:val="0D942B45"/>
    <w:rsid w:val="0DB93286"/>
    <w:rsid w:val="0DCB0AAA"/>
    <w:rsid w:val="0DCE08EE"/>
    <w:rsid w:val="0E1F739B"/>
    <w:rsid w:val="0E49720A"/>
    <w:rsid w:val="0E9B2EC6"/>
    <w:rsid w:val="0EC420D1"/>
    <w:rsid w:val="0EC93FBB"/>
    <w:rsid w:val="10E91871"/>
    <w:rsid w:val="11DD4B3A"/>
    <w:rsid w:val="129618DC"/>
    <w:rsid w:val="14DC73BB"/>
    <w:rsid w:val="14EB65E0"/>
    <w:rsid w:val="1588048B"/>
    <w:rsid w:val="168857E4"/>
    <w:rsid w:val="16D97ADD"/>
    <w:rsid w:val="16E45AEB"/>
    <w:rsid w:val="177F1319"/>
    <w:rsid w:val="17DF53E0"/>
    <w:rsid w:val="18547105"/>
    <w:rsid w:val="1B013FAA"/>
    <w:rsid w:val="1B513E4B"/>
    <w:rsid w:val="1BDC56E2"/>
    <w:rsid w:val="1C186A2A"/>
    <w:rsid w:val="1D556636"/>
    <w:rsid w:val="1D65301C"/>
    <w:rsid w:val="1DCE44E0"/>
    <w:rsid w:val="1F707A57"/>
    <w:rsid w:val="20020FF7"/>
    <w:rsid w:val="202F7D49"/>
    <w:rsid w:val="210322A7"/>
    <w:rsid w:val="2121293A"/>
    <w:rsid w:val="23767606"/>
    <w:rsid w:val="23A71C0B"/>
    <w:rsid w:val="23EC6A93"/>
    <w:rsid w:val="24957E2A"/>
    <w:rsid w:val="259F18F8"/>
    <w:rsid w:val="26497039"/>
    <w:rsid w:val="26A5092E"/>
    <w:rsid w:val="272E6E27"/>
    <w:rsid w:val="27540AC6"/>
    <w:rsid w:val="278065CC"/>
    <w:rsid w:val="287C62B4"/>
    <w:rsid w:val="28C56911"/>
    <w:rsid w:val="28E640A3"/>
    <w:rsid w:val="291B3A89"/>
    <w:rsid w:val="2B3335F6"/>
    <w:rsid w:val="2BED4BFF"/>
    <w:rsid w:val="2D022F1E"/>
    <w:rsid w:val="2E0A4EF7"/>
    <w:rsid w:val="2E861045"/>
    <w:rsid w:val="2EBF0175"/>
    <w:rsid w:val="2F8C5B34"/>
    <w:rsid w:val="3035528F"/>
    <w:rsid w:val="303C5477"/>
    <w:rsid w:val="305D6B4A"/>
    <w:rsid w:val="30FA3624"/>
    <w:rsid w:val="31BE38D0"/>
    <w:rsid w:val="329B19DD"/>
    <w:rsid w:val="338C409C"/>
    <w:rsid w:val="347C7347"/>
    <w:rsid w:val="34953470"/>
    <w:rsid w:val="34F12D58"/>
    <w:rsid w:val="36991F33"/>
    <w:rsid w:val="36D13171"/>
    <w:rsid w:val="37FE2A53"/>
    <w:rsid w:val="38812374"/>
    <w:rsid w:val="38B95B73"/>
    <w:rsid w:val="38F12B0E"/>
    <w:rsid w:val="38F34C92"/>
    <w:rsid w:val="38F66DC7"/>
    <w:rsid w:val="3A306308"/>
    <w:rsid w:val="3BDD1A9B"/>
    <w:rsid w:val="3BF341D2"/>
    <w:rsid w:val="3DB37034"/>
    <w:rsid w:val="3DDA2166"/>
    <w:rsid w:val="3E7E4135"/>
    <w:rsid w:val="3EC52271"/>
    <w:rsid w:val="3ED65B24"/>
    <w:rsid w:val="3F676A9B"/>
    <w:rsid w:val="408829A2"/>
    <w:rsid w:val="40DF147E"/>
    <w:rsid w:val="410E417C"/>
    <w:rsid w:val="43F34101"/>
    <w:rsid w:val="4483748A"/>
    <w:rsid w:val="46291EEF"/>
    <w:rsid w:val="467170E3"/>
    <w:rsid w:val="46B354B7"/>
    <w:rsid w:val="47C0473A"/>
    <w:rsid w:val="47C63E08"/>
    <w:rsid w:val="481E1E96"/>
    <w:rsid w:val="484138CD"/>
    <w:rsid w:val="4B0F1E17"/>
    <w:rsid w:val="4C032E3E"/>
    <w:rsid w:val="4C8E76F1"/>
    <w:rsid w:val="4D1202BB"/>
    <w:rsid w:val="4E8C1884"/>
    <w:rsid w:val="4F971260"/>
    <w:rsid w:val="4FDF015D"/>
    <w:rsid w:val="5067110C"/>
    <w:rsid w:val="506979EA"/>
    <w:rsid w:val="507D3B91"/>
    <w:rsid w:val="508467D4"/>
    <w:rsid w:val="50DB0041"/>
    <w:rsid w:val="50E46FDC"/>
    <w:rsid w:val="51475FBA"/>
    <w:rsid w:val="518A0729"/>
    <w:rsid w:val="51A67184"/>
    <w:rsid w:val="52E02222"/>
    <w:rsid w:val="54032B60"/>
    <w:rsid w:val="54177EC5"/>
    <w:rsid w:val="545F0E76"/>
    <w:rsid w:val="551F30DA"/>
    <w:rsid w:val="55233FA3"/>
    <w:rsid w:val="555801ED"/>
    <w:rsid w:val="55580DEF"/>
    <w:rsid w:val="55AF6717"/>
    <w:rsid w:val="56213D59"/>
    <w:rsid w:val="56DB22E8"/>
    <w:rsid w:val="576C677A"/>
    <w:rsid w:val="57852512"/>
    <w:rsid w:val="57A2219C"/>
    <w:rsid w:val="57AB174E"/>
    <w:rsid w:val="584F6981"/>
    <w:rsid w:val="59A575EF"/>
    <w:rsid w:val="5AC64570"/>
    <w:rsid w:val="5B7B0426"/>
    <w:rsid w:val="5BD82D7C"/>
    <w:rsid w:val="5BE44C27"/>
    <w:rsid w:val="5BFB7194"/>
    <w:rsid w:val="5C3929A3"/>
    <w:rsid w:val="5D497B32"/>
    <w:rsid w:val="5EBE23CD"/>
    <w:rsid w:val="5EFA64BF"/>
    <w:rsid w:val="617E685D"/>
    <w:rsid w:val="61834DEC"/>
    <w:rsid w:val="61A2602F"/>
    <w:rsid w:val="61BC02FE"/>
    <w:rsid w:val="61C6117D"/>
    <w:rsid w:val="61FF0F78"/>
    <w:rsid w:val="62017B83"/>
    <w:rsid w:val="63A6159C"/>
    <w:rsid w:val="63F16E5E"/>
    <w:rsid w:val="64847D61"/>
    <w:rsid w:val="665C30B6"/>
    <w:rsid w:val="66852B3E"/>
    <w:rsid w:val="67183BE9"/>
    <w:rsid w:val="67DE23FD"/>
    <w:rsid w:val="682078ED"/>
    <w:rsid w:val="68B65BF9"/>
    <w:rsid w:val="6A0D3F8C"/>
    <w:rsid w:val="6A934041"/>
    <w:rsid w:val="6AE67C1E"/>
    <w:rsid w:val="6AF26B3F"/>
    <w:rsid w:val="6B4E5816"/>
    <w:rsid w:val="6BB9773A"/>
    <w:rsid w:val="6CD54EA3"/>
    <w:rsid w:val="6D535020"/>
    <w:rsid w:val="6DCD4CB7"/>
    <w:rsid w:val="73CF0EC4"/>
    <w:rsid w:val="75C537CD"/>
    <w:rsid w:val="762044B6"/>
    <w:rsid w:val="76656426"/>
    <w:rsid w:val="768D0B53"/>
    <w:rsid w:val="76DA30C2"/>
    <w:rsid w:val="775B4F8E"/>
    <w:rsid w:val="777728A5"/>
    <w:rsid w:val="78953E1F"/>
    <w:rsid w:val="78994A9D"/>
    <w:rsid w:val="78B9366D"/>
    <w:rsid w:val="796270D1"/>
    <w:rsid w:val="7A5D46E4"/>
    <w:rsid w:val="7A696819"/>
    <w:rsid w:val="7ACE415F"/>
    <w:rsid w:val="7BBB70C7"/>
    <w:rsid w:val="7BE14791"/>
    <w:rsid w:val="7D005C4A"/>
    <w:rsid w:val="7E3A63DB"/>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2"/>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23</Pages>
  <Words>4874</Words>
  <Characters>5157</Characters>
  <Lines>17</Lines>
  <Paragraphs>4</Paragraphs>
  <TotalTime>7</TotalTime>
  <ScaleCrop>false</ScaleCrop>
  <LinksUpToDate>false</LinksUpToDate>
  <CharactersWithSpaces>5834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熊惠</cp:lastModifiedBy>
  <dcterms:modified xsi:type="dcterms:W3CDTF">2026-06-17T01:32:42Z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CA84511958F34FFF9DE7FF8D5765427F</vt:lpwstr>
  </property>
  <property fmtid="{D5CDD505-2E9C-101B-9397-08002B2CF9AE}" pid="4" name="KSOTemplateDocerSaveRecord">
    <vt:lpwstr>eyJoZGlkIjoiN2IyZjgyMzYyOWJmNjk4MDBjMGU1Y2U0MmVlNTA0MDkiLCJ1c2VySWQiOiIyNjM4OTc0OTEifQ==</vt:lpwstr>
  </property>
</Properties>
</file>