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rPr>
          <w:rFonts w:ascii="黑体" w:hAnsi="黑体" w:eastAsia="黑体" w:cs="黑体"/>
          <w:b/>
          <w:bCs/>
          <w:sz w:val="44"/>
          <w:szCs w:val="44"/>
        </w:rPr>
      </w:pPr>
    </w:p>
    <w:p>
      <w:pPr>
        <w:spacing w:line="600" w:lineRule="auto"/>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食品加工中心高低压配电房七氟丙烷储存瓶组检验</w:t>
      </w:r>
    </w:p>
    <w:p>
      <w:pPr>
        <w:spacing w:line="600" w:lineRule="auto"/>
        <w:jc w:val="center"/>
        <w:rPr>
          <w:rFonts w:ascii="黑体" w:hAnsi="黑体" w:eastAsia="黑体" w:cs="黑体"/>
          <w:b/>
          <w:bCs/>
          <w:sz w:val="44"/>
          <w:szCs w:val="44"/>
        </w:rPr>
      </w:pPr>
      <w:r>
        <w:rPr>
          <w:rFonts w:hint="eastAsia" w:ascii="黑体" w:hAnsi="黑体" w:eastAsia="黑体" w:cs="黑体"/>
          <w:b/>
          <w:bCs/>
          <w:sz w:val="44"/>
          <w:szCs w:val="44"/>
          <w:lang w:val="en-US" w:eastAsia="zh-CN"/>
        </w:rPr>
        <w:t>（第二次</w:t>
      </w:r>
      <w:bookmarkStart w:id="0" w:name="_GoBack"/>
      <w:bookmarkEnd w:id="0"/>
      <w:r>
        <w:rPr>
          <w:rFonts w:hint="eastAsia" w:ascii="黑体" w:hAnsi="黑体" w:eastAsia="黑体" w:cs="黑体"/>
          <w:b/>
          <w:bCs/>
          <w:sz w:val="44"/>
          <w:szCs w:val="44"/>
          <w:lang w:val="en-US" w:eastAsia="zh-CN"/>
        </w:rPr>
        <w:t>）技术任务书</w:t>
      </w:r>
    </w:p>
    <w:p>
      <w:pPr>
        <w:pStyle w:val="35"/>
        <w:ind w:firstLine="321"/>
        <w:rPr>
          <w:rFonts w:ascii="宋体" w:hAnsi="宋体" w:cs="宋体"/>
          <w:b/>
          <w:bCs/>
          <w:sz w:val="32"/>
          <w:szCs w:val="32"/>
        </w:rPr>
      </w:pPr>
    </w:p>
    <w:p>
      <w:pPr>
        <w:pStyle w:val="35"/>
        <w:ind w:firstLine="321"/>
        <w:rPr>
          <w:rFonts w:ascii="宋体" w:hAnsi="宋体" w:cs="宋体"/>
          <w:b/>
          <w:bCs/>
          <w:sz w:val="32"/>
          <w:szCs w:val="32"/>
        </w:rPr>
      </w:pPr>
    </w:p>
    <w:p>
      <w:pPr>
        <w:pStyle w:val="35"/>
        <w:ind w:firstLine="321"/>
        <w:rPr>
          <w:rFonts w:ascii="宋体" w:hAnsi="宋体" w:cs="宋体"/>
          <w:b/>
          <w:bCs/>
          <w:sz w:val="32"/>
          <w:szCs w:val="32"/>
        </w:rPr>
      </w:pPr>
    </w:p>
    <w:p>
      <w:pPr>
        <w:pStyle w:val="35"/>
        <w:ind w:firstLine="321"/>
        <w:rPr>
          <w:rFonts w:ascii="宋体" w:hAnsi="宋体" w:cs="宋体"/>
          <w:b/>
          <w:bCs/>
          <w:sz w:val="32"/>
          <w:szCs w:val="32"/>
        </w:rPr>
      </w:pPr>
    </w:p>
    <w:p>
      <w:pPr>
        <w:pStyle w:val="35"/>
        <w:ind w:firstLine="321"/>
        <w:rPr>
          <w:rFonts w:hint="eastAsia" w:ascii="宋体" w:hAnsi="宋体" w:cs="宋体"/>
          <w:b/>
          <w:bCs/>
          <w:sz w:val="32"/>
          <w:szCs w:val="32"/>
          <w:lang w:val="en-US" w:eastAsia="zh-CN"/>
        </w:rPr>
      </w:pPr>
      <w:r>
        <w:rPr>
          <w:rFonts w:hint="eastAsia" w:ascii="宋体" w:hAnsi="宋体" w:cs="宋体"/>
          <w:b/>
          <w:bCs/>
          <w:sz w:val="32"/>
          <w:szCs w:val="32"/>
          <w:lang w:val="en-US" w:eastAsia="zh-CN"/>
        </w:rPr>
        <w:t xml:space="preserve">           </w:t>
      </w:r>
    </w:p>
    <w:p>
      <w:pPr>
        <w:pStyle w:val="35"/>
        <w:ind w:firstLine="321"/>
        <w:rPr>
          <w:rFonts w:hint="eastAsia" w:ascii="宋体" w:hAnsi="宋体" w:cs="宋体"/>
          <w:b/>
          <w:bCs/>
          <w:sz w:val="32"/>
          <w:szCs w:val="32"/>
          <w:lang w:val="en-US" w:eastAsia="zh-CN"/>
        </w:rPr>
      </w:pPr>
    </w:p>
    <w:p>
      <w:pPr>
        <w:pStyle w:val="35"/>
        <w:ind w:firstLine="1928" w:firstLineChars="600"/>
        <w:rPr>
          <w:rFonts w:hint="default" w:ascii="宋体" w:hAnsi="宋体" w:cs="宋体"/>
          <w:b/>
          <w:bCs/>
          <w:sz w:val="32"/>
          <w:szCs w:val="32"/>
          <w:lang w:val="en-US" w:eastAsia="zh-CN"/>
        </w:rPr>
      </w:pPr>
      <w:r>
        <w:rPr>
          <w:rFonts w:hint="eastAsia" w:ascii="宋体" w:hAnsi="宋体" w:cs="宋体"/>
          <w:b/>
          <w:bCs/>
          <w:sz w:val="32"/>
          <w:szCs w:val="32"/>
          <w:lang w:val="en-US" w:eastAsia="zh-CN"/>
        </w:rPr>
        <w:t xml:space="preserve">  编      制：雷群奇</w:t>
      </w:r>
    </w:p>
    <w:p>
      <w:pPr>
        <w:pStyle w:val="35"/>
        <w:ind w:left="0" w:leftChars="0" w:firstLine="0" w:firstLineChars="0"/>
        <w:rPr>
          <w:rFonts w:hint="eastAsia" w:ascii="宋体" w:hAnsi="宋体" w:cs="宋体"/>
          <w:b/>
          <w:bCs/>
          <w:sz w:val="32"/>
          <w:szCs w:val="32"/>
          <w:lang w:val="en-US" w:eastAsia="zh-CN"/>
        </w:rPr>
      </w:pPr>
    </w:p>
    <w:p>
      <w:pPr>
        <w:pStyle w:val="35"/>
        <w:ind w:firstLine="321"/>
        <w:rPr>
          <w:rFonts w:hint="eastAsia" w:ascii="宋体" w:hAnsi="宋体" w:cs="宋体"/>
          <w:b/>
          <w:bCs/>
          <w:sz w:val="32"/>
          <w:szCs w:val="32"/>
          <w:lang w:val="en-US" w:eastAsia="zh-CN"/>
        </w:rPr>
      </w:pPr>
      <w:r>
        <w:rPr>
          <w:rFonts w:hint="eastAsia" w:ascii="宋体" w:hAnsi="宋体" w:cs="宋体"/>
          <w:b/>
          <w:bCs/>
          <w:sz w:val="32"/>
          <w:szCs w:val="32"/>
          <w:lang w:val="en-US" w:eastAsia="zh-CN"/>
        </w:rPr>
        <w:t xml:space="preserve">             审      核：</w:t>
      </w:r>
    </w:p>
    <w:p>
      <w:pPr>
        <w:pStyle w:val="35"/>
        <w:ind w:firstLine="321"/>
        <w:rPr>
          <w:rFonts w:hint="eastAsia" w:ascii="宋体" w:hAnsi="宋体" w:cs="宋体"/>
          <w:b/>
          <w:bCs/>
          <w:sz w:val="32"/>
          <w:szCs w:val="32"/>
          <w:lang w:val="en-US" w:eastAsia="zh-CN"/>
        </w:rPr>
      </w:pPr>
    </w:p>
    <w:p>
      <w:pPr>
        <w:pStyle w:val="35"/>
        <w:ind w:firstLine="321"/>
        <w:rPr>
          <w:rFonts w:hint="default" w:ascii="宋体" w:hAnsi="宋体" w:cs="宋体"/>
          <w:b/>
          <w:bCs/>
          <w:sz w:val="32"/>
          <w:szCs w:val="32"/>
          <w:lang w:val="en-US" w:eastAsia="zh-CN"/>
        </w:rPr>
      </w:pPr>
      <w:r>
        <w:rPr>
          <w:rFonts w:hint="eastAsia" w:ascii="宋体" w:hAnsi="宋体" w:cs="宋体"/>
          <w:b/>
          <w:bCs/>
          <w:sz w:val="32"/>
          <w:szCs w:val="32"/>
          <w:lang w:val="en-US" w:eastAsia="zh-CN"/>
        </w:rPr>
        <w:t xml:space="preserve">             批      准：</w:t>
      </w:r>
    </w:p>
    <w:p>
      <w:pPr>
        <w:pStyle w:val="35"/>
        <w:ind w:left="0" w:leftChars="0" w:firstLine="0" w:firstLineChars="0"/>
        <w:rPr>
          <w:rFonts w:hint="default" w:ascii="宋体" w:hAnsi="宋体" w:cs="宋体"/>
          <w:b/>
          <w:bCs/>
          <w:sz w:val="32"/>
          <w:szCs w:val="32"/>
          <w:lang w:val="en-US" w:eastAsia="zh-CN"/>
        </w:rPr>
      </w:pPr>
    </w:p>
    <w:p>
      <w:pPr>
        <w:pStyle w:val="35"/>
        <w:ind w:firstLine="321"/>
        <w:rPr>
          <w:rFonts w:hint="default" w:ascii="宋体" w:hAnsi="宋体" w:cs="宋体"/>
          <w:b/>
          <w:bCs/>
          <w:sz w:val="32"/>
          <w:szCs w:val="32"/>
          <w:lang w:val="en-US" w:eastAsia="zh-CN"/>
        </w:rPr>
      </w:pPr>
      <w:r>
        <w:rPr>
          <w:rFonts w:hint="eastAsia" w:ascii="宋体" w:hAnsi="宋体" w:cs="宋体"/>
          <w:b/>
          <w:bCs/>
          <w:sz w:val="32"/>
          <w:szCs w:val="32"/>
          <w:lang w:val="en-US" w:eastAsia="zh-CN"/>
        </w:rPr>
        <w:t xml:space="preserve">             </w:t>
      </w:r>
    </w:p>
    <w:p>
      <w:pPr>
        <w:pStyle w:val="35"/>
        <w:ind w:left="0" w:leftChars="0" w:firstLine="0" w:firstLineChars="0"/>
        <w:rPr>
          <w:rFonts w:ascii="宋体" w:hAnsi="宋体" w:cs="宋体"/>
          <w:b/>
          <w:bCs/>
          <w:sz w:val="32"/>
          <w:szCs w:val="32"/>
        </w:rPr>
      </w:pPr>
    </w:p>
    <w:p>
      <w:pPr>
        <w:pStyle w:val="35"/>
        <w:ind w:firstLine="321"/>
        <w:rPr>
          <w:rFonts w:ascii="宋体" w:hAnsi="宋体" w:cs="宋体"/>
          <w:b/>
          <w:bCs/>
          <w:sz w:val="32"/>
          <w:szCs w:val="32"/>
        </w:rPr>
      </w:pPr>
    </w:p>
    <w:p>
      <w:pPr>
        <w:pStyle w:val="35"/>
        <w:ind w:firstLine="0" w:firstLineChars="0"/>
        <w:rPr>
          <w:rFonts w:ascii="宋体" w:hAnsi="宋体" w:cs="宋体"/>
          <w:b/>
          <w:bCs/>
          <w:sz w:val="32"/>
          <w:szCs w:val="32"/>
        </w:rPr>
      </w:pPr>
    </w:p>
    <w:p>
      <w:pPr>
        <w:pStyle w:val="35"/>
        <w:ind w:firstLine="0" w:firstLineChars="0"/>
        <w:rPr>
          <w:rFonts w:ascii="宋体" w:hAnsi="宋体" w:cs="宋体"/>
          <w:b/>
          <w:bCs/>
          <w:sz w:val="32"/>
          <w:szCs w:val="32"/>
        </w:rPr>
      </w:pPr>
    </w:p>
    <w:p>
      <w:pPr>
        <w:pStyle w:val="35"/>
        <w:ind w:firstLine="321"/>
        <w:jc w:val="center"/>
        <w:rPr>
          <w:rFonts w:hint="eastAsia" w:ascii="宋体" w:hAnsi="宋体" w:eastAsia="宋体" w:cs="宋体"/>
          <w:b/>
          <w:bCs/>
          <w:sz w:val="32"/>
          <w:szCs w:val="32"/>
          <w:lang w:val="en-US" w:eastAsia="zh-CN"/>
        </w:rPr>
      </w:pPr>
      <w:r>
        <w:rPr>
          <w:rFonts w:hint="eastAsia" w:ascii="宋体" w:hAnsi="宋体" w:eastAsia="宋体" w:cs="宋体"/>
          <w:b/>
          <w:bCs/>
          <w:color w:val="10141A"/>
          <w:sz w:val="28"/>
          <w:szCs w:val="28"/>
          <w:lang w:val="zh-CN"/>
        </w:rPr>
        <w:t>珠海正方食品生产管理有限公司</w:t>
      </w:r>
    </w:p>
    <w:p>
      <w:pPr>
        <w:pStyle w:val="35"/>
        <w:ind w:firstLine="321"/>
        <w:rPr>
          <w:rFonts w:ascii="宋体" w:hAnsi="宋体" w:cs="宋体"/>
          <w:b/>
          <w:bCs/>
          <w:sz w:val="32"/>
          <w:szCs w:val="32"/>
        </w:rPr>
      </w:pPr>
    </w:p>
    <w:p>
      <w:pPr>
        <w:pStyle w:val="45"/>
      </w:pPr>
    </w:p>
    <w:p>
      <w:pPr>
        <w:pStyle w:val="45"/>
      </w:pPr>
    </w:p>
    <w:p>
      <w:pPr>
        <w:pStyle w:val="45"/>
      </w:pPr>
    </w:p>
    <w:p>
      <w:pPr>
        <w:tabs>
          <w:tab w:val="left" w:pos="1701"/>
        </w:tabs>
        <w:spacing w:line="360" w:lineRule="auto"/>
        <w:jc w:val="both"/>
        <w:rPr>
          <w:rFonts w:ascii="黑体" w:hAnsi="黑体" w:eastAsia="黑体" w:cs="黑体"/>
          <w:b/>
          <w:bCs/>
          <w:sz w:val="30"/>
          <w:szCs w:val="30"/>
        </w:rPr>
      </w:pPr>
    </w:p>
    <w:p>
      <w:pPr>
        <w:spacing w:before="240"/>
        <w:ind w:right="640"/>
        <w:rPr>
          <w:rFonts w:ascii="宋体" w:hAnsi="宋体"/>
          <w:b/>
          <w:sz w:val="28"/>
          <w:szCs w:val="28"/>
          <w:lang w:val="zh-CN"/>
        </w:rPr>
      </w:pPr>
      <w:r>
        <w:rPr>
          <w:rFonts w:hint="eastAsia" w:ascii="宋体" w:hAnsi="宋体"/>
          <w:b/>
          <w:sz w:val="28"/>
          <w:szCs w:val="28"/>
        </w:rPr>
        <w:t>一、</w:t>
      </w:r>
      <w:r>
        <w:rPr>
          <w:rFonts w:hint="eastAsia" w:ascii="宋体" w:hAnsi="宋体"/>
          <w:b/>
          <w:sz w:val="28"/>
          <w:szCs w:val="28"/>
          <w:lang w:val="zh-CN"/>
        </w:rPr>
        <w:t>项目</w:t>
      </w:r>
      <w:r>
        <w:rPr>
          <w:rFonts w:hint="eastAsia" w:ascii="宋体" w:hAnsi="宋体"/>
          <w:b/>
          <w:sz w:val="28"/>
          <w:szCs w:val="28"/>
        </w:rPr>
        <w:t>概况</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（1）项目名称：</w:t>
      </w:r>
      <w:r>
        <w:rPr>
          <w:rFonts w:hint="eastAsia" w:ascii="宋体" w:hAnsi="宋体" w:cs="宋体"/>
          <w:sz w:val="24"/>
          <w:szCs w:val="24"/>
          <w:lang w:val="en-US" w:eastAsia="zh-CN"/>
        </w:rPr>
        <w:t>食品加工中心</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（2）项目区位：</w:t>
      </w:r>
      <w:r>
        <w:rPr>
          <w:rFonts w:hint="eastAsia" w:ascii="宋体" w:hAnsi="宋体" w:cs="宋体"/>
          <w:sz w:val="24"/>
          <w:szCs w:val="24"/>
          <w:lang w:val="en-US" w:eastAsia="zh-CN"/>
        </w:rPr>
        <w:t xml:space="preserve"> 食品加工中心项目位于珠海市香洲区三溪路1845号，占地面积为12239.83㎡，总建筑面积为25039.42㎡，其中地上建筑面积为24315.74㎡，1栋厂房设计5层、2栋厂房设计6层，2栋厂房地下一层。</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（3）项目特征：</w:t>
      </w:r>
      <w:r>
        <w:rPr>
          <w:rFonts w:hint="eastAsia" w:ascii="宋体" w:hAnsi="宋体" w:cs="宋体"/>
          <w:sz w:val="24"/>
          <w:szCs w:val="24"/>
          <w:lang w:val="en-US" w:eastAsia="zh-CN"/>
        </w:rPr>
        <w:t>厂房</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pPr>
      <w:r>
        <w:rPr>
          <w:rFonts w:hint="eastAsia" w:ascii="宋体" w:hAnsi="宋体" w:cs="宋体"/>
          <w:sz w:val="24"/>
          <w:szCs w:val="24"/>
          <w:lang w:val="en-US" w:eastAsia="zh-CN"/>
        </w:rPr>
        <w:t>（4）工程施工采购范围：食品加工中心七氟丙烷气体充装工程量清单</w:t>
      </w:r>
      <w:r>
        <w:rPr>
          <w:rFonts w:hint="eastAsia" w:ascii="宋体" w:hAnsi="宋体" w:cs="宋体"/>
          <w:color w:val="auto"/>
          <w:sz w:val="24"/>
          <w:szCs w:val="24"/>
          <w:lang w:val="en-US" w:eastAsia="zh-CN"/>
        </w:rPr>
        <w:t>，结算以实际发生工程量为准</w:t>
      </w:r>
      <w:r>
        <w:rPr>
          <w:rFonts w:hint="eastAsia" w:ascii="宋体" w:hAnsi="宋体" w:cs="宋体"/>
          <w:sz w:val="24"/>
          <w:szCs w:val="24"/>
          <w:lang w:val="en-US" w:eastAsia="zh-CN"/>
        </w:rPr>
        <w:t>。</w:t>
      </w:r>
    </w:p>
    <w:p>
      <w:pPr>
        <w:numPr>
          <w:ilvl w:val="0"/>
          <w:numId w:val="0"/>
        </w:numPr>
        <w:spacing w:line="360" w:lineRule="auto"/>
        <w:rPr>
          <w:rFonts w:ascii="宋体" w:hAnsi="宋体" w:cs="宋体"/>
          <w:b/>
          <w:bCs/>
          <w:sz w:val="28"/>
          <w:szCs w:val="28"/>
        </w:rPr>
      </w:pPr>
      <w:r>
        <w:rPr>
          <w:rFonts w:hint="eastAsia" w:ascii="宋体" w:hAnsi="宋体" w:cs="宋体"/>
          <w:b/>
          <w:bCs/>
          <w:sz w:val="28"/>
          <w:szCs w:val="28"/>
          <w:lang w:val="en-US" w:eastAsia="zh-CN"/>
        </w:rPr>
        <w:t>二、</w:t>
      </w:r>
      <w:r>
        <w:rPr>
          <w:rFonts w:hint="eastAsia" w:ascii="宋体" w:hAnsi="宋体" w:cs="宋体"/>
          <w:b/>
          <w:bCs/>
          <w:sz w:val="28"/>
          <w:szCs w:val="28"/>
        </w:rPr>
        <w:t>目的</w:t>
      </w:r>
      <w:r>
        <w:rPr>
          <w:rFonts w:hint="eastAsia" w:ascii="宋体" w:hAnsi="宋体" w:cs="宋体"/>
          <w:b/>
          <w:bCs/>
          <w:sz w:val="28"/>
          <w:szCs w:val="28"/>
          <w:lang w:val="en-US" w:eastAsia="zh-CN"/>
        </w:rPr>
        <w:t>及需求</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360" w:firstLineChars="200"/>
        <w:jc w:val="left"/>
        <w:textAlignment w:val="auto"/>
        <w:rPr>
          <w:rFonts w:hint="default" w:ascii="宋体" w:hAnsi="宋体" w:eastAsia="宋体" w:cs="宋体"/>
          <w:sz w:val="24"/>
          <w:szCs w:val="24"/>
          <w:lang w:val="en-US" w:eastAsia="zh-CN"/>
        </w:rPr>
      </w:pPr>
      <w:r>
        <w:rPr>
          <w:rFonts w:ascii="微软雅黑" w:hAnsi="微软雅黑" w:eastAsia="微软雅黑" w:cs="微软雅黑"/>
          <w:i w:val="0"/>
          <w:iCs w:val="0"/>
          <w:caps w:val="0"/>
          <w:color w:val="000000"/>
          <w:spacing w:val="0"/>
          <w:sz w:val="18"/>
          <w:szCs w:val="18"/>
          <w:shd w:val="clear" w:fill="FFFFFF"/>
        </w:rPr>
        <w:t> </w:t>
      </w:r>
      <w:r>
        <w:rPr>
          <w:rFonts w:hint="eastAsia" w:ascii="宋体" w:hAnsi="宋体" w:eastAsia="宋体" w:cs="宋体"/>
          <w:i w:val="0"/>
          <w:iCs w:val="0"/>
          <w:caps w:val="0"/>
          <w:color w:val="000000"/>
          <w:spacing w:val="0"/>
          <w:sz w:val="24"/>
          <w:szCs w:val="24"/>
          <w:shd w:val="clear" w:fill="FFFFFF"/>
        </w:rPr>
        <w:t>食品加工中心</w:t>
      </w:r>
      <w:r>
        <w:rPr>
          <w:rFonts w:hint="eastAsia" w:ascii="宋体" w:hAnsi="宋体" w:cs="宋体"/>
          <w:i w:val="0"/>
          <w:iCs w:val="0"/>
          <w:caps w:val="0"/>
          <w:color w:val="000000"/>
          <w:spacing w:val="0"/>
          <w:sz w:val="24"/>
          <w:szCs w:val="24"/>
          <w:shd w:val="clear" w:fill="FFFFFF"/>
          <w:lang w:val="en-US" w:eastAsia="zh-CN"/>
        </w:rPr>
        <w:t>高低压配电房七氟丙烷气体瓶组2020年10月安装，依据消防规范，该瓶组达到检验周期，需对其进行检验是否需要补充七氟丙烷气体，以满足消防规范要求，确保项目正常运营。</w:t>
      </w:r>
    </w:p>
    <w:p>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8"/>
          <w:szCs w:val="28"/>
        </w:rPr>
      </w:pPr>
      <w:r>
        <w:rPr>
          <w:rFonts w:hint="eastAsia" w:ascii="宋体" w:hAnsi="宋体" w:cs="宋体"/>
          <w:sz w:val="28"/>
          <w:szCs w:val="28"/>
          <w:lang w:val="en-US" w:eastAsia="zh-CN"/>
        </w:rPr>
        <w:t>三、</w:t>
      </w:r>
      <w:r>
        <w:rPr>
          <w:rFonts w:hint="eastAsia" w:ascii="宋体" w:hAnsi="宋体" w:eastAsia="宋体" w:cs="宋体"/>
          <w:sz w:val="28"/>
          <w:szCs w:val="28"/>
        </w:rPr>
        <w:t>工期、付款方式、质保期与售后服务</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w:t>
      </w:r>
      <w:r>
        <w:rPr>
          <w:rFonts w:hint="eastAsia" w:ascii="宋体" w:hAnsi="宋体" w:eastAsia="宋体" w:cs="宋体"/>
          <w:sz w:val="24"/>
        </w:rPr>
        <w:t>工期为签订合同</w:t>
      </w:r>
      <w:r>
        <w:rPr>
          <w:rFonts w:hint="eastAsia" w:ascii="宋体" w:hAnsi="宋体" w:cs="宋体"/>
          <w:sz w:val="24"/>
          <w:lang w:val="en-US" w:eastAsia="zh-CN"/>
        </w:rPr>
        <w:t>或以甲方开工令时间</w:t>
      </w:r>
      <w:r>
        <w:rPr>
          <w:rFonts w:hint="eastAsia" w:ascii="宋体" w:hAnsi="宋体" w:eastAsia="宋体" w:cs="宋体"/>
          <w:sz w:val="24"/>
        </w:rPr>
        <w:t>开始</w:t>
      </w:r>
      <w:r>
        <w:rPr>
          <w:rFonts w:hint="eastAsia" w:ascii="宋体" w:hAnsi="宋体" w:cs="宋体"/>
          <w:sz w:val="24"/>
          <w:lang w:val="en-US" w:eastAsia="zh-CN"/>
        </w:rPr>
        <w:t>7</w:t>
      </w:r>
      <w:r>
        <w:rPr>
          <w:rFonts w:hint="eastAsia" w:ascii="宋体" w:hAnsi="宋体" w:eastAsia="宋体" w:cs="宋体"/>
          <w:sz w:val="24"/>
        </w:rPr>
        <w:t>天内完工，延误工期的按照所签订的合同条款执行。</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w:t>
      </w:r>
      <w:r>
        <w:rPr>
          <w:rFonts w:hint="eastAsia" w:ascii="宋体" w:hAnsi="宋体" w:eastAsia="宋体" w:cs="宋体"/>
          <w:sz w:val="24"/>
        </w:rPr>
        <w:t>付款条件：</w:t>
      </w:r>
      <w:r>
        <w:rPr>
          <w:rFonts w:hint="eastAsia" w:ascii="宋体" w:hAnsi="宋体" w:eastAsia="宋体" w:cs="宋体"/>
          <w:sz w:val="24"/>
          <w:lang w:val="en-US" w:eastAsia="zh-CN"/>
        </w:rPr>
        <w:t>合同签订后施工单位进场前，</w:t>
      </w:r>
      <w:r>
        <w:rPr>
          <w:rFonts w:hint="eastAsia" w:ascii="宋体" w:hAnsi="宋体" w:eastAsia="宋体" w:cs="宋体"/>
          <w:sz w:val="24"/>
        </w:rPr>
        <w:t>工程完成</w:t>
      </w:r>
      <w:r>
        <w:rPr>
          <w:rFonts w:hint="eastAsia" w:ascii="宋体" w:hAnsi="宋体" w:cs="宋体"/>
          <w:sz w:val="24"/>
          <w:lang w:val="en-US" w:eastAsia="zh-CN"/>
        </w:rPr>
        <w:t>并</w:t>
      </w:r>
      <w:r>
        <w:rPr>
          <w:rFonts w:hint="eastAsia" w:ascii="宋体" w:hAnsi="宋体" w:eastAsia="宋体" w:cs="宋体"/>
          <w:sz w:val="24"/>
        </w:rPr>
        <w:t>验收合格后，结算审核完毕即付款至结算价</w:t>
      </w:r>
      <w:r>
        <w:rPr>
          <w:rFonts w:hint="eastAsia" w:ascii="宋体" w:hAnsi="宋体" w:cs="宋体"/>
          <w:sz w:val="24"/>
          <w:lang w:val="en-US" w:eastAsia="zh-CN"/>
        </w:rPr>
        <w:t>100</w:t>
      </w:r>
      <w:r>
        <w:rPr>
          <w:rFonts w:hint="eastAsia" w:ascii="宋体" w:hAnsi="宋体" w:eastAsia="宋体" w:cs="宋体"/>
          <w:sz w:val="24"/>
        </w:rPr>
        <w:t>%。</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val="en-US" w:eastAsia="zh-CN"/>
        </w:rPr>
        <w:t>.</w:t>
      </w:r>
      <w:r>
        <w:rPr>
          <w:rFonts w:hint="eastAsia" w:ascii="宋体" w:hAnsi="宋体" w:eastAsia="宋体" w:cs="宋体"/>
          <w:sz w:val="24"/>
        </w:rPr>
        <w:t>在质保期内如出现故障，</w:t>
      </w:r>
      <w:r>
        <w:rPr>
          <w:rStyle w:val="87"/>
          <w:rFonts w:hint="eastAsia" w:ascii="宋体" w:hAnsi="宋体" w:eastAsia="宋体" w:cs="宋体"/>
        </w:rPr>
        <w:t>乙方</w:t>
      </w:r>
      <w:r>
        <w:rPr>
          <w:rFonts w:hint="eastAsia" w:ascii="宋体" w:hAnsi="宋体" w:eastAsia="宋体" w:cs="宋体"/>
          <w:sz w:val="24"/>
        </w:rPr>
        <w:t>应在接到通知后24小时内到现场处理。</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cs="宋体"/>
          <w:sz w:val="24"/>
          <w:lang w:val="en-US" w:eastAsia="zh-CN"/>
        </w:rPr>
        <w:t>.</w:t>
      </w:r>
      <w:r>
        <w:rPr>
          <w:rFonts w:hint="eastAsia" w:ascii="宋体" w:hAnsi="宋体" w:eastAsia="宋体" w:cs="宋体"/>
          <w:sz w:val="24"/>
        </w:rPr>
        <w:t>售后服务期限：双方签署最终验收文件至少</w:t>
      </w:r>
      <w:r>
        <w:rPr>
          <w:rFonts w:hint="eastAsia" w:ascii="宋体" w:hAnsi="宋体" w:cs="宋体"/>
          <w:sz w:val="24"/>
          <w:lang w:val="en-US" w:eastAsia="zh-CN"/>
        </w:rPr>
        <w:t>12</w:t>
      </w:r>
      <w:r>
        <w:rPr>
          <w:rFonts w:hint="eastAsia" w:ascii="宋体" w:hAnsi="宋体" w:eastAsia="宋体" w:cs="宋体"/>
          <w:sz w:val="24"/>
        </w:rPr>
        <w:t>个月内为免费质保期。</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5.现状柜式七氟丙烷气体灭火装置灭火剂瓶组信息：</w:t>
      </w:r>
    </w:p>
    <w:tbl>
      <w:tblPr>
        <w:tblStyle w:val="36"/>
        <w:tblW w:w="549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21"/>
        <w:gridCol w:w="3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jc w:val="center"/>
        </w:trPr>
        <w:tc>
          <w:tcPr>
            <w:tcW w:w="5490" w:type="dxa"/>
            <w:gridSpan w:val="2"/>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柜式七氟丙烷气体灭火装置灭火剂瓶组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 w:hRule="atLeast"/>
          <w:jc w:val="center"/>
        </w:trPr>
        <w:tc>
          <w:tcPr>
            <w:tcW w:w="182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36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QMP120/2.5-ZA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jc w:val="center"/>
        </w:trPr>
        <w:tc>
          <w:tcPr>
            <w:tcW w:w="182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灭火剂名称</w:t>
            </w:r>
          </w:p>
        </w:tc>
        <w:tc>
          <w:tcPr>
            <w:tcW w:w="36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七氟丙烷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jc w:val="center"/>
        </w:trPr>
        <w:tc>
          <w:tcPr>
            <w:tcW w:w="182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工作温度范围</w:t>
            </w:r>
          </w:p>
        </w:tc>
        <w:tc>
          <w:tcPr>
            <w:tcW w:w="36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0°C-50度c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jc w:val="center"/>
        </w:trPr>
        <w:tc>
          <w:tcPr>
            <w:tcW w:w="182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灭火剂充装量</w:t>
            </w:r>
          </w:p>
        </w:tc>
        <w:tc>
          <w:tcPr>
            <w:tcW w:w="36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jc w:val="center"/>
        </w:trPr>
        <w:tc>
          <w:tcPr>
            <w:tcW w:w="182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充装压力</w:t>
            </w:r>
          </w:p>
        </w:tc>
        <w:tc>
          <w:tcPr>
            <w:tcW w:w="36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jc w:val="center"/>
        </w:trPr>
        <w:tc>
          <w:tcPr>
            <w:tcW w:w="182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储存压力</w:t>
            </w:r>
          </w:p>
        </w:tc>
        <w:tc>
          <w:tcPr>
            <w:tcW w:w="36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jc w:val="center"/>
        </w:trPr>
        <w:tc>
          <w:tcPr>
            <w:tcW w:w="182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最大工作压力</w:t>
            </w:r>
          </w:p>
        </w:tc>
        <w:tc>
          <w:tcPr>
            <w:tcW w:w="36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jc w:val="center"/>
        </w:trPr>
        <w:tc>
          <w:tcPr>
            <w:tcW w:w="182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充装日期</w:t>
            </w:r>
          </w:p>
        </w:tc>
        <w:tc>
          <w:tcPr>
            <w:tcW w:w="36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2020年10月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jc w:val="center"/>
        </w:trPr>
        <w:tc>
          <w:tcPr>
            <w:tcW w:w="182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w:t>
            </w:r>
          </w:p>
        </w:tc>
        <w:tc>
          <w:tcPr>
            <w:tcW w:w="366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深圳市桌安消防设备有限公司</w:t>
            </w:r>
          </w:p>
        </w:tc>
      </w:tr>
    </w:tbl>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lang w:val="en-US" w:eastAsia="zh-CN"/>
        </w:rPr>
      </w:pPr>
    </w:p>
    <w:p>
      <w:pPr>
        <w:numPr>
          <w:ilvl w:val="0"/>
          <w:numId w:val="0"/>
        </w:numPr>
        <w:spacing w:line="360" w:lineRule="auto"/>
        <w:rPr>
          <w:rFonts w:hint="default" w:ascii="宋体" w:hAnsi="宋体" w:cs="宋体"/>
          <w:b/>
          <w:bCs/>
          <w:sz w:val="28"/>
          <w:szCs w:val="28"/>
          <w:lang w:val="en-US" w:eastAsia="zh-CN"/>
        </w:rPr>
      </w:pPr>
      <w:r>
        <w:rPr>
          <w:rFonts w:hint="eastAsia" w:ascii="宋体" w:hAnsi="宋体" w:cs="宋体"/>
          <w:b/>
          <w:bCs/>
          <w:sz w:val="28"/>
          <w:szCs w:val="28"/>
          <w:lang w:val="en-US" w:eastAsia="zh-CN"/>
        </w:rPr>
        <w:t>四、承包人责任及义务</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1.承包人必须按合同条款的规定负责采购、验收、运输和保管工程施工中所需的全部材料。材料应具有材质证明或出厂合格证书，并符合国家相关技术规范的要求。</w:t>
      </w:r>
    </w:p>
    <w:p>
      <w:pPr>
        <w:spacing w:line="440" w:lineRule="atLeast"/>
        <w:ind w:firstLine="480" w:firstLineChars="200"/>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rPr>
        <w:t>由于某种原因无法提供规定材料时，承包人可以提出使用代用材料的申请报告，报送发包人批准。采用代用材料的报告必须附有代用材料的技术标准和试验报告，只有在证明其不降低工程质量并经发包人批准后才能采用。</w:t>
      </w:r>
    </w:p>
    <w:p>
      <w:pPr>
        <w:spacing w:line="440" w:lineRule="atLeast"/>
        <w:ind w:firstLine="480" w:firstLineChars="200"/>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由承包人提供的材料应按合同规定经过检查和试验，承包人提供材质证明、出厂合格证书、材料样品和试验报告。承包人对其提供使用的材料应负全部责任，发包人一旦发现承包人在本工程中使用不合格的材料时，承包人应按用户的指示立即更换材料，并承担由于工程质量不合格所造成的一切损失。</w:t>
      </w:r>
    </w:p>
    <w:p>
      <w:pPr>
        <w:spacing w:line="440" w:lineRule="atLeast"/>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eastAsia="宋体" w:cs="宋体"/>
          <w:sz w:val="24"/>
        </w:rPr>
        <w:t>承包人所有设备均须按合同规定经过检查、验证和运转试验，承包人对其所用的设备负有全部责任。用户一旦发现承包人所用的施工设备影响工程的进度和质量时，承包人应按用户的指示更换设</w:t>
      </w:r>
      <w:r>
        <w:rPr>
          <w:rFonts w:hint="eastAsia" w:ascii="宋体" w:hAnsi="宋体" w:eastAsia="宋体" w:cs="宋体"/>
          <w:sz w:val="24"/>
          <w:lang w:val="en-US" w:eastAsia="zh-CN"/>
        </w:rPr>
        <w:t>备</w:t>
      </w:r>
      <w:r>
        <w:rPr>
          <w:rFonts w:hint="eastAsia" w:ascii="宋体" w:hAnsi="宋体" w:cs="宋体"/>
          <w:sz w:val="24"/>
          <w:lang w:val="en-US" w:eastAsia="zh-CN"/>
        </w:rPr>
        <w:t>。</w:t>
      </w:r>
    </w:p>
    <w:p>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5.</w:t>
      </w:r>
      <w:r>
        <w:rPr>
          <w:rFonts w:hint="eastAsia" w:ascii="宋体" w:hAnsi="宋体" w:eastAsia="宋体" w:cs="宋体"/>
          <w:sz w:val="24"/>
        </w:rPr>
        <w:t>承包人</w:t>
      </w:r>
      <w:r>
        <w:rPr>
          <w:rFonts w:hint="eastAsia" w:ascii="宋体" w:hAnsi="宋体" w:cs="宋体"/>
          <w:sz w:val="24"/>
          <w:lang w:val="en-US" w:eastAsia="zh-CN"/>
        </w:rPr>
        <w:t>需对有使用期限及质保期限的物资，需载明使用期限及质保期限，在使用期限内，非不可抗</w:t>
      </w:r>
      <w:r>
        <w:rPr>
          <w:rFonts w:hint="eastAsia" w:ascii="宋体" w:hAnsi="宋体" w:eastAsia="宋体" w:cs="宋体"/>
          <w:sz w:val="24"/>
          <w:lang w:val="en-US" w:eastAsia="zh-CN"/>
        </w:rPr>
        <w:t>力造成的产品质量问题，由贵司承担产品的维修费用或重新购置费用。</w:t>
      </w:r>
    </w:p>
    <w:p>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6.</w:t>
      </w:r>
      <w:r>
        <w:rPr>
          <w:rFonts w:hint="eastAsia" w:ascii="宋体" w:hAnsi="宋体" w:eastAsia="宋体" w:cs="宋体"/>
          <w:sz w:val="24"/>
          <w:lang w:val="en-US" w:eastAsia="zh-CN"/>
        </w:rPr>
        <w:t>本项目采购的所有物品需满足项目要求的使用功能，物资要按甲方要求准时送达，涉及需安装的物资，要按正确的安装方法进行安装，因安装不当造成的损失由乙方自行承担责任。</w:t>
      </w:r>
    </w:p>
    <w:p>
      <w:pPr>
        <w:spacing w:line="440" w:lineRule="atLeas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7.</w:t>
      </w:r>
      <w:r>
        <w:rPr>
          <w:rFonts w:hint="eastAsia" w:ascii="宋体" w:hAnsi="宋体" w:eastAsia="宋体" w:cs="宋体"/>
          <w:color w:val="auto"/>
          <w:sz w:val="24"/>
        </w:rPr>
        <w:t>承包人对发包人提供的任何图纸文件应仔细审阅，如发现错误或表达不清楚的地方，必须在2天内正式通知发包人。</w:t>
      </w:r>
    </w:p>
    <w:p>
      <w:pPr>
        <w:spacing w:line="440" w:lineRule="atLeast"/>
        <w:ind w:firstLine="480" w:firstLineChars="200"/>
        <w:rPr>
          <w:rFonts w:hint="eastAsia" w:ascii="宋体" w:hAnsi="宋体" w:eastAsia="宋体" w:cs="宋体"/>
          <w:sz w:val="24"/>
        </w:rPr>
      </w:pPr>
      <w:r>
        <w:rPr>
          <w:rFonts w:hint="eastAsia" w:ascii="宋体" w:hAnsi="宋体" w:cs="宋体"/>
          <w:sz w:val="24"/>
          <w:lang w:val="en-US" w:eastAsia="zh-CN"/>
        </w:rPr>
        <w:t>8.</w:t>
      </w:r>
      <w:r>
        <w:rPr>
          <w:rFonts w:hint="eastAsia" w:ascii="宋体" w:hAnsi="宋体" w:eastAsia="宋体" w:cs="宋体"/>
          <w:sz w:val="24"/>
        </w:rPr>
        <w:t>承包人必须遵守国家和地方政府颁发的有关环境保护的法律、法规、条例。承包人不得将有害物质(如燃料、油料、化学品、酸等，以及超过允许剂量的有害气体和尘埃、弃碴等)污染土地、河川。倘因承包人过失破坏环境保护而遭致经济损失或赔偿，承包人应承担全部责任。</w:t>
      </w:r>
    </w:p>
    <w:p>
      <w:pPr>
        <w:spacing w:line="440" w:lineRule="atLeast"/>
        <w:ind w:firstLine="480" w:firstLineChars="200"/>
        <w:rPr>
          <w:rFonts w:hint="eastAsia"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承包人应将工程垃圾按照当地环卫部门规定的要求堆放。由于承包人的施工违反当地城市管理相关规定，造成的人身安全事故、环境破坏和经济损失，由承包人承担全部责任。为保持施工区的环境卫生，必须及时清理垃圾，并将其运至当地环卫部门指定的地点。</w:t>
      </w:r>
    </w:p>
    <w:p>
      <w:pPr>
        <w:spacing w:line="440" w:lineRule="atLeast"/>
        <w:ind w:firstLine="480" w:firstLineChars="200"/>
        <w:rPr>
          <w:rFonts w:hint="eastAsia" w:ascii="宋体" w:hAnsi="宋体" w:eastAsia="宋体" w:cs="宋体"/>
          <w:color w:val="auto"/>
          <w:sz w:val="24"/>
          <w:lang w:val="en-US" w:eastAsia="zh-CN"/>
        </w:rPr>
      </w:pPr>
      <w:r>
        <w:rPr>
          <w:rFonts w:hint="eastAsia" w:ascii="宋体" w:hAnsi="宋体" w:cs="宋体"/>
          <w:sz w:val="24"/>
          <w:lang w:val="en-US" w:eastAsia="zh-CN"/>
        </w:rPr>
        <w:t>10.</w:t>
      </w:r>
      <w:r>
        <w:rPr>
          <w:rFonts w:hint="eastAsia" w:ascii="宋体" w:hAnsi="宋体" w:eastAsia="宋体" w:cs="宋体"/>
          <w:sz w:val="24"/>
        </w:rPr>
        <w:t>承包人应按发包人指令拆除施工临时设施和临时生活设施，拆除后的场地应清理并恢复。清理工作所需费用由承包人承担。</w:t>
      </w:r>
    </w:p>
    <w:p>
      <w:pPr>
        <w:numPr>
          <w:ilvl w:val="0"/>
          <w:numId w:val="0"/>
        </w:numPr>
        <w:spacing w:line="360" w:lineRule="auto"/>
        <w:rPr>
          <w:rFonts w:hint="eastAsia" w:ascii="宋体" w:hAnsi="宋体" w:cs="宋体"/>
          <w:b/>
          <w:bCs/>
          <w:sz w:val="28"/>
          <w:szCs w:val="28"/>
          <w:lang w:val="en-US" w:eastAsia="zh-CN"/>
        </w:rPr>
      </w:pPr>
      <w:r>
        <w:rPr>
          <w:rFonts w:hint="eastAsia" w:ascii="宋体" w:hAnsi="宋体" w:cs="宋体"/>
          <w:b/>
          <w:bCs/>
          <w:sz w:val="28"/>
          <w:szCs w:val="28"/>
          <w:lang w:val="en-US" w:eastAsia="zh-CN"/>
        </w:rPr>
        <w:t>五、发包人责任及义务</w:t>
      </w:r>
    </w:p>
    <w:p>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1.发包人需明确物资采购的参数、品牌、规格、尺寸或提供相关图纸</w:t>
      </w:r>
      <w:r>
        <w:rPr>
          <w:rFonts w:hint="eastAsia" w:ascii="宋体" w:hAnsi="宋体" w:eastAsia="宋体" w:cs="宋体"/>
          <w:sz w:val="24"/>
          <w:lang w:val="en-US" w:eastAsia="zh-CN"/>
        </w:rPr>
        <w:t>。</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2.发包人可通过书面形式通知承包人需变更购买的物资。</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3.承包人需通知发包人到场查收已完成购买的物资，承包人要带上出厂合格证、品牌信息，产品参数等资料，以便发包人查验。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4.发包人如发现物资与清单或需求不一致时，要求承包人更换产品时，承包人必须按发包人要求执行。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5.发包人提供物资给承包人使用，承包人必须妥善保管，如承包人保管及使用不当的，由承包人承担重新购置及维修的费用。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6.发包人可随时对产品进行检查，承包人须无条件配合。</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7.发包人对验收的物资，需由项目对接人或负责人签字确认给承包人，以作为物资移交使用的依据。</w:t>
      </w:r>
    </w:p>
    <w:p>
      <w:pPr>
        <w:spacing w:line="440" w:lineRule="atLeast"/>
        <w:ind w:firstLine="480" w:firstLineChars="200"/>
        <w:rPr>
          <w:rFonts w:hint="eastAsia" w:ascii="宋体" w:hAnsi="宋体" w:eastAsia="宋体" w:cs="宋体"/>
          <w:sz w:val="24"/>
        </w:rPr>
      </w:pPr>
      <w:r>
        <w:rPr>
          <w:rFonts w:hint="eastAsia" w:ascii="宋体" w:hAnsi="宋体" w:cs="宋体"/>
          <w:sz w:val="24"/>
          <w:lang w:val="en-US" w:eastAsia="zh-CN"/>
        </w:rPr>
        <w:t>8.发包人</w:t>
      </w:r>
      <w:r>
        <w:rPr>
          <w:rFonts w:hint="eastAsia" w:ascii="宋体" w:hAnsi="宋体" w:eastAsia="宋体" w:cs="宋体"/>
          <w:sz w:val="24"/>
        </w:rPr>
        <w:t>对工程施工质量的跟踪、监督</w:t>
      </w:r>
      <w:r>
        <w:rPr>
          <w:rFonts w:hint="eastAsia" w:ascii="宋体" w:hAnsi="宋体" w:cs="宋体"/>
          <w:sz w:val="24"/>
          <w:lang w:eastAsia="zh-CN"/>
        </w:rPr>
        <w:t>，</w:t>
      </w:r>
      <w:r>
        <w:rPr>
          <w:rFonts w:hint="eastAsia" w:ascii="宋体" w:hAnsi="宋体" w:eastAsia="宋体" w:cs="宋体"/>
          <w:sz w:val="24"/>
        </w:rPr>
        <w:t>工程竣工后组织对工程的验收。</w:t>
      </w:r>
    </w:p>
    <w:p>
      <w:pPr>
        <w:numPr>
          <w:ilvl w:val="0"/>
          <w:numId w:val="0"/>
        </w:numPr>
        <w:spacing w:line="360" w:lineRule="auto"/>
        <w:rPr>
          <w:rFonts w:hint="default" w:ascii="宋体" w:hAnsi="宋体" w:cs="宋体"/>
          <w:b/>
          <w:bCs/>
          <w:sz w:val="28"/>
          <w:szCs w:val="28"/>
          <w:lang w:val="en-US" w:eastAsia="zh-CN"/>
        </w:rPr>
      </w:pPr>
      <w:r>
        <w:rPr>
          <w:rFonts w:hint="eastAsia" w:ascii="宋体" w:hAnsi="宋体" w:cs="宋体"/>
          <w:b/>
          <w:bCs/>
          <w:sz w:val="28"/>
          <w:szCs w:val="28"/>
          <w:lang w:val="en-US" w:eastAsia="zh-CN"/>
        </w:rPr>
        <w:t>六、其他约定</w:t>
      </w:r>
    </w:p>
    <w:p>
      <w:pPr>
        <w:spacing w:line="440" w:lineRule="atLeast"/>
        <w:ind w:firstLine="420" w:firstLineChars="175"/>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承包人施工所用的材料、设备和工程质量的检验和验收应符合本技术条款中引用的国家标准或行业颁布的技术标准、规程规范。</w:t>
      </w:r>
    </w:p>
    <w:p>
      <w:pPr>
        <w:spacing w:line="440" w:lineRule="atLeas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lang w:val="en-US" w:eastAsia="zh-CN"/>
        </w:rPr>
        <w:t>2.</w:t>
      </w:r>
      <w:r>
        <w:rPr>
          <w:rFonts w:hint="eastAsia" w:ascii="宋体" w:hAnsi="宋体" w:eastAsia="宋体" w:cs="宋体"/>
          <w:sz w:val="24"/>
        </w:rPr>
        <w:t>当本技术条款的内容与所引用的标准和规程规范的规定有矛盾时，应以本技术条款的规定或发包人指示为准。</w:t>
      </w:r>
    </w:p>
    <w:p>
      <w:pPr>
        <w:spacing w:line="440" w:lineRule="atLeas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lang w:val="en-US" w:eastAsia="zh-CN"/>
        </w:rPr>
        <w:t>3.</w:t>
      </w:r>
      <w:r>
        <w:rPr>
          <w:rFonts w:hint="eastAsia" w:ascii="宋体" w:hAnsi="宋体" w:eastAsia="宋体" w:cs="宋体"/>
          <w:sz w:val="24"/>
        </w:rPr>
        <w:t>技术条款中有涉及工程安全的规定，必须严格遵守国家和行业的标准，遇有矛盾时应由发包人按国家和行业标准的规定进行修正，涉及变更的应按合同条款的有关规定的办理。</w:t>
      </w:r>
    </w:p>
    <w:p>
      <w:pPr>
        <w:spacing w:line="440" w:lineRule="atLeas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lang w:val="en-US" w:eastAsia="zh-CN"/>
        </w:rPr>
        <w:t>4.</w:t>
      </w:r>
      <w:r>
        <w:rPr>
          <w:rFonts w:hint="eastAsia" w:ascii="宋体" w:hAnsi="宋体" w:eastAsia="宋体" w:cs="宋体"/>
          <w:sz w:val="24"/>
        </w:rPr>
        <w:t>在施工过程中，发包人为保证工程质量和施工进度要求，有权指示承包人或批准承包人采用新技术，并增补和修改技术条款的内容。其增补的修改的内容涉及变更时，按合同条款的有关规定办理。</w:t>
      </w:r>
    </w:p>
    <w:p>
      <w:pPr>
        <w:spacing w:line="440" w:lineRule="atLeast"/>
        <w:ind w:firstLine="480" w:firstLineChars="200"/>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本合同技术条款中引用的标准和规程规范在本合同执行期间，若国家和行业进行重新修订，则按修订后的标准和规程规范为准。</w:t>
      </w:r>
    </w:p>
    <w:p>
      <w:pPr>
        <w:spacing w:line="440" w:lineRule="atLeast"/>
        <w:ind w:firstLine="480" w:firstLineChars="200"/>
        <w:rPr>
          <w:rFonts w:hint="eastAsia" w:ascii="宋体" w:hAnsi="宋体" w:eastAsia="宋体" w:cs="宋体"/>
          <w:sz w:val="24"/>
        </w:rPr>
      </w:pPr>
      <w:r>
        <w:rPr>
          <w:rFonts w:hint="eastAsia" w:ascii="宋体" w:hAnsi="宋体" w:cs="宋体"/>
          <w:sz w:val="24"/>
          <w:lang w:val="en-US" w:eastAsia="zh-CN"/>
        </w:rPr>
        <w:t>6.</w:t>
      </w:r>
      <w:r>
        <w:rPr>
          <w:rFonts w:hint="eastAsia" w:ascii="宋体" w:hAnsi="宋体" w:eastAsia="宋体" w:cs="宋体"/>
          <w:sz w:val="24"/>
        </w:rPr>
        <w:t>本工程项目的材料、设备、施工必须达到现行中华人民共和国及省、市、行业的一切有关法规、规范的要求，同时还须结合本项目实际情况，响应招标文件及施工图要求。</w:t>
      </w:r>
    </w:p>
    <w:p>
      <w:pPr>
        <w:spacing w:line="440" w:lineRule="atLeast"/>
        <w:ind w:firstLine="424" w:firstLineChars="177"/>
        <w:rPr>
          <w:rFonts w:hint="eastAsia" w:ascii="宋体" w:hAnsi="宋体" w:eastAsia="宋体" w:cs="宋体"/>
          <w:color w:val="000000"/>
          <w:sz w:val="24"/>
          <w:szCs w:val="24"/>
        </w:rPr>
      </w:pP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综合单价应包括工程施工所需的人工、材料、机械、安全及文明施工措施费、赶工费、技术措施费、成品保护、各类半成品及成品检测试验费、不可预见费、材料价格上涨风险、保险费、施工单位临时设施搭设及拆除费、工程期间办公与生活及差旅费、施工及生活水电费、材料设备搬运及二次以上转运、停水停电应急措施费、工地保安、垃圾清理、场地清洁、验收、因不可抗力导致的施工方损失、管理费、利润以及为完成本工程的其他措施费等全部费用。工程量按实结算。工程量中按“项”和“樘”描述的费用为包干使用，结算时不予调整。</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招标人只提供现场现状，施工用水、用电（含接驳费）由中标单位自行解决，费用在报价中综合考虑，结算时不予调整。</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原施工场地内、外施工的排水、排污措施的疏通、杂物的清除和修补、重新砌筑及施工期间的抽、排水等，由中标人负责，所需费用在报价中综合考虑，结算时不予调整。</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rPr>
        <w:t>现场条件以现状为准，投标人认为不满足施工条件的，费用在报价中综合考虑，中标后不因此增加任何费用。</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rPr>
        <w:t>招标人有权根据使用要求和工程需要对设计、主要材料及设备进行变更，有权根据变更以及招标文件及承包合同约定的造价调整方式对造价进行调整，中标人必须予以执行。</w:t>
      </w:r>
    </w:p>
    <w:p>
      <w:pPr>
        <w:spacing w:line="360" w:lineRule="auto"/>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val="en-US" w:eastAsia="zh-CN"/>
        </w:rPr>
        <w:t>12.</w:t>
      </w:r>
      <w:r>
        <w:rPr>
          <w:rFonts w:hint="eastAsia" w:ascii="宋体" w:hAnsi="宋体" w:eastAsia="宋体" w:cs="宋体"/>
          <w:color w:val="000000"/>
          <w:sz w:val="24"/>
          <w:szCs w:val="24"/>
        </w:rPr>
        <w:t>如果因为非承包人原因，招标人删减了合同中的某项原定工作或工程，结算时将调减此项目。</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13.</w:t>
      </w:r>
      <w:r>
        <w:rPr>
          <w:rFonts w:hint="eastAsia" w:ascii="宋体" w:hAnsi="宋体" w:eastAsia="宋体" w:cs="宋体"/>
          <w:color w:val="000000"/>
          <w:sz w:val="24"/>
          <w:szCs w:val="24"/>
        </w:rPr>
        <w:t>施工中造成的污染，费用由中标人承担；施工中破坏的物品仍按原样修复，所涉及的一切费用均由中标单位承担。</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14.</w:t>
      </w:r>
      <w:r>
        <w:rPr>
          <w:rFonts w:hint="eastAsia" w:ascii="宋体" w:hAnsi="宋体" w:eastAsia="宋体" w:cs="宋体"/>
          <w:color w:val="000000"/>
          <w:sz w:val="24"/>
          <w:szCs w:val="24"/>
        </w:rPr>
        <w:t>现场使用的石材、木板及防腐木、门窗、玻璃、灯具和装饰材料均需上报样板，并经确认才能使用；样板不符合要求的，招标单位有权要求更换，并由投标人承担因此产生的各种费用。</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15.</w:t>
      </w:r>
      <w:r>
        <w:rPr>
          <w:rFonts w:hint="eastAsia" w:ascii="宋体" w:hAnsi="宋体" w:eastAsia="宋体" w:cs="宋体"/>
          <w:color w:val="000000"/>
          <w:sz w:val="24"/>
          <w:szCs w:val="24"/>
        </w:rPr>
        <w:t>施工期间的材料和人工价差不予调整。</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16.</w:t>
      </w:r>
      <w:r>
        <w:rPr>
          <w:rFonts w:hint="eastAsia" w:ascii="宋体" w:hAnsi="宋体" w:eastAsia="宋体" w:cs="宋体"/>
          <w:color w:val="000000"/>
          <w:sz w:val="24"/>
          <w:szCs w:val="24"/>
        </w:rPr>
        <w:t>投标人应当根据招标工程量清单、设计文件和市场原材料和构配件供应情况、市场因素等材料自行考虑风险因素进行报价。否则，一旦中标，招标人将不予支付除招标文件和承包合同约定的由招标人承担的风险因素之外的任何补偿。</w:t>
      </w:r>
    </w:p>
    <w:p>
      <w:pPr>
        <w:spacing w:line="360" w:lineRule="auto"/>
        <w:ind w:firstLine="480"/>
        <w:rPr>
          <w:rFonts w:hint="eastAsia" w:ascii="宋体" w:hAnsi="宋体" w:eastAsia="宋体" w:cs="宋体"/>
          <w:color w:val="000000"/>
          <w:sz w:val="24"/>
          <w:szCs w:val="24"/>
        </w:rPr>
      </w:pPr>
      <w:r>
        <w:rPr>
          <w:rFonts w:hint="eastAsia" w:ascii="宋体" w:hAnsi="宋体" w:cs="宋体"/>
          <w:color w:val="000000"/>
          <w:sz w:val="24"/>
          <w:szCs w:val="24"/>
          <w:lang w:val="en-US" w:eastAsia="zh-CN"/>
        </w:rPr>
        <w:t>17.</w:t>
      </w:r>
      <w:r>
        <w:rPr>
          <w:rFonts w:hint="eastAsia" w:ascii="宋体" w:hAnsi="宋体" w:eastAsia="宋体" w:cs="宋体"/>
          <w:color w:val="000000"/>
          <w:sz w:val="24"/>
          <w:szCs w:val="24"/>
        </w:rPr>
        <w:t>工程验收执行国家、广东省和珠海市颁布的相关质量标准和要求。工程质量保修期按国家、广东省和珠海市颁布的相关《建设工程质量管理条例》的相关条款执行。</w:t>
      </w:r>
    </w:p>
    <w:p>
      <w:pPr>
        <w:spacing w:line="360" w:lineRule="auto"/>
        <w:ind w:firstLine="480"/>
        <w:rPr>
          <w:rFonts w:hint="eastAsia" w:ascii="宋体" w:hAnsi="宋体" w:eastAsia="宋体" w:cs="宋体"/>
          <w:kern w:val="0"/>
          <w:sz w:val="24"/>
          <w:szCs w:val="24"/>
        </w:rPr>
      </w:pPr>
      <w:r>
        <w:rPr>
          <w:rFonts w:hint="eastAsia" w:ascii="宋体" w:hAnsi="宋体" w:cs="宋体"/>
          <w:kern w:val="0"/>
          <w:sz w:val="24"/>
          <w:szCs w:val="24"/>
          <w:lang w:val="en-US" w:eastAsia="zh-CN"/>
        </w:rPr>
        <w:t>18.</w:t>
      </w:r>
      <w:r>
        <w:rPr>
          <w:rFonts w:hint="eastAsia" w:ascii="宋体" w:hAnsi="宋体" w:eastAsia="宋体" w:cs="宋体"/>
          <w:kern w:val="0"/>
          <w:sz w:val="24"/>
          <w:szCs w:val="24"/>
        </w:rPr>
        <w:t>本工程要求承包人必须做好现场围闭后，方可进行施工，因场地较小，周边是办公场所，施工期间做好警示及防护措施。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b/>
          <w:bCs/>
          <w:sz w:val="28"/>
          <w:szCs w:val="28"/>
          <w:lang w:val="en-US" w:eastAsia="zh-CN"/>
        </w:rPr>
      </w:pPr>
      <w:r>
        <w:rPr>
          <w:rFonts w:hint="eastAsia" w:ascii="宋体" w:hAnsi="宋体" w:cs="宋体"/>
          <w:b/>
          <w:bCs/>
          <w:sz w:val="28"/>
          <w:szCs w:val="28"/>
          <w:lang w:val="en-US" w:eastAsia="zh-CN"/>
        </w:rPr>
        <w:t>七、工程采购范围</w:t>
      </w:r>
    </w:p>
    <w:p>
      <w:pPr>
        <w:spacing w:line="360" w:lineRule="auto"/>
        <w:ind w:firstLine="480" w:firstLineChars="200"/>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sz w:val="24"/>
        </w:rPr>
        <w:t>承包人施工所用的材料、设备和工程质量的检验和验收应符合本技术条款中引用的国家标准</w:t>
      </w:r>
      <w:r>
        <w:rPr>
          <w:rFonts w:hint="eastAsia" w:ascii="宋体" w:hAnsi="宋体" w:cs="宋体"/>
          <w:sz w:val="24"/>
          <w:lang w:eastAsia="zh-CN"/>
        </w:rPr>
        <w:t>。</w:t>
      </w:r>
      <w:r>
        <w:rPr>
          <w:rFonts w:hint="eastAsia" w:ascii="宋体" w:hAnsi="宋体" w:cs="宋体"/>
          <w:sz w:val="24"/>
          <w:szCs w:val="24"/>
          <w:lang w:val="en-US" w:eastAsia="zh-CN"/>
        </w:rPr>
        <w:t>食品加工中心提升改造工程量清单</w:t>
      </w:r>
      <w:r>
        <w:rPr>
          <w:rFonts w:hint="eastAsia" w:ascii="宋体" w:hAnsi="宋体" w:cs="宋体"/>
          <w:i w:val="0"/>
          <w:iCs w:val="0"/>
          <w:color w:val="000000"/>
          <w:kern w:val="0"/>
          <w:sz w:val="24"/>
          <w:szCs w:val="24"/>
          <w:u w:val="none"/>
          <w:lang w:val="en-US" w:eastAsia="zh-CN" w:bidi="ar"/>
        </w:rPr>
        <w:t>如下表：</w:t>
      </w:r>
    </w:p>
    <w:p>
      <w:pPr>
        <w:spacing w:line="360" w:lineRule="auto"/>
        <w:ind w:firstLine="420" w:firstLineChars="200"/>
        <w:rPr>
          <w:rFonts w:hint="eastAsia" w:ascii="宋体" w:hAnsi="宋体" w:cs="宋体"/>
          <w:i w:val="0"/>
          <w:iCs w:val="0"/>
          <w:color w:val="000000"/>
          <w:kern w:val="0"/>
          <w:sz w:val="24"/>
          <w:szCs w:val="24"/>
          <w:u w:val="none"/>
          <w:lang w:val="en-US" w:eastAsia="zh-CN" w:bidi="ar"/>
        </w:rPr>
      </w:pPr>
      <w:r>
        <w:drawing>
          <wp:inline distT="0" distB="0" distL="114300" distR="114300">
            <wp:extent cx="6475095" cy="4598670"/>
            <wp:effectExtent l="0" t="0" r="1905"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75095" cy="4598670"/>
                    </a:xfrm>
                    <a:prstGeom prst="rect">
                      <a:avLst/>
                    </a:prstGeom>
                    <a:noFill/>
                    <a:ln>
                      <a:noFill/>
                    </a:ln>
                  </pic:spPr>
                </pic:pic>
              </a:graphicData>
            </a:graphic>
          </wp:inline>
        </w:drawing>
      </w:r>
    </w:p>
    <w:p>
      <w:pPr>
        <w:spacing w:line="360" w:lineRule="auto"/>
        <w:jc w:val="center"/>
        <w:rPr>
          <w:rFonts w:hint="eastAsia" w:ascii="宋体" w:hAnsi="宋体" w:eastAsia="宋体" w:cs="宋体"/>
          <w:b/>
          <w:kern w:val="0"/>
          <w:sz w:val="28"/>
          <w:szCs w:val="28"/>
        </w:rPr>
      </w:pPr>
    </w:p>
    <w:p>
      <w:pPr>
        <w:spacing w:line="360" w:lineRule="auto"/>
        <w:jc w:val="center"/>
        <w:rPr>
          <w:rFonts w:hint="eastAsia" w:ascii="宋体" w:hAnsi="宋体" w:eastAsia="宋体" w:cs="宋体"/>
          <w:b/>
          <w:kern w:val="0"/>
          <w:sz w:val="28"/>
          <w:szCs w:val="28"/>
        </w:rPr>
      </w:pPr>
      <w:r>
        <w:rPr>
          <w:rFonts w:hint="eastAsia" w:ascii="宋体" w:hAnsi="宋体" w:eastAsia="宋体" w:cs="宋体"/>
          <w:b/>
          <w:kern w:val="0"/>
          <w:sz w:val="28"/>
          <w:szCs w:val="28"/>
        </w:rPr>
        <w:t>安全文明施工管理要求</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一）、施工基本要求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1、施工前应进行设计交底工作，并应对施工现场进行核查，了解建设单位和总承包单位的有关规定。</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2、各工序、各分项工程应自检、互检及交接检。</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3、施工中，严禁损坏房屋原有的隔热设施，严禁损坏受力钢筋，严禁超荷载集中堆放物品。</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4、施工人员应遵守有关施工安全、劳动保护、防火、防毒的法律、法规。</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5、暂停施工时应切断电源；施工用电线路应避开易燃、易爆物品堆放地。</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6、不得在未作防水的地面蓄水或搅拌水泥，暂停施工时应切断进户水源。</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7、防水材料、油漆等可燃易燃物品应集中存放并安排专人看护，存放场地应设置足够数量的灭火器。</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8、施工现场使用的设备必须符合相关安全使用的要求。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9、对于移交使用的电缆（室外埋地和室内）、电箱等用电设备（设施）应进行保护，确保不被破坏和偷盗。</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二）、文明施工和现场环境的要求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1、施工人员应衣着整齐。</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2、施工人员应服从建设单位和总承包单位的治安保卫人员的监督、管理。</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3、应控制粉尘、污染物、噪声、振动对相邻居民、居民区和城市环境的污染及危害。</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4、施工堆料不得占用楼道内的公共空间，封堵紧急出口。</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5、室外堆料应遵守物业管理规定，避开公共通道、绿化地等市政公用设施。</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6、工程垃圾应密封包装，并放在指定的建筑垃圾堆放地并及时、定时清运干净。</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7、不得堵塞、破坏上下水管道、水电井等公共设施，不得损坏楼内各种公共标识。</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8、施工现场严禁焚烧各类废弃物。</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9、工程验收前应将施工现场清理干净。</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三）、成品保护要求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1、材料运输使用电梯时，应对电梯采取保护措施。</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2、材料搬运时要避免损坏楼道内顶棚、墙壁、扶手、窗户和楼道门等各种公共设施。</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3、对邮箱、消防、供电、电视、报警、网络等公共设施应采取保护措施。</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4、各工种施工时不得污染、损坏其他工种或其他单位的半成品、成品。</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四）、施工现场防火安全要求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1、施工单位必须制定施工防火安全制度，施工人员必须严格遵守。</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2、装修施工过程中，装修材料应远离火源，并应派专人负责施工现场的防火安全，且不得影响原有消防设施的试验功能。</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3、施工现场不得大量积存可燃材料；易燃物品应相对集中放置在安全区域并应有明显标识。</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4、易燃、易爆材料的施工，应避免敲打、碰撞、摩擦等可能出现火花的操作，配套使用的照明灯、电动机、电气开关应有安全防爆装置。</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5、使用油漆、天那水等挥发性材料时，应随时封闭容器；擦拭后的棉纱等物品应集中堆放且远离火源。</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6、施工现场动用电气焊等明火时，必须清除周围及焊渣滴落区的可燃物质，并设专人监督。</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7、施工现场必须配备灭火器、沙箱或其他灭火工具。</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8、严禁在施工现场吸烟。</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五）、施工现场用电要求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1、施工现场应设立临时施工用电系统，照明用电与动力用电需分开设置。</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2、安装、维修或拆除临时施工用电系统，应有持证电工完成。</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3、临时施工供电开关箱应装设漏电保护器，进入开关箱的电源线不得用插销连接；箱体结构、箱内电器设置及使用应符合规范要求；箱体的安装位置、高度及周边通道应符合规范要求。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4、临时用电线路应避开易燃、易爆物品堆放地。</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5、灯具金属外壳应接保护零线，灯具与地面、易燃物间的距离应符合规范要求。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6、暂停施工时应切断电源。</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六）、施工现场用水要求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1、不得在未作防水的地面蓄水。</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2、临时用水管不得有破损、滴漏。</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3、暂停施工时应切断水源。</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七）、施工机具的安全使用要求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1、平刨应设置护手和保护罩等安全装置；保护零线应单独设置，并安装漏电保护装置；不得使用同台电机驱动多种刃具、钻具的多功能木工机具。</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2、圆盘锯应设置防护罩、分料器、防护挡板等安全装置；保护零线应单独设置，并安装漏电保护装置；不得使用同台电机驱动多种刃具、钻具的多功能木工机具。</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3、Ⅰ类手持电动工具应单独设置保护零线，并应安装漏电保护装置；使用Ⅰ类手持电动工具应按规定戴绝缘手套、穿绝缘鞋；手持电动工具的电源线应保持出厂时的状态，不得接长使用。</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4、电焊机的保护零线应单独设置，并应安装漏电保护装置；应设置二次空载降压保护装置；电焊机一次线长度不得超过5m，并应穿管保护，二次线应采用防水橡皮护套铜芯电缆；接线柱应设置防护罩。</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八）、高处作业的安全要求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1、攀登作业的梯脚底部应坚实，不得垫高使用；折梯使用时上部夹角应为35°-45°，并应设有可靠的拉撑装置；梯子的材质和制作质量应符合规范要求。</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2、悬空作业人员应系挂安全带、佩戴工具袋，使用的索具、吊具应经验收合格才能使用，同时应采取可靠的安全措施进行防护。</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对装饰装修工程施工中相关安全的处罚标准：</w:t>
      </w:r>
    </w:p>
    <w:p>
      <w:pPr>
        <w:numPr>
          <w:ilvl w:val="0"/>
          <w:numId w:val="1"/>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施工用电乱拉、乱接</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每一处/次罚款￥100.00</w:t>
      </w:r>
    </w:p>
    <w:p>
      <w:pPr>
        <w:numPr>
          <w:ilvl w:val="0"/>
          <w:numId w:val="1"/>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施工堆料不按指定部位和要求堆放</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每一处/次罚款￥100.00</w:t>
      </w:r>
    </w:p>
    <w:p>
      <w:pPr>
        <w:numPr>
          <w:ilvl w:val="0"/>
          <w:numId w:val="1"/>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装修现场卫生不符合要求（含随意大小便、垃圾乱堆放、现场住宿等</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每一处/次罚款￥100.00</w:t>
      </w:r>
    </w:p>
    <w:p>
      <w:pPr>
        <w:numPr>
          <w:ilvl w:val="0"/>
          <w:numId w:val="1"/>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高空丢弃物件的，每一次/处罚款￥500.00</w:t>
      </w:r>
    </w:p>
    <w:p>
      <w:pPr>
        <w:numPr>
          <w:ilvl w:val="0"/>
          <w:numId w:val="1"/>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成品保护措施不符合要求或未按要求采取保护的，每一处/次罚款￥100.00</w:t>
      </w:r>
    </w:p>
    <w:p>
      <w:pPr>
        <w:numPr>
          <w:ilvl w:val="0"/>
          <w:numId w:val="1"/>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装修现场未配备灭火器的，每一处/次罚款￥100.00</w:t>
      </w:r>
    </w:p>
    <w:p>
      <w:pPr>
        <w:numPr>
          <w:ilvl w:val="0"/>
          <w:numId w:val="1"/>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易燃物品堆放不符合要求和未采取防火措施的，每一处/次罚款￥100.00</w:t>
      </w:r>
    </w:p>
    <w:p>
      <w:pPr>
        <w:numPr>
          <w:ilvl w:val="0"/>
          <w:numId w:val="1"/>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装修现场吸烟（非指定吸烟部位的），每一次罚款￥100.00</w:t>
      </w:r>
    </w:p>
    <w:p>
      <w:pPr>
        <w:spacing w:line="360" w:lineRule="auto"/>
        <w:rPr>
          <w:rFonts w:hint="eastAsia" w:ascii="仿宋" w:hAnsi="仿宋" w:eastAsia="仿宋" w:cs="仿宋"/>
          <w:sz w:val="28"/>
          <w:szCs w:val="28"/>
        </w:rPr>
      </w:pPr>
    </w:p>
    <w:sectPr>
      <w:headerReference r:id="rId3" w:type="default"/>
      <w:footerReference r:id="rId4" w:type="default"/>
      <w:type w:val="continuous"/>
      <w:pgSz w:w="11906" w:h="16838"/>
      <w:pgMar w:top="850" w:right="850" w:bottom="850" w:left="850" w:header="709" w:footer="582" w:gutter="0"/>
      <w:pgNumType w:chapStyle="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5285801"/>
    </w:sdtPr>
    <w:sdtContent>
      <w:p>
        <w:pPr>
          <w:pStyle w:val="23"/>
          <w:jc w:val="center"/>
        </w:pPr>
        <w:r>
          <w:fldChar w:fldCharType="begin"/>
        </w:r>
        <w:r>
          <w:instrText xml:space="preserve"> PAGE   \* MERGEFORMAT </w:instrText>
        </w:r>
        <w:r>
          <w:fldChar w:fldCharType="separate"/>
        </w:r>
        <w:r>
          <w:rPr>
            <w:lang w:val="zh-CN"/>
          </w:rPr>
          <w:t>20</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4"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5MmQyZDc2YTg2ODI0MTJjOWNhOGNiZGJlNGE1MjkifQ=="/>
  </w:docVars>
  <w:rsids>
    <w:rsidRoot w:val="00172A27"/>
    <w:rsid w:val="00024DCB"/>
    <w:rsid w:val="0004390E"/>
    <w:rsid w:val="00044D64"/>
    <w:rsid w:val="000A323E"/>
    <w:rsid w:val="000C07B5"/>
    <w:rsid w:val="000D501E"/>
    <w:rsid w:val="000F7CAA"/>
    <w:rsid w:val="0010706C"/>
    <w:rsid w:val="00111FF2"/>
    <w:rsid w:val="00136839"/>
    <w:rsid w:val="001419BE"/>
    <w:rsid w:val="001727DD"/>
    <w:rsid w:val="001B4BE7"/>
    <w:rsid w:val="001F0F6B"/>
    <w:rsid w:val="00255629"/>
    <w:rsid w:val="002B03F3"/>
    <w:rsid w:val="002C606A"/>
    <w:rsid w:val="00303028"/>
    <w:rsid w:val="00334899"/>
    <w:rsid w:val="00371B3D"/>
    <w:rsid w:val="00374D98"/>
    <w:rsid w:val="003D5472"/>
    <w:rsid w:val="00412206"/>
    <w:rsid w:val="00436E80"/>
    <w:rsid w:val="00462846"/>
    <w:rsid w:val="0046411F"/>
    <w:rsid w:val="00465B62"/>
    <w:rsid w:val="0046746C"/>
    <w:rsid w:val="004A4352"/>
    <w:rsid w:val="004A5CEB"/>
    <w:rsid w:val="004A65FF"/>
    <w:rsid w:val="004C5C7C"/>
    <w:rsid w:val="004D3979"/>
    <w:rsid w:val="004D6842"/>
    <w:rsid w:val="004F367B"/>
    <w:rsid w:val="00535915"/>
    <w:rsid w:val="00540465"/>
    <w:rsid w:val="0054438D"/>
    <w:rsid w:val="00581717"/>
    <w:rsid w:val="00605860"/>
    <w:rsid w:val="0067299C"/>
    <w:rsid w:val="00692487"/>
    <w:rsid w:val="006D67A8"/>
    <w:rsid w:val="007142EB"/>
    <w:rsid w:val="00763B07"/>
    <w:rsid w:val="007777F7"/>
    <w:rsid w:val="007845FB"/>
    <w:rsid w:val="007B2D39"/>
    <w:rsid w:val="007C440E"/>
    <w:rsid w:val="007D472F"/>
    <w:rsid w:val="007E11B8"/>
    <w:rsid w:val="007F78FE"/>
    <w:rsid w:val="0081669B"/>
    <w:rsid w:val="008224A4"/>
    <w:rsid w:val="00830A47"/>
    <w:rsid w:val="008574D7"/>
    <w:rsid w:val="00891D8A"/>
    <w:rsid w:val="008A6CAF"/>
    <w:rsid w:val="008C5337"/>
    <w:rsid w:val="008D1067"/>
    <w:rsid w:val="00902D74"/>
    <w:rsid w:val="00907046"/>
    <w:rsid w:val="009535C2"/>
    <w:rsid w:val="009716FB"/>
    <w:rsid w:val="00A02946"/>
    <w:rsid w:val="00A162A1"/>
    <w:rsid w:val="00A27777"/>
    <w:rsid w:val="00A55C87"/>
    <w:rsid w:val="00A6660E"/>
    <w:rsid w:val="00A84CA5"/>
    <w:rsid w:val="00AB29DB"/>
    <w:rsid w:val="00AD3152"/>
    <w:rsid w:val="00B23EB3"/>
    <w:rsid w:val="00B328A6"/>
    <w:rsid w:val="00B8377E"/>
    <w:rsid w:val="00B85A2B"/>
    <w:rsid w:val="00B9567F"/>
    <w:rsid w:val="00BB66B6"/>
    <w:rsid w:val="00C25BC3"/>
    <w:rsid w:val="00C34EF2"/>
    <w:rsid w:val="00CA22F3"/>
    <w:rsid w:val="00CA3731"/>
    <w:rsid w:val="00D402BD"/>
    <w:rsid w:val="00D4355A"/>
    <w:rsid w:val="00D65340"/>
    <w:rsid w:val="00DA4622"/>
    <w:rsid w:val="00DD5A13"/>
    <w:rsid w:val="00E649BF"/>
    <w:rsid w:val="00E64CE8"/>
    <w:rsid w:val="00E91314"/>
    <w:rsid w:val="00EA2777"/>
    <w:rsid w:val="00EF591C"/>
    <w:rsid w:val="00F0038B"/>
    <w:rsid w:val="00F44083"/>
    <w:rsid w:val="00F7130A"/>
    <w:rsid w:val="00FA00EC"/>
    <w:rsid w:val="00FD674C"/>
    <w:rsid w:val="010B0FE7"/>
    <w:rsid w:val="017C029D"/>
    <w:rsid w:val="033445EF"/>
    <w:rsid w:val="03A34753"/>
    <w:rsid w:val="04052F9C"/>
    <w:rsid w:val="04181B98"/>
    <w:rsid w:val="04BB4A40"/>
    <w:rsid w:val="055A0AF8"/>
    <w:rsid w:val="066F7761"/>
    <w:rsid w:val="06A13037"/>
    <w:rsid w:val="07251936"/>
    <w:rsid w:val="07F142A3"/>
    <w:rsid w:val="08195761"/>
    <w:rsid w:val="08EB6AFA"/>
    <w:rsid w:val="08FB13EB"/>
    <w:rsid w:val="095C750E"/>
    <w:rsid w:val="09973D20"/>
    <w:rsid w:val="099A750D"/>
    <w:rsid w:val="0A62688B"/>
    <w:rsid w:val="0A7A2E6D"/>
    <w:rsid w:val="0B167AFA"/>
    <w:rsid w:val="0B702CCF"/>
    <w:rsid w:val="0B810A74"/>
    <w:rsid w:val="0C9E42C2"/>
    <w:rsid w:val="0D10002C"/>
    <w:rsid w:val="0D7F6121"/>
    <w:rsid w:val="0D887486"/>
    <w:rsid w:val="0F841C2A"/>
    <w:rsid w:val="0FCE4AFA"/>
    <w:rsid w:val="11D0456C"/>
    <w:rsid w:val="129A2CD3"/>
    <w:rsid w:val="12D47797"/>
    <w:rsid w:val="141C2002"/>
    <w:rsid w:val="145E652C"/>
    <w:rsid w:val="1504663B"/>
    <w:rsid w:val="15546BA4"/>
    <w:rsid w:val="158A70A9"/>
    <w:rsid w:val="15A8357B"/>
    <w:rsid w:val="16102400"/>
    <w:rsid w:val="171A7CA3"/>
    <w:rsid w:val="17270CEB"/>
    <w:rsid w:val="17693EDB"/>
    <w:rsid w:val="1A2D0642"/>
    <w:rsid w:val="1B6D67E0"/>
    <w:rsid w:val="1C0E475D"/>
    <w:rsid w:val="1C4C6B02"/>
    <w:rsid w:val="1C685DCE"/>
    <w:rsid w:val="1C8E6836"/>
    <w:rsid w:val="1D5E400A"/>
    <w:rsid w:val="1E1D648F"/>
    <w:rsid w:val="1E762239"/>
    <w:rsid w:val="1F3479A7"/>
    <w:rsid w:val="1F4B0830"/>
    <w:rsid w:val="1FE2520A"/>
    <w:rsid w:val="20410A7A"/>
    <w:rsid w:val="210E1FFA"/>
    <w:rsid w:val="22EE0A87"/>
    <w:rsid w:val="240A7CF0"/>
    <w:rsid w:val="256D37FB"/>
    <w:rsid w:val="258855AC"/>
    <w:rsid w:val="258E525E"/>
    <w:rsid w:val="25DE682F"/>
    <w:rsid w:val="270277E6"/>
    <w:rsid w:val="286736AD"/>
    <w:rsid w:val="290A67B9"/>
    <w:rsid w:val="2A65119B"/>
    <w:rsid w:val="2A6B21B1"/>
    <w:rsid w:val="2AD559C8"/>
    <w:rsid w:val="2B686770"/>
    <w:rsid w:val="2BB67B42"/>
    <w:rsid w:val="2BEB4DD0"/>
    <w:rsid w:val="2C0F23E0"/>
    <w:rsid w:val="2C6624FE"/>
    <w:rsid w:val="2D00090A"/>
    <w:rsid w:val="2DE86B0A"/>
    <w:rsid w:val="2DEB5A69"/>
    <w:rsid w:val="2EC909F2"/>
    <w:rsid w:val="2EE90AF2"/>
    <w:rsid w:val="2FD81EF8"/>
    <w:rsid w:val="30C837FB"/>
    <w:rsid w:val="30F868F4"/>
    <w:rsid w:val="310D74EB"/>
    <w:rsid w:val="313C139A"/>
    <w:rsid w:val="31F6748F"/>
    <w:rsid w:val="328C4CFA"/>
    <w:rsid w:val="3321395E"/>
    <w:rsid w:val="332916F8"/>
    <w:rsid w:val="335A07F7"/>
    <w:rsid w:val="33703245"/>
    <w:rsid w:val="33A64575"/>
    <w:rsid w:val="34133C85"/>
    <w:rsid w:val="348B303A"/>
    <w:rsid w:val="34D05A97"/>
    <w:rsid w:val="356154BB"/>
    <w:rsid w:val="363D41BA"/>
    <w:rsid w:val="369618FA"/>
    <w:rsid w:val="387F055F"/>
    <w:rsid w:val="38830314"/>
    <w:rsid w:val="39BD477A"/>
    <w:rsid w:val="3A6870A0"/>
    <w:rsid w:val="3AA6430A"/>
    <w:rsid w:val="3AD1397A"/>
    <w:rsid w:val="3B2D6D3B"/>
    <w:rsid w:val="3C1203D2"/>
    <w:rsid w:val="3C171060"/>
    <w:rsid w:val="3C704ADA"/>
    <w:rsid w:val="3D363C36"/>
    <w:rsid w:val="3DDA6B66"/>
    <w:rsid w:val="3E082B0C"/>
    <w:rsid w:val="3EB26B1E"/>
    <w:rsid w:val="3EBC7295"/>
    <w:rsid w:val="403B4D33"/>
    <w:rsid w:val="40A16FE6"/>
    <w:rsid w:val="43F04219"/>
    <w:rsid w:val="443C15A2"/>
    <w:rsid w:val="450B1962"/>
    <w:rsid w:val="45222464"/>
    <w:rsid w:val="458674F3"/>
    <w:rsid w:val="467B1909"/>
    <w:rsid w:val="46D962B5"/>
    <w:rsid w:val="46F4343F"/>
    <w:rsid w:val="47A206B6"/>
    <w:rsid w:val="47E71F21"/>
    <w:rsid w:val="47F170D7"/>
    <w:rsid w:val="48465548"/>
    <w:rsid w:val="489C199B"/>
    <w:rsid w:val="4A1843FA"/>
    <w:rsid w:val="4A493201"/>
    <w:rsid w:val="4A906F3F"/>
    <w:rsid w:val="4AD43451"/>
    <w:rsid w:val="4AD654EB"/>
    <w:rsid w:val="4C6E752D"/>
    <w:rsid w:val="4C7023FD"/>
    <w:rsid w:val="4DB33F3E"/>
    <w:rsid w:val="4E1246AE"/>
    <w:rsid w:val="4E846FA7"/>
    <w:rsid w:val="4E97436A"/>
    <w:rsid w:val="4F3E4406"/>
    <w:rsid w:val="4FB25AF2"/>
    <w:rsid w:val="5052171D"/>
    <w:rsid w:val="50572A69"/>
    <w:rsid w:val="515211E9"/>
    <w:rsid w:val="52E338CD"/>
    <w:rsid w:val="53201A57"/>
    <w:rsid w:val="539E3D33"/>
    <w:rsid w:val="54E8774E"/>
    <w:rsid w:val="559B7545"/>
    <w:rsid w:val="55A51DD7"/>
    <w:rsid w:val="55C73C7B"/>
    <w:rsid w:val="573D639F"/>
    <w:rsid w:val="57C032D3"/>
    <w:rsid w:val="585F62DF"/>
    <w:rsid w:val="58B878B1"/>
    <w:rsid w:val="599D2616"/>
    <w:rsid w:val="5A102391"/>
    <w:rsid w:val="5B6E78FF"/>
    <w:rsid w:val="5B9919A1"/>
    <w:rsid w:val="5C032D84"/>
    <w:rsid w:val="5C374010"/>
    <w:rsid w:val="5CEB1EEF"/>
    <w:rsid w:val="5CF91D0E"/>
    <w:rsid w:val="5D265A1F"/>
    <w:rsid w:val="5E210107"/>
    <w:rsid w:val="5E934205"/>
    <w:rsid w:val="5ED355BF"/>
    <w:rsid w:val="603406B9"/>
    <w:rsid w:val="60810BF4"/>
    <w:rsid w:val="60B37BB5"/>
    <w:rsid w:val="60EC1B62"/>
    <w:rsid w:val="61344835"/>
    <w:rsid w:val="62F33104"/>
    <w:rsid w:val="63B92CC7"/>
    <w:rsid w:val="63BB0182"/>
    <w:rsid w:val="63C45778"/>
    <w:rsid w:val="64065036"/>
    <w:rsid w:val="655F7329"/>
    <w:rsid w:val="665364DE"/>
    <w:rsid w:val="66925AA0"/>
    <w:rsid w:val="68860985"/>
    <w:rsid w:val="69914694"/>
    <w:rsid w:val="69BE2856"/>
    <w:rsid w:val="69E60B99"/>
    <w:rsid w:val="69F959F1"/>
    <w:rsid w:val="6A330390"/>
    <w:rsid w:val="6EBE388E"/>
    <w:rsid w:val="6F05048D"/>
    <w:rsid w:val="6F7B15F9"/>
    <w:rsid w:val="6F9D6B44"/>
    <w:rsid w:val="6FD3225B"/>
    <w:rsid w:val="705115D2"/>
    <w:rsid w:val="710D5171"/>
    <w:rsid w:val="71E37650"/>
    <w:rsid w:val="724E7984"/>
    <w:rsid w:val="72E40198"/>
    <w:rsid w:val="75D54ADF"/>
    <w:rsid w:val="76844664"/>
    <w:rsid w:val="774B66FB"/>
    <w:rsid w:val="78C770F4"/>
    <w:rsid w:val="79EB2B3C"/>
    <w:rsid w:val="7A65781A"/>
    <w:rsid w:val="7AFC12C2"/>
    <w:rsid w:val="7AFE2732"/>
    <w:rsid w:val="7B496043"/>
    <w:rsid w:val="7BD23AA4"/>
    <w:rsid w:val="7C0D33BA"/>
    <w:rsid w:val="7C5216BD"/>
    <w:rsid w:val="7C950FBB"/>
    <w:rsid w:val="7CBA3B8E"/>
    <w:rsid w:val="7EED30C8"/>
    <w:rsid w:val="7F6D1D7C"/>
    <w:rsid w:val="7F7274F5"/>
    <w:rsid w:val="7FF21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qFormat/>
    <w:uiPriority w:val="0"/>
    <w:pPr>
      <w:keepNext/>
      <w:keepLines/>
      <w:spacing w:before="260" w:after="260" w:line="416" w:lineRule="auto"/>
      <w:outlineLvl w:val="2"/>
    </w:pPr>
    <w:rPr>
      <w:b/>
      <w:bCs/>
      <w:sz w:val="32"/>
      <w:szCs w:val="32"/>
    </w:rPr>
  </w:style>
  <w:style w:type="paragraph" w:styleId="5">
    <w:name w:val="heading 4"/>
    <w:basedOn w:val="1"/>
    <w:next w:val="1"/>
    <w:link w:val="49"/>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link w:val="50"/>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7">
    <w:name w:val="heading 7"/>
    <w:basedOn w:val="1"/>
    <w:next w:val="1"/>
    <w:link w:val="5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1"/>
    <w:next w:val="1"/>
    <w:link w:val="52"/>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9">
    <w:name w:val="heading 9"/>
    <w:basedOn w:val="1"/>
    <w:next w:val="1"/>
    <w:link w:val="53"/>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styleId="10">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1">
    <w:name w:val="Normal Indent"/>
    <w:basedOn w:val="1"/>
    <w:qFormat/>
    <w:uiPriority w:val="0"/>
    <w:pPr>
      <w:ind w:firstLine="420" w:firstLineChars="200"/>
    </w:pPr>
  </w:style>
  <w:style w:type="paragraph" w:styleId="12">
    <w:name w:val="annotation text"/>
    <w:basedOn w:val="1"/>
    <w:link w:val="60"/>
    <w:qFormat/>
    <w:uiPriority w:val="0"/>
    <w:pPr>
      <w:jc w:val="left"/>
    </w:pPr>
  </w:style>
  <w:style w:type="paragraph" w:styleId="13">
    <w:name w:val="Body Text 3"/>
    <w:basedOn w:val="1"/>
    <w:link w:val="56"/>
    <w:qFormat/>
    <w:uiPriority w:val="0"/>
    <w:rPr>
      <w:rFonts w:ascii="宋体"/>
      <w:sz w:val="24"/>
      <w:szCs w:val="20"/>
    </w:rPr>
  </w:style>
  <w:style w:type="paragraph" w:styleId="14">
    <w:name w:val="Body Text"/>
    <w:basedOn w:val="1"/>
    <w:link w:val="66"/>
    <w:qFormat/>
    <w:uiPriority w:val="0"/>
    <w:pPr>
      <w:spacing w:after="120"/>
    </w:pPr>
  </w:style>
  <w:style w:type="paragraph" w:styleId="15">
    <w:name w:val="Body Text Indent"/>
    <w:basedOn w:val="1"/>
    <w:link w:val="62"/>
    <w:qFormat/>
    <w:uiPriority w:val="0"/>
    <w:pPr>
      <w:spacing w:after="120"/>
      <w:ind w:left="420" w:leftChars="200"/>
    </w:pPr>
  </w:style>
  <w:style w:type="paragraph" w:styleId="16">
    <w:name w:val="Block Text"/>
    <w:basedOn w:val="1"/>
    <w:qFormat/>
    <w:uiPriority w:val="0"/>
    <w:pPr>
      <w:spacing w:after="120"/>
      <w:ind w:left="1440" w:leftChars="700" w:right="1440" w:rightChars="700"/>
    </w:pPr>
  </w:style>
  <w:style w:type="paragraph" w:styleId="17">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8">
    <w:name w:val="toc 3"/>
    <w:basedOn w:val="1"/>
    <w:next w:val="1"/>
    <w:qFormat/>
    <w:uiPriority w:val="39"/>
    <w:pPr>
      <w:tabs>
        <w:tab w:val="left" w:pos="1418"/>
        <w:tab w:val="right" w:leader="dot" w:pos="8296"/>
      </w:tabs>
      <w:spacing w:beforeLines="20" w:afterLines="20"/>
      <w:ind w:left="1417" w:leftChars="472" w:right="210" w:rightChars="100" w:hanging="426" w:hangingChars="203"/>
      <w:jc w:val="left"/>
    </w:pPr>
  </w:style>
  <w:style w:type="paragraph" w:styleId="19">
    <w:name w:val="Plain Text"/>
    <w:basedOn w:val="1"/>
    <w:link w:val="77"/>
    <w:qFormat/>
    <w:uiPriority w:val="0"/>
    <w:rPr>
      <w:rFonts w:ascii="宋体" w:hAnsi="Courier New" w:cs="Courier New"/>
      <w:szCs w:val="21"/>
    </w:rPr>
  </w:style>
  <w:style w:type="paragraph" w:styleId="20">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1">
    <w:name w:val="Date"/>
    <w:basedOn w:val="1"/>
    <w:next w:val="1"/>
    <w:link w:val="68"/>
    <w:qFormat/>
    <w:uiPriority w:val="0"/>
    <w:rPr>
      <w:sz w:val="24"/>
      <w:szCs w:val="20"/>
    </w:rPr>
  </w:style>
  <w:style w:type="paragraph" w:styleId="22">
    <w:name w:val="Balloon Text"/>
    <w:basedOn w:val="1"/>
    <w:link w:val="71"/>
    <w:semiHidden/>
    <w:qFormat/>
    <w:uiPriority w:val="0"/>
    <w:rPr>
      <w:sz w:val="18"/>
      <w:szCs w:val="18"/>
    </w:rPr>
  </w:style>
  <w:style w:type="paragraph" w:styleId="23">
    <w:name w:val="footer"/>
    <w:basedOn w:val="1"/>
    <w:link w:val="55"/>
    <w:qFormat/>
    <w:uiPriority w:val="99"/>
    <w:pPr>
      <w:tabs>
        <w:tab w:val="center" w:pos="4153"/>
        <w:tab w:val="right" w:pos="8306"/>
      </w:tabs>
      <w:snapToGrid w:val="0"/>
      <w:jc w:val="left"/>
    </w:pPr>
    <w:rPr>
      <w:sz w:val="18"/>
      <w:szCs w:val="18"/>
    </w:rPr>
  </w:style>
  <w:style w:type="paragraph" w:styleId="24">
    <w:name w:val="header"/>
    <w:basedOn w:val="1"/>
    <w:link w:val="54"/>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96"/>
        <w:tab w:val="left" w:pos="8364"/>
      </w:tabs>
      <w:spacing w:beforeLines="150" w:afterLines="50" w:line="440" w:lineRule="exact"/>
      <w:ind w:left="991" w:hanging="991" w:hangingChars="472"/>
    </w:pPr>
  </w:style>
  <w:style w:type="paragraph" w:styleId="26">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7">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8">
    <w:name w:val="Body Text Indent 3"/>
    <w:basedOn w:val="1"/>
    <w:link w:val="63"/>
    <w:qFormat/>
    <w:uiPriority w:val="0"/>
    <w:pPr>
      <w:spacing w:after="120"/>
      <w:ind w:left="420" w:leftChars="200"/>
    </w:pPr>
    <w:rPr>
      <w:sz w:val="16"/>
      <w:szCs w:val="16"/>
    </w:rPr>
  </w:style>
  <w:style w:type="paragraph" w:styleId="29">
    <w:name w:val="toc 2"/>
    <w:basedOn w:val="1"/>
    <w:next w:val="1"/>
    <w:qFormat/>
    <w:uiPriority w:val="39"/>
    <w:pPr>
      <w:tabs>
        <w:tab w:val="right" w:leader="dot" w:pos="8296"/>
      </w:tabs>
      <w:spacing w:beforeLines="10" w:afterLines="10"/>
      <w:ind w:left="991" w:leftChars="472" w:firstLine="2"/>
    </w:pPr>
  </w:style>
  <w:style w:type="paragraph" w:styleId="30">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1">
    <w:name w:val="Normal (Web)"/>
    <w:basedOn w:val="1"/>
    <w:semiHidden/>
    <w:unhideWhenUsed/>
    <w:qFormat/>
    <w:uiPriority w:val="99"/>
    <w:pPr>
      <w:spacing w:beforeAutospacing="1" w:afterAutospacing="1"/>
      <w:jc w:val="left"/>
    </w:pPr>
    <w:rPr>
      <w:kern w:val="0"/>
      <w:sz w:val="24"/>
    </w:rPr>
  </w:style>
  <w:style w:type="paragraph" w:styleId="32">
    <w:name w:val="index 1"/>
    <w:basedOn w:val="1"/>
    <w:next w:val="1"/>
    <w:semiHidden/>
    <w:qFormat/>
    <w:uiPriority w:val="0"/>
    <w:pPr>
      <w:spacing w:line="220" w:lineRule="exact"/>
      <w:jc w:val="center"/>
    </w:pPr>
    <w:rPr>
      <w:rFonts w:ascii="仿宋_GB2312" w:eastAsia="仿宋_GB2312"/>
      <w:szCs w:val="21"/>
    </w:rPr>
  </w:style>
  <w:style w:type="paragraph" w:styleId="33">
    <w:name w:val="Title"/>
    <w:basedOn w:val="1"/>
    <w:link w:val="6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4">
    <w:name w:val="annotation subject"/>
    <w:basedOn w:val="12"/>
    <w:next w:val="12"/>
    <w:link w:val="80"/>
    <w:semiHidden/>
    <w:unhideWhenUsed/>
    <w:qFormat/>
    <w:uiPriority w:val="99"/>
    <w:rPr>
      <w:b/>
      <w:bCs/>
    </w:rPr>
  </w:style>
  <w:style w:type="paragraph" w:styleId="35">
    <w:name w:val="Body Text First Indent"/>
    <w:basedOn w:val="1"/>
    <w:link w:val="75"/>
    <w:semiHidden/>
    <w:unhideWhenUsed/>
    <w:qFormat/>
    <w:uiPriority w:val="99"/>
    <w:pPr>
      <w:ind w:firstLine="420" w:firstLineChars="100"/>
    </w:pPr>
  </w:style>
  <w:style w:type="table" w:styleId="37">
    <w:name w:val="Table Grid"/>
    <w:basedOn w:val="3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styleId="39">
    <w:name w:val="Strong"/>
    <w:qFormat/>
    <w:uiPriority w:val="99"/>
    <w:rPr>
      <w:b/>
      <w:bCs/>
    </w:rPr>
  </w:style>
  <w:style w:type="character" w:styleId="40">
    <w:name w:val="page number"/>
    <w:basedOn w:val="38"/>
    <w:qFormat/>
    <w:uiPriority w:val="0"/>
  </w:style>
  <w:style w:type="character" w:styleId="41">
    <w:name w:val="FollowedHyperlink"/>
    <w:basedOn w:val="38"/>
    <w:qFormat/>
    <w:uiPriority w:val="0"/>
    <w:rPr>
      <w:color w:val="800080"/>
      <w:u w:val="single"/>
    </w:rPr>
  </w:style>
  <w:style w:type="character" w:styleId="42">
    <w:name w:val="line number"/>
    <w:basedOn w:val="38"/>
    <w:qFormat/>
    <w:uiPriority w:val="0"/>
  </w:style>
  <w:style w:type="character" w:styleId="43">
    <w:name w:val="Hyperlink"/>
    <w:basedOn w:val="38"/>
    <w:qFormat/>
    <w:uiPriority w:val="99"/>
    <w:rPr>
      <w:color w:val="0000FF"/>
      <w:u w:val="single"/>
    </w:rPr>
  </w:style>
  <w:style w:type="character" w:styleId="44">
    <w:name w:val="annotation reference"/>
    <w:basedOn w:val="38"/>
    <w:semiHidden/>
    <w:unhideWhenUsed/>
    <w:qFormat/>
    <w:uiPriority w:val="99"/>
    <w:rPr>
      <w:sz w:val="21"/>
      <w:szCs w:val="21"/>
    </w:rPr>
  </w:style>
  <w:style w:type="paragraph" w:customStyle="1" w:styleId="45">
    <w:name w:val="正文1"/>
    <w:qFormat/>
    <w:uiPriority w:val="0"/>
    <w:pPr>
      <w:jc w:val="both"/>
    </w:pPr>
    <w:rPr>
      <w:rFonts w:ascii="Calibri" w:hAnsi="Calibri" w:eastAsia="宋体" w:cs="宋体"/>
      <w:kern w:val="2"/>
      <w:sz w:val="21"/>
      <w:szCs w:val="21"/>
      <w:lang w:val="en-US" w:eastAsia="zh-CN" w:bidi="ar-SA"/>
    </w:rPr>
  </w:style>
  <w:style w:type="character" w:customStyle="1" w:styleId="46">
    <w:name w:val="标题 1 字符"/>
    <w:basedOn w:val="38"/>
    <w:link w:val="2"/>
    <w:qFormat/>
    <w:uiPriority w:val="0"/>
    <w:rPr>
      <w:rFonts w:ascii="Times New Roman" w:hAnsi="Times New Roman" w:eastAsia="宋体" w:cs="Times New Roman"/>
      <w:b/>
      <w:bCs/>
      <w:kern w:val="44"/>
      <w:sz w:val="44"/>
      <w:szCs w:val="44"/>
    </w:rPr>
  </w:style>
  <w:style w:type="character" w:customStyle="1" w:styleId="47">
    <w:name w:val="标题 2 字符"/>
    <w:basedOn w:val="38"/>
    <w:link w:val="3"/>
    <w:qFormat/>
    <w:uiPriority w:val="0"/>
    <w:rPr>
      <w:rFonts w:ascii="Arial" w:hAnsi="Arial" w:eastAsia="黑体" w:cs="Times New Roman"/>
      <w:b/>
      <w:bCs/>
      <w:sz w:val="32"/>
      <w:szCs w:val="32"/>
    </w:rPr>
  </w:style>
  <w:style w:type="character" w:customStyle="1" w:styleId="48">
    <w:name w:val="标题 3 字符"/>
    <w:basedOn w:val="38"/>
    <w:link w:val="4"/>
    <w:qFormat/>
    <w:uiPriority w:val="0"/>
    <w:rPr>
      <w:rFonts w:ascii="Times New Roman" w:hAnsi="Times New Roman" w:eastAsia="宋体" w:cs="Times New Roman"/>
      <w:b/>
      <w:bCs/>
      <w:sz w:val="32"/>
      <w:szCs w:val="32"/>
    </w:rPr>
  </w:style>
  <w:style w:type="character" w:customStyle="1" w:styleId="49">
    <w:name w:val="标题 4 字符"/>
    <w:basedOn w:val="38"/>
    <w:link w:val="5"/>
    <w:qFormat/>
    <w:uiPriority w:val="0"/>
    <w:rPr>
      <w:rFonts w:ascii="Arial" w:hAnsi="Arial" w:eastAsia="黑体" w:cs="Times New Roman"/>
      <w:b/>
      <w:bCs/>
      <w:sz w:val="28"/>
      <w:szCs w:val="28"/>
    </w:rPr>
  </w:style>
  <w:style w:type="character" w:customStyle="1" w:styleId="50">
    <w:name w:val="标题 6 字符"/>
    <w:basedOn w:val="38"/>
    <w:link w:val="6"/>
    <w:qFormat/>
    <w:uiPriority w:val="0"/>
    <w:rPr>
      <w:rFonts w:ascii="Arial" w:hAnsi="Arial" w:eastAsia="黑体" w:cs="Times New Roman"/>
      <w:b/>
      <w:bCs/>
      <w:kern w:val="0"/>
      <w:sz w:val="24"/>
      <w:szCs w:val="24"/>
    </w:rPr>
  </w:style>
  <w:style w:type="character" w:customStyle="1" w:styleId="51">
    <w:name w:val="标题 7 字符"/>
    <w:basedOn w:val="38"/>
    <w:link w:val="7"/>
    <w:qFormat/>
    <w:uiPriority w:val="0"/>
    <w:rPr>
      <w:rFonts w:ascii="Times New Roman" w:hAnsi="Times New Roman" w:eastAsia="宋体" w:cs="Times New Roman"/>
      <w:b/>
      <w:bCs/>
      <w:kern w:val="0"/>
      <w:sz w:val="24"/>
      <w:szCs w:val="24"/>
    </w:rPr>
  </w:style>
  <w:style w:type="character" w:customStyle="1" w:styleId="52">
    <w:name w:val="标题 8 字符"/>
    <w:basedOn w:val="38"/>
    <w:link w:val="8"/>
    <w:qFormat/>
    <w:uiPriority w:val="0"/>
    <w:rPr>
      <w:rFonts w:ascii="Arial" w:hAnsi="Arial" w:eastAsia="黑体" w:cs="Times New Roman"/>
      <w:kern w:val="0"/>
      <w:sz w:val="24"/>
      <w:szCs w:val="24"/>
    </w:rPr>
  </w:style>
  <w:style w:type="character" w:customStyle="1" w:styleId="53">
    <w:name w:val="标题 9 字符"/>
    <w:basedOn w:val="38"/>
    <w:link w:val="9"/>
    <w:qFormat/>
    <w:uiPriority w:val="0"/>
    <w:rPr>
      <w:rFonts w:ascii="Arial" w:hAnsi="Arial" w:eastAsia="黑体" w:cs="Times New Roman"/>
      <w:kern w:val="0"/>
      <w:szCs w:val="21"/>
    </w:rPr>
  </w:style>
  <w:style w:type="character" w:customStyle="1" w:styleId="54">
    <w:name w:val="页眉 字符"/>
    <w:basedOn w:val="38"/>
    <w:link w:val="24"/>
    <w:qFormat/>
    <w:uiPriority w:val="0"/>
    <w:rPr>
      <w:rFonts w:ascii="Times New Roman" w:hAnsi="Times New Roman" w:eastAsia="宋体" w:cs="Times New Roman"/>
      <w:sz w:val="18"/>
      <w:szCs w:val="18"/>
    </w:rPr>
  </w:style>
  <w:style w:type="character" w:customStyle="1" w:styleId="55">
    <w:name w:val="页脚 字符"/>
    <w:basedOn w:val="38"/>
    <w:link w:val="23"/>
    <w:qFormat/>
    <w:uiPriority w:val="99"/>
    <w:rPr>
      <w:rFonts w:ascii="Times New Roman" w:hAnsi="Times New Roman" w:eastAsia="宋体" w:cs="Times New Roman"/>
      <w:sz w:val="18"/>
      <w:szCs w:val="18"/>
    </w:rPr>
  </w:style>
  <w:style w:type="character" w:customStyle="1" w:styleId="56">
    <w:name w:val="正文文本 3 字符"/>
    <w:basedOn w:val="38"/>
    <w:link w:val="13"/>
    <w:qFormat/>
    <w:uiPriority w:val="0"/>
    <w:rPr>
      <w:rFonts w:ascii="宋体" w:hAnsi="Times New Roman" w:eastAsia="宋体" w:cs="Times New Roman"/>
      <w:sz w:val="24"/>
      <w:szCs w:val="20"/>
    </w:rPr>
  </w:style>
  <w:style w:type="paragraph" w:customStyle="1" w:styleId="57">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8">
    <w:name w:val="样式 标题 2 + Times New Roman 四号 非加粗 段前: 5 磅 段后: 0 磅 行距: 固定值 20..."/>
    <w:basedOn w:val="3"/>
    <w:qFormat/>
    <w:uiPriority w:val="0"/>
    <w:pPr>
      <w:spacing w:before="100" w:after="0" w:line="400" w:lineRule="exact"/>
    </w:pPr>
    <w:rPr>
      <w:rFonts w:cs="宋体" w:asciiTheme="minorEastAsia" w:hAnsiTheme="minorEastAsia" w:eastAsiaTheme="minorEastAsia"/>
      <w:b w:val="0"/>
      <w:bCs w:val="0"/>
      <w:sz w:val="24"/>
      <w:szCs w:val="24"/>
    </w:rPr>
  </w:style>
  <w:style w:type="paragraph" w:customStyle="1" w:styleId="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character" w:customStyle="1" w:styleId="60">
    <w:name w:val="批注文字 字符"/>
    <w:basedOn w:val="38"/>
    <w:link w:val="12"/>
    <w:qFormat/>
    <w:uiPriority w:val="0"/>
    <w:rPr>
      <w:rFonts w:ascii="Times New Roman" w:hAnsi="Times New Roman" w:eastAsia="宋体" w:cs="Times New Roman"/>
      <w:szCs w:val="24"/>
    </w:rPr>
  </w:style>
  <w:style w:type="character" w:customStyle="1" w:styleId="61">
    <w:name w:val="标题 字符"/>
    <w:basedOn w:val="38"/>
    <w:link w:val="33"/>
    <w:qFormat/>
    <w:uiPriority w:val="0"/>
    <w:rPr>
      <w:rFonts w:ascii="Arial" w:hAnsi="Arial" w:eastAsia="宋体" w:cs="Times New Roman"/>
      <w:b/>
      <w:kern w:val="0"/>
      <w:sz w:val="32"/>
      <w:szCs w:val="20"/>
    </w:rPr>
  </w:style>
  <w:style w:type="character" w:customStyle="1" w:styleId="62">
    <w:name w:val="正文文本缩进 字符"/>
    <w:basedOn w:val="38"/>
    <w:link w:val="15"/>
    <w:qFormat/>
    <w:uiPriority w:val="0"/>
    <w:rPr>
      <w:rFonts w:ascii="Times New Roman" w:hAnsi="Times New Roman" w:eastAsia="宋体" w:cs="Times New Roman"/>
      <w:szCs w:val="24"/>
    </w:rPr>
  </w:style>
  <w:style w:type="character" w:customStyle="1" w:styleId="63">
    <w:name w:val="正文文本缩进 3 字符"/>
    <w:basedOn w:val="38"/>
    <w:link w:val="28"/>
    <w:qFormat/>
    <w:uiPriority w:val="0"/>
    <w:rPr>
      <w:rFonts w:ascii="Times New Roman" w:hAnsi="Times New Roman" w:eastAsia="宋体" w:cs="Times New Roman"/>
      <w:sz w:val="16"/>
      <w:szCs w:val="16"/>
    </w:rPr>
  </w:style>
  <w:style w:type="paragraph" w:customStyle="1" w:styleId="64">
    <w:name w:val="1"/>
    <w:basedOn w:val="1"/>
    <w:qFormat/>
    <w:uiPriority w:val="0"/>
  </w:style>
  <w:style w:type="character" w:customStyle="1" w:styleId="65">
    <w:name w:val="font161"/>
    <w:basedOn w:val="38"/>
    <w:qFormat/>
    <w:uiPriority w:val="0"/>
    <w:rPr>
      <w:b/>
      <w:bCs/>
      <w:sz w:val="32"/>
      <w:szCs w:val="32"/>
    </w:rPr>
  </w:style>
  <w:style w:type="character" w:customStyle="1" w:styleId="66">
    <w:name w:val="正文文本 字符"/>
    <w:basedOn w:val="38"/>
    <w:link w:val="14"/>
    <w:qFormat/>
    <w:uiPriority w:val="0"/>
    <w:rPr>
      <w:rFonts w:ascii="Times New Roman" w:hAnsi="Times New Roman" w:eastAsia="宋体" w:cs="Times New Roman"/>
      <w:szCs w:val="24"/>
    </w:rPr>
  </w:style>
  <w:style w:type="paragraph" w:customStyle="1" w:styleId="6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68">
    <w:name w:val="日期 字符"/>
    <w:basedOn w:val="38"/>
    <w:link w:val="21"/>
    <w:qFormat/>
    <w:uiPriority w:val="0"/>
    <w:rPr>
      <w:rFonts w:ascii="Times New Roman" w:hAnsi="Times New Roman" w:eastAsia="宋体" w:cs="Times New Roman"/>
      <w:sz w:val="24"/>
      <w:szCs w:val="20"/>
    </w:rPr>
  </w:style>
  <w:style w:type="paragraph" w:customStyle="1" w:styleId="69">
    <w:name w:val="表格"/>
    <w:basedOn w:val="1"/>
    <w:qFormat/>
    <w:uiPriority w:val="0"/>
    <w:pPr>
      <w:jc w:val="center"/>
      <w:textAlignment w:val="center"/>
    </w:pPr>
    <w:rPr>
      <w:rFonts w:ascii="华文细黑" w:hAnsi="华文细黑"/>
      <w:kern w:val="0"/>
      <w:szCs w:val="20"/>
    </w:rPr>
  </w:style>
  <w:style w:type="paragraph" w:customStyle="1" w:styleId="70">
    <w:name w:val="表格文字"/>
    <w:basedOn w:val="1"/>
    <w:qFormat/>
    <w:uiPriority w:val="0"/>
    <w:pPr>
      <w:adjustRightInd w:val="0"/>
      <w:spacing w:line="420" w:lineRule="atLeast"/>
      <w:jc w:val="left"/>
      <w:textAlignment w:val="baseline"/>
    </w:pPr>
    <w:rPr>
      <w:kern w:val="0"/>
      <w:szCs w:val="20"/>
    </w:rPr>
  </w:style>
  <w:style w:type="character" w:customStyle="1" w:styleId="71">
    <w:name w:val="批注框文本 字符"/>
    <w:basedOn w:val="38"/>
    <w:link w:val="22"/>
    <w:semiHidden/>
    <w:qFormat/>
    <w:uiPriority w:val="0"/>
    <w:rPr>
      <w:rFonts w:ascii="Times New Roman" w:hAnsi="Times New Roman" w:eastAsia="宋体" w:cs="Times New Roman"/>
      <w:sz w:val="18"/>
      <w:szCs w:val="18"/>
    </w:rPr>
  </w:style>
  <w:style w:type="paragraph" w:styleId="72">
    <w:name w:val="List Paragraph"/>
    <w:basedOn w:val="1"/>
    <w:qFormat/>
    <w:uiPriority w:val="34"/>
    <w:pPr>
      <w:ind w:firstLine="420" w:firstLineChars="200"/>
    </w:pPr>
  </w:style>
  <w:style w:type="character" w:customStyle="1" w:styleId="73">
    <w:name w:val="批注引用1"/>
    <w:basedOn w:val="38"/>
    <w:qFormat/>
    <w:uiPriority w:val="0"/>
    <w:rPr>
      <w:sz w:val="21"/>
      <w:szCs w:val="21"/>
    </w:rPr>
  </w:style>
  <w:style w:type="paragraph" w:customStyle="1" w:styleId="74">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75">
    <w:name w:val="正文文本首行缩进 字符"/>
    <w:basedOn w:val="66"/>
    <w:link w:val="35"/>
    <w:semiHidden/>
    <w:qFormat/>
    <w:uiPriority w:val="99"/>
    <w:rPr>
      <w:rFonts w:ascii="Times New Roman" w:hAnsi="Times New Roman" w:eastAsia="宋体" w:cs="Times New Roman"/>
      <w:szCs w:val="24"/>
    </w:rPr>
  </w:style>
  <w:style w:type="paragraph" w:customStyle="1" w:styleId="76">
    <w:name w:val="Default"/>
    <w:qFormat/>
    <w:uiPriority w:val="0"/>
    <w:pPr>
      <w:widowControl w:val="0"/>
      <w:autoSpaceDE w:val="0"/>
      <w:autoSpaceDN w:val="0"/>
      <w:adjustRightInd w:val="0"/>
    </w:pPr>
    <w:rPr>
      <w:rFonts w:ascii="Arial Unicode MS" w:hAnsi="Calibri" w:eastAsia="Times New Roman" w:cs="Arial Unicode MS"/>
      <w:color w:val="000000"/>
      <w:sz w:val="24"/>
      <w:szCs w:val="24"/>
      <w:lang w:val="en-US" w:eastAsia="zh-CN" w:bidi="ar-SA"/>
    </w:rPr>
  </w:style>
  <w:style w:type="character" w:customStyle="1" w:styleId="77">
    <w:name w:val="纯文本 字符"/>
    <w:basedOn w:val="38"/>
    <w:link w:val="19"/>
    <w:qFormat/>
    <w:uiPriority w:val="0"/>
    <w:rPr>
      <w:rFonts w:ascii="宋体" w:hAnsi="Courier New" w:eastAsia="宋体" w:cs="Courier New"/>
      <w:szCs w:val="21"/>
    </w:rPr>
  </w:style>
  <w:style w:type="character" w:customStyle="1" w:styleId="78">
    <w:name w:val="普通 (Web) Char"/>
    <w:link w:val="79"/>
    <w:qFormat/>
    <w:uiPriority w:val="0"/>
    <w:rPr>
      <w:rFonts w:ascii="宋体" w:hAnsi="宋体" w:cs="宋体"/>
      <w:sz w:val="24"/>
    </w:rPr>
  </w:style>
  <w:style w:type="paragraph" w:customStyle="1" w:styleId="79">
    <w:name w:val="普通 (Web)"/>
    <w:basedOn w:val="1"/>
    <w:link w:val="78"/>
    <w:qFormat/>
    <w:uiPriority w:val="0"/>
    <w:pPr>
      <w:widowControl/>
      <w:spacing w:before="100" w:beforeAutospacing="1" w:after="100" w:afterAutospacing="1"/>
      <w:jc w:val="left"/>
    </w:pPr>
    <w:rPr>
      <w:rFonts w:ascii="宋体" w:hAnsi="宋体" w:cs="宋体" w:eastAsiaTheme="minorEastAsia"/>
      <w:sz w:val="24"/>
      <w:szCs w:val="22"/>
    </w:rPr>
  </w:style>
  <w:style w:type="character" w:customStyle="1" w:styleId="80">
    <w:name w:val="批注主题 字符"/>
    <w:basedOn w:val="60"/>
    <w:link w:val="34"/>
    <w:semiHidden/>
    <w:qFormat/>
    <w:uiPriority w:val="99"/>
    <w:rPr>
      <w:rFonts w:ascii="Times New Roman" w:hAnsi="Times New Roman" w:eastAsia="宋体" w:cs="Times New Roman"/>
      <w:b/>
      <w:bCs/>
      <w:kern w:val="2"/>
      <w:sz w:val="21"/>
      <w:szCs w:val="24"/>
    </w:rPr>
  </w:style>
  <w:style w:type="paragraph" w:customStyle="1" w:styleId="8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82">
    <w:name w:val="font91"/>
    <w:basedOn w:val="38"/>
    <w:qFormat/>
    <w:uiPriority w:val="0"/>
    <w:rPr>
      <w:rFonts w:hint="eastAsia" w:ascii="宋体" w:hAnsi="宋体" w:eastAsia="宋体" w:cs="宋体"/>
      <w:color w:val="000000"/>
      <w:sz w:val="20"/>
      <w:szCs w:val="20"/>
      <w:u w:val="none"/>
    </w:rPr>
  </w:style>
  <w:style w:type="character" w:customStyle="1" w:styleId="83">
    <w:name w:val="font51"/>
    <w:basedOn w:val="38"/>
    <w:qFormat/>
    <w:uiPriority w:val="0"/>
    <w:rPr>
      <w:rFonts w:hint="eastAsia" w:ascii="宋体" w:hAnsi="宋体" w:eastAsia="宋体" w:cs="宋体"/>
      <w:color w:val="000000"/>
      <w:sz w:val="20"/>
      <w:szCs w:val="20"/>
      <w:u w:val="none"/>
    </w:rPr>
  </w:style>
  <w:style w:type="character" w:customStyle="1" w:styleId="84">
    <w:name w:val="font71"/>
    <w:basedOn w:val="38"/>
    <w:qFormat/>
    <w:uiPriority w:val="0"/>
    <w:rPr>
      <w:rFonts w:hint="eastAsia" w:ascii="宋体" w:hAnsi="宋体" w:eastAsia="宋体" w:cs="宋体"/>
      <w:color w:val="000000"/>
      <w:sz w:val="18"/>
      <w:szCs w:val="18"/>
      <w:u w:val="none"/>
    </w:rPr>
  </w:style>
  <w:style w:type="character" w:customStyle="1" w:styleId="85">
    <w:name w:val="font41"/>
    <w:basedOn w:val="38"/>
    <w:qFormat/>
    <w:uiPriority w:val="0"/>
    <w:rPr>
      <w:rFonts w:ascii="Arial" w:hAnsi="Arial" w:cs="Arial"/>
      <w:color w:val="000000"/>
      <w:sz w:val="20"/>
      <w:szCs w:val="20"/>
      <w:u w:val="none"/>
    </w:rPr>
  </w:style>
  <w:style w:type="character" w:customStyle="1" w:styleId="86">
    <w:name w:val="font21"/>
    <w:basedOn w:val="38"/>
    <w:qFormat/>
    <w:uiPriority w:val="0"/>
    <w:rPr>
      <w:rFonts w:hint="eastAsia" w:ascii="华文仿宋" w:hAnsi="华文仿宋" w:eastAsia="华文仿宋" w:cs="华文仿宋"/>
      <w:color w:val="000000"/>
      <w:sz w:val="20"/>
      <w:szCs w:val="20"/>
      <w:u w:val="none"/>
    </w:rPr>
  </w:style>
  <w:style w:type="character" w:customStyle="1" w:styleId="87">
    <w:name w:val="样式 段前: 0.5 行 行距: 固定值 23 磅 Char"/>
    <w:link w:val="88"/>
    <w:qFormat/>
    <w:uiPriority w:val="0"/>
    <w:rPr>
      <w:kern w:val="0"/>
      <w:sz w:val="24"/>
    </w:rPr>
  </w:style>
  <w:style w:type="paragraph" w:customStyle="1" w:styleId="88">
    <w:name w:val="样式 段前: 0.5 行 行距: 固定值 23 磅"/>
    <w:basedOn w:val="1"/>
    <w:link w:val="87"/>
    <w:qFormat/>
    <w:uiPriority w:val="0"/>
    <w:pPr>
      <w:spacing w:beforeLines="50"/>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D61FCB-5392-418C-8F08-35048387DBA7}">
  <ds:schemaRefs/>
</ds:datastoreItem>
</file>

<file path=docProps/app.xml><?xml version="1.0" encoding="utf-8"?>
<Properties xmlns="http://schemas.openxmlformats.org/officeDocument/2006/extended-properties" xmlns:vt="http://schemas.openxmlformats.org/officeDocument/2006/docPropsVTypes">
  <Template>Normal</Template>
  <Pages>8</Pages>
  <Words>5244</Words>
  <Characters>5410</Characters>
  <Lines>47</Lines>
  <Paragraphs>13</Paragraphs>
  <TotalTime>16</TotalTime>
  <ScaleCrop>false</ScaleCrop>
  <LinksUpToDate>false</LinksUpToDate>
  <CharactersWithSpaces>5525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2021-05-31T00:56:00Z</dcterms:created>
  <dc:creator>Admin</dc:creator>
  <cp:lastModifiedBy>琦丽</cp:lastModifiedBy>
  <cp:lastPrinted>2026-06-08T01:35:00Z</cp:lastPrinted>
  <dcterms:modified xsi:type="dcterms:W3CDTF">2026-06-17T10:46:48Z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72563CE1BF424D77B39405584BE1AF51_13</vt:lpwstr>
  </property>
  <property fmtid="{D5CDD505-2E9C-101B-9397-08002B2CF9AE}" pid="4" name="KSOTemplateDocerSaveRecord">
    <vt:lpwstr>eyJoZGlkIjoiNzUyZjQzZWNhYjFhYWE5NTlmYjRlMzFhOTIzZTE5N2IiLCJ1c2VySWQiOiIzMTcxNjgwMzQifQ==</vt:lpwstr>
  </property>
</Properties>
</file>