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城市阳台S4项目南区C栋二楼外围玻璃增加氛围灯带（第三次）</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（珠海正方盛泰投资有限公司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6月30日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珠海正方盛泰投资有限公司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为提升经营氛围，现申请对C栋二层进行灯光亮化提升，在外围玻璃增加星星灯带，详见附件询价文件。</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壹万零壹佰玖拾元捌角捌分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10190.88</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壹万零壹佰玖拾元捌角捌分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10190.88</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城市阳台S4项目南区C栋二楼外围玻璃增加氛围灯带（第三次）</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2、资质要求：投标人需具有在</w:t>
      </w:r>
      <w:r>
        <w:rPr>
          <w:rFonts w:hint="default" w:ascii="Times New Roman" w:hAnsi="Times New Roman" w:eastAsia="宋体" w:cs="Times New Roman"/>
          <w:b/>
          <w:bCs/>
          <w:color w:val="auto"/>
          <w:sz w:val="24"/>
        </w:rPr>
        <w:t>城市及道路照明工程专业承包资质或机电工程施工总承包或市政公用工程施工总承包</w:t>
      </w:r>
      <w:r>
        <w:rPr>
          <w:rFonts w:hint="default" w:ascii="Times New Roman" w:hAnsi="Times New Roman" w:eastAsia="宋体" w:cs="Times New Roman"/>
          <w:b w:val="0"/>
          <w:bCs w:val="0"/>
          <w:color w:val="auto"/>
          <w:sz w:val="24"/>
        </w:rPr>
        <w:t>相关资质；</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*以上证书需同步提供佐证资料（如查询网站地址或网站截图）；</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6、本项目不接受联合体投标；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6"/>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6"/>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2"/>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2"/>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7月3日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城市阳台S4项目南区C栋二楼外围玻璃增加氛围灯带（</w:t>
      </w:r>
      <w:bookmarkStart w:id="94" w:name="_GoBack"/>
      <w:bookmarkEnd w:id="94"/>
      <w:r>
        <w:rPr>
          <w:rFonts w:hint="eastAsia" w:cs="Times New Roman"/>
          <w:b/>
          <w:bCs/>
          <w:color w:val="auto"/>
          <w:sz w:val="24"/>
          <w:lang w:eastAsia="zh-CN"/>
        </w:rPr>
        <w:t>第三次）</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2"/>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19"/>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jc w:val="right"/>
        <w:rPr>
          <w:rFonts w:hint="eastAsia" w:ascii="宋体" w:hAnsi="宋体" w:eastAsia="宋体" w:cs="宋体"/>
          <w:color w:val="auto"/>
          <w:sz w:val="24"/>
          <w:szCs w:val="24"/>
        </w:rPr>
      </w:pPr>
    </w:p>
    <w:p>
      <w:pPr>
        <w:pStyle w:val="19"/>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珠海正方盛泰投资有限公司</w:t>
      </w:r>
      <w:r>
        <w:rPr>
          <w:rFonts w:hint="eastAsia" w:ascii="宋体" w:hAnsi="宋体" w:eastAsia="宋体" w:cs="宋体"/>
          <w:color w:val="auto"/>
          <w:sz w:val="24"/>
          <w:szCs w:val="24"/>
        </w:rPr>
        <w:t xml:space="preserve">         </w:t>
      </w:r>
    </w:p>
    <w:p>
      <w:pPr>
        <w:pStyle w:val="19"/>
        <w:spacing w:line="360" w:lineRule="auto"/>
        <w:jc w:val="right"/>
        <w:rPr>
          <w:rFonts w:hint="eastAsia" w:ascii="宋体" w:hAnsi="宋体" w:eastAsia="宋体" w:cs="宋体"/>
          <w:color w:val="auto"/>
          <w:sz w:val="24"/>
          <w:szCs w:val="24"/>
          <w:lang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6月30日</w:t>
      </w:r>
    </w:p>
    <w:p>
      <w:pPr>
        <w:rPr>
          <w:rFonts w:hint="eastAsia" w:ascii="宋体" w:hAnsi="宋体" w:eastAsia="宋体" w:cs="宋体"/>
          <w:color w:val="auto"/>
          <w:sz w:val="24"/>
          <w:szCs w:val="24"/>
        </w:rPr>
      </w:pPr>
      <w:r>
        <w:rPr>
          <w:rFonts w:hint="eastAsia" w:ascii="宋体" w:hAnsi="宋体" w:eastAsia="宋体" w:cs="宋体"/>
          <w:color w:val="auto"/>
          <w:sz w:val="24"/>
          <w:szCs w:val="24"/>
        </w:rPr>
        <w:br w:type="page"/>
      </w: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27664"/>
      <w:bookmarkStart w:id="4" w:name="_Toc9199"/>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59090982"/>
      <w:bookmarkStart w:id="8" w:name="_Toc202820351"/>
      <w:bookmarkStart w:id="9" w:name="_Toc202816996"/>
      <w:bookmarkStart w:id="10" w:name="_Toc16107"/>
      <w:bookmarkStart w:id="11" w:name="_Toc202252034"/>
      <w:bookmarkStart w:id="12" w:name="_Toc202819878"/>
      <w:bookmarkStart w:id="13" w:name="_Toc202254105"/>
      <w:bookmarkStart w:id="14" w:name="_Toc15317"/>
      <w:bookmarkStart w:id="15" w:name="_Toc202251075"/>
      <w:bookmarkStart w:id="16" w:name="_Toc17685"/>
      <w:bookmarkStart w:id="17" w:name="_Toc698"/>
      <w:bookmarkStart w:id="18" w:name="_Toc202251700"/>
      <w:bookmarkStart w:id="19" w:name="_Toc503427710"/>
      <w:bookmarkStart w:id="20" w:name="_Toc276645579"/>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503427711"/>
      <w:bookmarkStart w:id="22" w:name="_Toc20366"/>
      <w:bookmarkStart w:id="23" w:name="_Toc32660"/>
      <w:bookmarkStart w:id="24" w:name="_Toc259090983"/>
      <w:bookmarkStart w:id="25" w:name="_Toc24181"/>
      <w:bookmarkStart w:id="26" w:name="_Toc13089"/>
      <w:bookmarkStart w:id="27" w:name="_Toc276645580"/>
      <w:r>
        <w:rPr>
          <w:rFonts w:hint="eastAsia" w:ascii="宋体" w:hAnsi="宋体"/>
          <w:sz w:val="28"/>
        </w:rPr>
        <w:t>1.1投标函</w:t>
      </w:r>
      <w:bookmarkEnd w:id="21"/>
      <w:bookmarkEnd w:id="22"/>
      <w:bookmarkEnd w:id="23"/>
      <w:bookmarkEnd w:id="24"/>
      <w:bookmarkEnd w:id="25"/>
      <w:bookmarkEnd w:id="26"/>
      <w:bookmarkEnd w:id="27"/>
    </w:p>
    <w:p>
      <w:pPr>
        <w:pStyle w:val="2"/>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珠海正方盛泰投资有限公司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城市阳台S4项目南区C栋二楼外围玻璃增加氛围灯带（第三次）</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6"/>
          <w:rFonts w:hint="eastAsia" w:ascii="Times New Roman" w:hAnsi="Times New Roman" w:eastAsia="黑体" w:cs="Times New Roman"/>
          <w:b w:val="0"/>
          <w:bCs w:val="0"/>
          <w:color w:val="auto"/>
          <w:sz w:val="28"/>
          <w:szCs w:val="28"/>
          <w:lang w:val="en-US" w:eastAsia="zh-CN"/>
        </w:rPr>
      </w:pPr>
      <w:r>
        <w:rPr>
          <w:rStyle w:val="16"/>
          <w:rFonts w:hint="eastAsia" w:ascii="Times New Roman" w:hAnsi="Times New Roman" w:eastAsia="黑体" w:cs="Times New Roman"/>
          <w:b w:val="0"/>
          <w:bCs w:val="0"/>
          <w:color w:val="auto"/>
          <w:sz w:val="28"/>
          <w:szCs w:val="28"/>
          <w:lang w:val="en-US" w:eastAsia="zh-CN"/>
        </w:rPr>
        <w:t xml:space="preserve"> </w:t>
      </w:r>
    </w:p>
    <w:p>
      <w:pPr>
        <w:rPr>
          <w:rStyle w:val="16"/>
          <w:rFonts w:hint="eastAsia" w:ascii="Times New Roman" w:hAnsi="Times New Roman" w:eastAsia="黑体" w:cs="Times New Roman"/>
          <w:b w:val="0"/>
          <w:bCs w:val="0"/>
          <w:color w:val="auto"/>
          <w:sz w:val="28"/>
          <w:szCs w:val="28"/>
          <w:lang w:val="en-US" w:eastAsia="zh-CN"/>
        </w:rPr>
      </w:pPr>
      <w:r>
        <w:rPr>
          <w:rStyle w:val="16"/>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6"/>
        <w:spacing w:before="1" w:line="364" w:lineRule="auto"/>
        <w:ind w:right="105"/>
        <w:rPr>
          <w:spacing w:val="-8"/>
        </w:rPr>
      </w:pPr>
    </w:p>
    <w:p>
      <w:pPr>
        <w:pStyle w:val="6"/>
        <w:spacing w:before="1" w:line="364" w:lineRule="auto"/>
        <w:ind w:left="0" w:leftChars="0" w:right="105" w:firstLine="0" w:firstLineChars="0"/>
        <w:rPr>
          <w:spacing w:val="-8"/>
        </w:rPr>
      </w:pPr>
    </w:p>
    <w:p>
      <w:pPr>
        <w:pStyle w:val="6"/>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6"/>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6"/>
        <w:spacing w:before="2" w:line="364" w:lineRule="auto"/>
        <w:ind w:left="0" w:leftChars="0" w:right="3705" w:firstLine="0" w:firstLineChars="0"/>
      </w:pPr>
    </w:p>
    <w:p>
      <w:pPr>
        <w:pStyle w:val="6"/>
        <w:spacing w:before="2" w:line="364" w:lineRule="auto"/>
        <w:ind w:left="0" w:leftChars="0" w:right="3705" w:firstLine="0" w:firstLineChars="0"/>
      </w:pPr>
    </w:p>
    <w:p>
      <w:pPr>
        <w:pStyle w:val="6"/>
        <w:spacing w:before="2" w:line="364" w:lineRule="auto"/>
        <w:ind w:left="0" w:leftChars="0" w:right="3705" w:firstLine="0" w:firstLineChars="0"/>
      </w:pPr>
    </w:p>
    <w:p>
      <w:pPr>
        <w:pStyle w:val="6"/>
        <w:spacing w:before="201"/>
        <w:ind w:left="4920"/>
        <w:rPr>
          <w:spacing w:val="-120"/>
        </w:rPr>
      </w:pPr>
      <w:r>
        <w:t>公司名称（公章</w:t>
      </w:r>
      <w:r>
        <w:rPr>
          <w:spacing w:val="-120"/>
        </w:rPr>
        <w:t>）</w:t>
      </w:r>
    </w:p>
    <w:p>
      <w:pPr>
        <w:pStyle w:val="6"/>
        <w:spacing w:before="201"/>
        <w:ind w:left="4920"/>
        <w:rPr>
          <w:spacing w:val="-120"/>
        </w:rPr>
      </w:pPr>
    </w:p>
    <w:p>
      <w:pPr>
        <w:pStyle w:val="6"/>
        <w:ind w:left="4920"/>
        <w:rPr>
          <w:spacing w:val="-120"/>
        </w:rPr>
      </w:pPr>
      <w:r>
        <w:t>法定代表人（签名或签章</w:t>
      </w:r>
      <w:r>
        <w:rPr>
          <w:spacing w:val="-120"/>
        </w:rPr>
        <w:t>）</w:t>
      </w:r>
    </w:p>
    <w:p>
      <w:pPr>
        <w:pStyle w:val="6"/>
        <w:ind w:left="4920"/>
        <w:rPr>
          <w:spacing w:val="-120"/>
        </w:rPr>
      </w:pPr>
    </w:p>
    <w:p>
      <w:pPr>
        <w:pStyle w:val="6"/>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6"/>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6"/>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pStyle w:val="6"/>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19817"/>
      <w:bookmarkStart w:id="30" w:name="_Toc19171"/>
      <w:bookmarkStart w:id="31" w:name="_Toc503427713"/>
      <w:bookmarkStart w:id="32" w:name="_Toc528"/>
      <w:bookmarkStart w:id="33" w:name="_Toc17080"/>
      <w:bookmarkStart w:id="34" w:name="_Toc27591"/>
      <w:r>
        <w:rPr>
          <w:rFonts w:hint="eastAsia" w:ascii="宋体" w:hAnsi="宋体"/>
          <w:sz w:val="28"/>
        </w:rPr>
        <w:t>1.3关于资格的声明函</w:t>
      </w:r>
      <w:bookmarkEnd w:id="29"/>
      <w:bookmarkEnd w:id="30"/>
      <w:bookmarkEnd w:id="31"/>
      <w:bookmarkEnd w:id="32"/>
      <w:bookmarkEnd w:id="33"/>
      <w:bookmarkEnd w:id="34"/>
    </w:p>
    <w:p>
      <w:pPr>
        <w:pStyle w:val="2"/>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珠海正方盛泰投资有限公司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城市阳台S4项目南区C栋二楼外围玻璃增加氛围灯带（第三次）</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15464"/>
      <w:bookmarkStart w:id="36" w:name="_Toc5048"/>
      <w:bookmarkStart w:id="37" w:name="_Toc24969"/>
      <w:bookmarkStart w:id="38" w:name="_Toc19796"/>
      <w:bookmarkStart w:id="39" w:name="_Toc31767"/>
      <w:bookmarkStart w:id="40" w:name="_Toc10559"/>
      <w:bookmarkStart w:id="41" w:name="_Toc31877"/>
      <w:bookmarkStart w:id="42" w:name="_Toc13922"/>
      <w:bookmarkStart w:id="43" w:name="_Toc14285"/>
      <w:bookmarkStart w:id="44" w:name="_Toc10585"/>
      <w:bookmarkStart w:id="45" w:name="_Toc9476"/>
      <w:bookmarkStart w:id="46" w:name="_Toc6220"/>
      <w:bookmarkStart w:id="47" w:name="_Toc26971"/>
      <w:bookmarkStart w:id="48" w:name="_Toc32141"/>
      <w:bookmarkStart w:id="49" w:name="_Toc19969"/>
      <w:bookmarkStart w:id="50" w:name="_Toc24356"/>
      <w:bookmarkStart w:id="51" w:name="_Toc27468"/>
      <w:bookmarkStart w:id="52" w:name="_Toc32498"/>
      <w:bookmarkStart w:id="53" w:name="_Toc6275"/>
      <w:bookmarkStart w:id="54" w:name="_Toc4427"/>
      <w:bookmarkStart w:id="55" w:name="_Toc276645583"/>
      <w:bookmarkStart w:id="56" w:name="_Toc503427714"/>
      <w:bookmarkStart w:id="57" w:name="_Toc4726"/>
      <w:bookmarkStart w:id="58" w:name="_Toc264628882"/>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2"/>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5662"/>
      <w:bookmarkStart w:id="60" w:name="_Toc7304"/>
      <w:bookmarkStart w:id="61" w:name="_Toc10726"/>
      <w:bookmarkStart w:id="62" w:name="_Toc22499"/>
      <w:bookmarkStart w:id="63" w:name="_Toc32145"/>
      <w:bookmarkStart w:id="64" w:name="_Toc29470"/>
      <w:bookmarkStart w:id="65" w:name="_Toc16860"/>
      <w:bookmarkStart w:id="66" w:name="_Toc9094"/>
      <w:bookmarkStart w:id="67" w:name="_Toc500"/>
      <w:bookmarkStart w:id="68" w:name="_Toc113"/>
      <w:bookmarkStart w:id="69" w:name="_Toc24446"/>
      <w:bookmarkStart w:id="70" w:name="_Toc30192"/>
      <w:bookmarkStart w:id="71" w:name="_Toc5278"/>
      <w:bookmarkStart w:id="72" w:name="_Toc3193"/>
      <w:bookmarkStart w:id="73" w:name="_Toc6669"/>
      <w:bookmarkStart w:id="74" w:name="_Toc2576"/>
      <w:r>
        <w:rPr>
          <w:rFonts w:hint="eastAsia"/>
          <w:lang w:val="en-US" w:eastAsia="zh-CN"/>
        </w:rPr>
        <w:t>1.3.</w:t>
      </w:r>
      <w:bookmarkEnd w:id="59"/>
      <w:bookmarkEnd w:id="60"/>
      <w:bookmarkEnd w:id="61"/>
      <w:bookmarkStart w:id="75" w:name="_Toc29247"/>
      <w:bookmarkStart w:id="76" w:name="_Toc28886"/>
      <w:bookmarkStart w:id="77" w:name="_Toc17294"/>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rPr>
          <w:rFonts w:hint="default" w:ascii="宋体" w:hAnsi="宋体"/>
          <w:sz w:val="28"/>
          <w:lang w:val="en-US" w:eastAsia="zh-CN"/>
        </w:rPr>
      </w:pPr>
      <w:r>
        <w:rPr>
          <w:rFonts w:hint="eastAsia" w:ascii="宋体" w:hAnsi="宋体"/>
          <w:sz w:val="28"/>
          <w:lang w:val="en-US" w:eastAsia="zh-CN"/>
        </w:rPr>
        <w:br w:type="page"/>
      </w:r>
      <w:bookmarkStart w:id="78" w:name="_Toc20437"/>
      <w:r>
        <w:rPr>
          <w:rFonts w:hint="eastAsia" w:ascii="Arial" w:hAnsi="Arial" w:eastAsia="黑体" w:cs="Times New Roman"/>
          <w:b/>
          <w:bCs/>
          <w:kern w:val="2"/>
          <w:sz w:val="32"/>
          <w:szCs w:val="32"/>
          <w:lang w:val="en-US" w:eastAsia="zh-CN" w:bidi="ar-SA"/>
        </w:rPr>
        <w:t>1.3.3 资质证书</w:t>
      </w:r>
    </w:p>
    <w:p>
      <w:pPr>
        <w:spacing w:beforeLines="0" w:afterLines="0" w:line="360" w:lineRule="auto"/>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资质要求：投标人需具有在</w:t>
      </w:r>
      <w:r>
        <w:rPr>
          <w:rFonts w:hint="default" w:ascii="Times New Roman" w:hAnsi="Times New Roman" w:eastAsia="宋体" w:cs="Times New Roman"/>
          <w:b w:val="0"/>
          <w:bCs w:val="0"/>
          <w:color w:val="0000FF"/>
          <w:sz w:val="24"/>
        </w:rPr>
        <w:t>有效期内</w:t>
      </w:r>
      <w:r>
        <w:rPr>
          <w:rFonts w:hint="default" w:ascii="Times New Roman" w:hAnsi="Times New Roman" w:eastAsia="宋体" w:cs="Times New Roman"/>
          <w:b w:val="0"/>
          <w:bCs w:val="0"/>
          <w:color w:val="0000FF"/>
          <w:sz w:val="24"/>
          <w:lang w:val="en-US" w:eastAsia="zh-CN"/>
        </w:rPr>
        <w:t>城市及道路照明工程专业承包资质或机电工程施工总承包或市政公用工程施工总承包</w:t>
      </w:r>
      <w:r>
        <w:rPr>
          <w:rFonts w:hint="default" w:ascii="Times New Roman" w:hAnsi="Times New Roman" w:eastAsia="宋体" w:cs="Times New Roman"/>
          <w:b w:val="0"/>
          <w:bCs w:val="0"/>
          <w:color w:val="0000FF"/>
          <w:sz w:val="24"/>
        </w:rPr>
        <w:t>相关资质</w:t>
      </w:r>
      <w:r>
        <w:rPr>
          <w:rFonts w:hint="default" w:ascii="Times New Roman" w:hAnsi="Times New Roman" w:eastAsia="宋体" w:cs="Times New Roman"/>
          <w:b w:val="0"/>
          <w:bCs w:val="0"/>
          <w:color w:val="auto"/>
          <w:sz w:val="24"/>
        </w:rPr>
        <w:t>；</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*以上证书需同步提供佐证资料（如查询网站地址或网站截图）；</w:t>
      </w:r>
    </w:p>
    <w:p>
      <w:pPr>
        <w:rPr>
          <w:rFonts w:hint="eastAsia" w:ascii="宋体" w:hAnsi="宋体"/>
          <w:sz w:val="28"/>
          <w:lang w:val="en-US" w:eastAsia="zh-CN"/>
        </w:rPr>
      </w:pPr>
      <w:r>
        <w:rPr>
          <w:rFonts w:hint="eastAsia" w:ascii="宋体" w:hAnsi="宋体"/>
          <w:sz w:val="28"/>
          <w:lang w:val="en-US" w:eastAsia="zh-CN"/>
        </w:rPr>
        <w:br w:type="page"/>
      </w:r>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2"/>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珠海正方盛泰投资有限公司</w:t>
      </w:r>
    </w:p>
    <w:p>
      <w:pPr>
        <w:pStyle w:val="2"/>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2"/>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2"/>
        <w:keepLines/>
        <w:widowControl/>
        <w:snapToGrid w:val="0"/>
        <w:spacing w:line="360" w:lineRule="auto"/>
        <w:ind w:firstLine="0"/>
        <w:rPr>
          <w:rFonts w:hAnsi="宋体"/>
          <w:bCs/>
          <w:sz w:val="24"/>
          <w:szCs w:val="24"/>
        </w:rPr>
      </w:pPr>
    </w:p>
    <w:p>
      <w:pPr>
        <w:pStyle w:val="2"/>
        <w:keepLines/>
        <w:widowControl/>
        <w:snapToGrid w:val="0"/>
        <w:spacing w:line="360" w:lineRule="auto"/>
        <w:ind w:firstLine="0"/>
        <w:rPr>
          <w:rFonts w:hAnsi="宋体"/>
          <w:bCs/>
          <w:sz w:val="24"/>
          <w:szCs w:val="24"/>
        </w:rPr>
      </w:pPr>
      <w:r>
        <w:rPr>
          <w:rFonts w:hint="eastAsia" w:hAnsi="宋体"/>
          <w:bCs/>
          <w:sz w:val="24"/>
          <w:szCs w:val="24"/>
        </w:rPr>
        <w:t>注：</w:t>
      </w:r>
    </w:p>
    <w:p>
      <w:pPr>
        <w:pStyle w:val="2"/>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2"/>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18"/>
        <w:rPr>
          <w:rFonts w:hint="default"/>
          <w:lang w:val="en-US" w:eastAsia="zh-CN"/>
        </w:rPr>
      </w:pPr>
    </w:p>
    <w:p>
      <w:pPr>
        <w:rPr>
          <w:rFonts w:hint="eastAsia" w:ascii="黑体" w:hAnsi="黑体" w:cs="黑体"/>
          <w:b/>
          <w:bCs w:val="0"/>
          <w:sz w:val="28"/>
          <w:szCs w:val="28"/>
          <w:lang w:val="en-US" w:eastAsia="zh-CN"/>
        </w:rPr>
      </w:pPr>
      <w:bookmarkStart w:id="79" w:name="_Toc202817000"/>
      <w:bookmarkStart w:id="80" w:name="_Toc202252037"/>
      <w:bookmarkStart w:id="81" w:name="_Toc12992"/>
      <w:bookmarkStart w:id="82" w:name="_Toc24253"/>
      <w:bookmarkStart w:id="83" w:name="_Toc202251078"/>
      <w:bookmarkStart w:id="84" w:name="_Toc3330"/>
      <w:bookmarkStart w:id="85" w:name="_Toc21572"/>
      <w:bookmarkStart w:id="86" w:name="_Toc276645592"/>
      <w:bookmarkStart w:id="87" w:name="_Toc202254108"/>
      <w:bookmarkStart w:id="88" w:name="_Toc202820355"/>
      <w:bookmarkStart w:id="89" w:name="_Toc202251703"/>
      <w:bookmarkStart w:id="90" w:name="_Toc29543"/>
      <w:bookmarkStart w:id="91" w:name="_Toc259090996"/>
      <w:bookmarkStart w:id="92" w:name="_Toc202819882"/>
      <w:bookmarkStart w:id="93" w:name="_Toc503427721"/>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6"/>
          <w:rFonts w:hint="default" w:ascii="Times New Roman" w:hAnsi="Times New Roman" w:cs="Times New Roman"/>
          <w:color w:val="auto"/>
          <w:sz w:val="36"/>
          <w:szCs w:val="36"/>
        </w:rPr>
      </w:pPr>
      <w:r>
        <w:rPr>
          <w:rStyle w:val="16"/>
          <w:rFonts w:hint="eastAsia" w:cs="Times New Roman"/>
          <w:color w:val="auto"/>
          <w:sz w:val="36"/>
          <w:szCs w:val="36"/>
          <w:lang w:val="en-US" w:eastAsia="zh-CN"/>
        </w:rPr>
        <w:t>2.1</w:t>
      </w:r>
      <w:r>
        <w:rPr>
          <w:rStyle w:val="16"/>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珠海正方盛泰投资有限公司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城市阳台S4项目南区C栋二楼外围玻璃增加氛围灯带（第三次）</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6"/>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珠海正方盛泰投资有限公司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城市阳台S4项目南区C栋二楼外围玻璃增加氛围灯带（第三次）</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元）承接</w:t>
      </w:r>
      <w:permStart w:id="12" w:edGrp="everyone"/>
      <w:r>
        <w:rPr>
          <w:rFonts w:hint="eastAsia" w:cs="Times New Roman"/>
          <w:color w:val="auto"/>
          <w:sz w:val="28"/>
          <w:szCs w:val="28"/>
          <w:lang w:eastAsia="zh-CN"/>
        </w:rPr>
        <w:t>城市阳台S4项目南区C栋二楼外围玻璃增加氛围灯带（第三次）</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最终按实际验收结算，具体详见下表：</w:t>
      </w:r>
    </w:p>
    <w:tbl>
      <w:tblPr>
        <w:tblStyle w:val="13"/>
        <w:tblW w:w="9726" w:type="dxa"/>
        <w:tblInd w:w="-5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41"/>
        <w:gridCol w:w="620"/>
        <w:gridCol w:w="4011"/>
        <w:gridCol w:w="642"/>
        <w:gridCol w:w="657"/>
        <w:gridCol w:w="1309"/>
        <w:gridCol w:w="1192"/>
        <w:gridCol w:w="6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389"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6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401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工程量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jc w:val="left"/>
              <w:rPr>
                <w:rFonts w:hint="eastAsia" w:ascii="宋体" w:hAnsi="宋体" w:eastAsia="宋体" w:cs="宋体"/>
                <w:b/>
                <w:bCs/>
                <w:i w:val="0"/>
                <w:color w:val="0000FF"/>
                <w:kern w:val="0"/>
                <w:sz w:val="24"/>
                <w:szCs w:val="24"/>
                <w:u w:val="none"/>
                <w:lang w:val="en-US" w:eastAsia="zh-CN" w:bidi="ar"/>
              </w:rPr>
            </w:pPr>
            <w:r>
              <w:rPr>
                <w:rFonts w:hint="eastAsia" w:ascii="宋体" w:hAnsi="宋体" w:eastAsia="宋体" w:cs="宋体"/>
                <w:b/>
                <w:bCs/>
                <w:i w:val="0"/>
                <w:color w:val="0000FF"/>
                <w:kern w:val="0"/>
                <w:sz w:val="24"/>
                <w:szCs w:val="24"/>
                <w:u w:val="none"/>
                <w:lang w:val="en-US" w:eastAsia="zh-CN" w:bidi="ar"/>
              </w:rPr>
              <w:t xml:space="preserve">全费用综合单价(元) </w:t>
            </w:r>
          </w:p>
        </w:tc>
        <w:tc>
          <w:tcPr>
            <w:tcW w:w="119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jc w:val="left"/>
              <w:rPr>
                <w:rFonts w:hint="eastAsia" w:ascii="宋体" w:hAnsi="宋体" w:eastAsia="宋体" w:cs="宋体"/>
                <w:b/>
                <w:bCs/>
                <w:i w:val="0"/>
                <w:color w:val="0000FF"/>
                <w:kern w:val="0"/>
                <w:sz w:val="24"/>
                <w:szCs w:val="24"/>
                <w:u w:val="none"/>
                <w:lang w:val="en-US" w:eastAsia="zh-CN" w:bidi="ar"/>
              </w:rPr>
            </w:pPr>
            <w:r>
              <w:rPr>
                <w:rFonts w:hint="eastAsia" w:ascii="宋体" w:hAnsi="宋体" w:eastAsia="宋体" w:cs="宋体"/>
                <w:b/>
                <w:bCs/>
                <w:i w:val="0"/>
                <w:color w:val="0000FF"/>
                <w:kern w:val="0"/>
                <w:sz w:val="24"/>
                <w:szCs w:val="24"/>
                <w:u w:val="none"/>
                <w:lang w:val="en-US" w:eastAsia="zh-CN" w:bidi="ar"/>
              </w:rPr>
              <w:t xml:space="preserve"> 合计(元) </w:t>
            </w:r>
          </w:p>
        </w:tc>
        <w:tc>
          <w:tcPr>
            <w:tcW w:w="65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6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星星灯带安装</w:t>
            </w:r>
          </w:p>
        </w:tc>
        <w:tc>
          <w:tcPr>
            <w:tcW w:w="401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1、星星灯带安装</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2、规格：12v 220w  3500k户外防水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3、安装位置：三楼户外</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4、包含完成本项工作所需的一切费用</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1265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6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配线</w:t>
            </w:r>
          </w:p>
        </w:tc>
        <w:tc>
          <w:tcPr>
            <w:tcW w:w="401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1、规格：BV-3×2.5mm2</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2、敷设方式：靠墙、地明敷</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3、包含完成本项工作所需的一切费用</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100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6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防水电源</w:t>
            </w:r>
          </w:p>
        </w:tc>
        <w:tc>
          <w:tcPr>
            <w:tcW w:w="401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1、规格：12v、300w</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2、包含完成本项工作所需的一切费用</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15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0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6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室外防水电箱</w:t>
            </w:r>
          </w:p>
        </w:tc>
        <w:tc>
          <w:tcPr>
            <w:tcW w:w="401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1、室外不锈钢防水电箱</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2、尺寸：300×400×160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2、安装方式：悬挂式</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3、包含完成本项工作所需的一切费用</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6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漏电开关</w:t>
            </w:r>
          </w:p>
        </w:tc>
        <w:tc>
          <w:tcPr>
            <w:tcW w:w="401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1、规格：12v、300w</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2、包含完成本项工作所需的一切费用</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00"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6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时控开关</w:t>
            </w:r>
          </w:p>
        </w:tc>
        <w:tc>
          <w:tcPr>
            <w:tcW w:w="401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1、规格：12v、300w</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2、包含完成本项工作所需的一切费用</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99" w:hRule="atLeast"/>
        </w:trPr>
        <w:tc>
          <w:tcPr>
            <w:tcW w:w="64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62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挂钩</w:t>
            </w:r>
          </w:p>
        </w:tc>
        <w:tc>
          <w:tcPr>
            <w:tcW w:w="401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1、不锈钢挂钩</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2、包含完成本项工作所需的一切费用</w:t>
            </w:r>
          </w:p>
        </w:tc>
        <w:tc>
          <w:tcPr>
            <w:tcW w:w="64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个</w:t>
            </w:r>
          </w:p>
        </w:tc>
        <w:tc>
          <w:tcPr>
            <w:tcW w:w="657"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 xml:space="preserve">1050 </w:t>
            </w:r>
          </w:p>
        </w:tc>
        <w:tc>
          <w:tcPr>
            <w:tcW w:w="130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1192"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p>
        </w:tc>
        <w:tc>
          <w:tcPr>
            <w:tcW w:w="654"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524" w:hRule="atLeast"/>
        </w:trPr>
        <w:tc>
          <w:tcPr>
            <w:tcW w:w="7880" w:type="dxa"/>
            <w:gridSpan w:val="6"/>
            <w:tcBorders>
              <w:top w:val="single" w:color="000000" w:sz="4" w:space="0"/>
              <w:left w:val="single" w:color="000000" w:sz="4" w:space="0"/>
              <w:bottom w:val="single" w:color="000000"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192"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w:t>
            </w:r>
          </w:p>
        </w:tc>
        <w:tc>
          <w:tcPr>
            <w:tcW w:w="654"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pageBreakBefore w:val="0"/>
              <w:kinsoku/>
              <w:wordWrap/>
              <w:overflowPunct/>
              <w:topLinePunct w:val="0"/>
              <w:autoSpaceDE/>
              <w:autoSpaceDN/>
              <w:bidi w:val="0"/>
              <w:adjustRightInd/>
              <w:snapToGrid/>
              <w:spacing w:line="288" w:lineRule="auto"/>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720" w:hRule="atLeast"/>
        </w:trPr>
        <w:tc>
          <w:tcPr>
            <w:tcW w:w="9726" w:type="dxa"/>
            <w:gridSpan w:val="8"/>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所有报价均为含税价，且已包含人工费、材料费、交通差旅费、餐饮费、运费等完成本项目的所有费用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 xml:space="preserve">石国清18127127627 </w:t>
            </w:r>
            <w:r>
              <w:rPr>
                <w:rFonts w:hint="eastAsia" w:ascii="宋体" w:hAnsi="宋体" w:eastAsia="宋体" w:cs="宋体"/>
                <w:i w:val="0"/>
                <w:color w:val="000000"/>
                <w:kern w:val="0"/>
                <w:sz w:val="24"/>
                <w:szCs w:val="24"/>
                <w:u w:val="none"/>
                <w:lang w:val="en-US" w:eastAsia="zh-CN" w:bidi="ar"/>
              </w:rPr>
              <w:t>，城市阳台S4项目现场</w:t>
            </w:r>
          </w:p>
        </w:tc>
      </w:tr>
    </w:tbl>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2"/>
        <w:ind w:left="0" w:leftChars="0" w:firstLine="0" w:firstLineChars="0"/>
        <w:jc w:val="both"/>
        <w:rPr>
          <w:rFonts w:hint="default"/>
          <w:lang w:val="en-US" w:eastAsia="zh-CN"/>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B61AA3"/>
    <w:rsid w:val="05B1555F"/>
    <w:rsid w:val="0671572A"/>
    <w:rsid w:val="067D1626"/>
    <w:rsid w:val="0754588A"/>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FE2768D"/>
    <w:rsid w:val="202F7D49"/>
    <w:rsid w:val="210322A7"/>
    <w:rsid w:val="2121293A"/>
    <w:rsid w:val="23EC6A93"/>
    <w:rsid w:val="259F18F8"/>
    <w:rsid w:val="272E6E27"/>
    <w:rsid w:val="27540AC6"/>
    <w:rsid w:val="278065CC"/>
    <w:rsid w:val="28C56911"/>
    <w:rsid w:val="291B3A89"/>
    <w:rsid w:val="2BED4BFF"/>
    <w:rsid w:val="2D022F1E"/>
    <w:rsid w:val="2E0A4EF7"/>
    <w:rsid w:val="2F8C5B34"/>
    <w:rsid w:val="3035528F"/>
    <w:rsid w:val="303C5477"/>
    <w:rsid w:val="31BE38D0"/>
    <w:rsid w:val="329B19DD"/>
    <w:rsid w:val="33461B40"/>
    <w:rsid w:val="33864723"/>
    <w:rsid w:val="338C409C"/>
    <w:rsid w:val="3510688E"/>
    <w:rsid w:val="36991F33"/>
    <w:rsid w:val="36D13171"/>
    <w:rsid w:val="37FE2A53"/>
    <w:rsid w:val="38F34C92"/>
    <w:rsid w:val="39C942F4"/>
    <w:rsid w:val="3BDD1A9B"/>
    <w:rsid w:val="3BF341D2"/>
    <w:rsid w:val="3DDA2166"/>
    <w:rsid w:val="3E7E4135"/>
    <w:rsid w:val="3EC52271"/>
    <w:rsid w:val="3ED65B24"/>
    <w:rsid w:val="40DF147E"/>
    <w:rsid w:val="410E417C"/>
    <w:rsid w:val="426867F2"/>
    <w:rsid w:val="427C15D5"/>
    <w:rsid w:val="43F34101"/>
    <w:rsid w:val="442B09BE"/>
    <w:rsid w:val="4483748A"/>
    <w:rsid w:val="454E23D2"/>
    <w:rsid w:val="46291EEF"/>
    <w:rsid w:val="467170E3"/>
    <w:rsid w:val="46B354B7"/>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6">
    <w:name w:val="Body Text"/>
    <w:basedOn w:val="1"/>
    <w:link w:val="22"/>
    <w:qFormat/>
    <w:uiPriority w:val="0"/>
    <w:pPr>
      <w:spacing w:line="480" w:lineRule="exact"/>
      <w:jc w:val="left"/>
    </w:pPr>
    <w:rPr>
      <w:rFonts w:ascii="宋体" w:hAnsi="宋体"/>
    </w:rPr>
  </w:style>
  <w:style w:type="paragraph" w:styleId="7">
    <w:name w:val="Body Text Indent"/>
    <w:basedOn w:val="1"/>
    <w:link w:val="25"/>
    <w:unhideWhenUsed/>
    <w:qFormat/>
    <w:uiPriority w:val="0"/>
    <w:pPr>
      <w:spacing w:after="120"/>
      <w:ind w:left="420" w:leftChars="200"/>
    </w:pPr>
  </w:style>
  <w:style w:type="paragraph" w:styleId="8">
    <w:name w:val="Plain Text"/>
    <w:basedOn w:val="1"/>
    <w:link w:val="30"/>
    <w:qFormat/>
    <w:uiPriority w:val="0"/>
    <w:pPr>
      <w:spacing w:line="360" w:lineRule="auto"/>
      <w:ind w:firstLine="510"/>
    </w:pPr>
    <w:rPr>
      <w:rFonts w:ascii="宋体" w:hAnsi="Courier New" w:eastAsia="仿宋_GB2312"/>
      <w:sz w:val="24"/>
      <w:szCs w:val="20"/>
    </w:rPr>
  </w:style>
  <w:style w:type="paragraph" w:styleId="9">
    <w:name w:val="Balloon Text"/>
    <w:basedOn w:val="1"/>
    <w:link w:val="27"/>
    <w:qFormat/>
    <w:uiPriority w:val="0"/>
    <w:rPr>
      <w:sz w:val="18"/>
      <w:szCs w:val="18"/>
    </w:rPr>
  </w:style>
  <w:style w:type="paragraph" w:styleId="10">
    <w:name w:val="footer"/>
    <w:basedOn w:val="1"/>
    <w:link w:val="21"/>
    <w:qFormat/>
    <w:uiPriority w:val="99"/>
    <w:pPr>
      <w:tabs>
        <w:tab w:val="center" w:pos="4153"/>
        <w:tab w:val="right" w:pos="8306"/>
      </w:tabs>
      <w:snapToGrid w:val="0"/>
      <w:jc w:val="left"/>
    </w:pPr>
    <w:rPr>
      <w:sz w:val="18"/>
      <w:szCs w:val="18"/>
    </w:rPr>
  </w:style>
  <w:style w:type="paragraph" w:styleId="11">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First Indent"/>
    <w:basedOn w:val="6"/>
    <w:link w:val="29"/>
    <w:semiHidden/>
    <w:unhideWhenUsed/>
    <w:qFormat/>
    <w:uiPriority w:val="0"/>
    <w:pPr>
      <w:spacing w:after="120" w:line="240" w:lineRule="auto"/>
      <w:ind w:firstLine="420" w:firstLineChars="100"/>
      <w:jc w:val="both"/>
    </w:pPr>
    <w:rPr>
      <w:rFonts w:ascii="Times New Roman" w:hAnsi="Times New Roman"/>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6">
    <w:name w:val="Strong"/>
    <w:qFormat/>
    <w:uiPriority w:val="0"/>
    <w:rPr>
      <w:b/>
      <w:bCs/>
    </w:rPr>
  </w:style>
  <w:style w:type="character" w:styleId="17">
    <w:name w:val="Hyperlink"/>
    <w:basedOn w:val="15"/>
    <w:semiHidden/>
    <w:unhideWhenUsed/>
    <w:qFormat/>
    <w:uiPriority w:val="0"/>
    <w:rPr>
      <w:color w:val="0000FF"/>
      <w:u w:val="single"/>
    </w:rPr>
  </w:style>
  <w:style w:type="paragraph" w:customStyle="1" w:styleId="18">
    <w:name w:val="引文目录1"/>
    <w:basedOn w:val="1"/>
    <w:next w:val="1"/>
    <w:qFormat/>
    <w:uiPriority w:val="0"/>
    <w:pPr>
      <w:ind w:left="200" w:leftChars="200"/>
    </w:pPr>
    <w:rPr>
      <w:rFonts w:ascii="Times New Roman" w:hAnsi="Times New Roman"/>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5"/>
    <w:link w:val="11"/>
    <w:qFormat/>
    <w:uiPriority w:val="0"/>
    <w:rPr>
      <w:kern w:val="2"/>
      <w:sz w:val="18"/>
      <w:szCs w:val="18"/>
    </w:rPr>
  </w:style>
  <w:style w:type="character" w:customStyle="1" w:styleId="21">
    <w:name w:val="页脚 字符"/>
    <w:basedOn w:val="15"/>
    <w:link w:val="10"/>
    <w:qFormat/>
    <w:uiPriority w:val="99"/>
    <w:rPr>
      <w:kern w:val="2"/>
      <w:sz w:val="18"/>
      <w:szCs w:val="18"/>
    </w:rPr>
  </w:style>
  <w:style w:type="character" w:customStyle="1" w:styleId="22">
    <w:name w:val="正文文本 字符"/>
    <w:basedOn w:val="15"/>
    <w:link w:val="6"/>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5"/>
    <w:link w:val="7"/>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5"/>
    <w:link w:val="9"/>
    <w:qFormat/>
    <w:uiPriority w:val="0"/>
    <w:rPr>
      <w:kern w:val="2"/>
      <w:sz w:val="18"/>
      <w:szCs w:val="18"/>
    </w:rPr>
  </w:style>
  <w:style w:type="character" w:customStyle="1" w:styleId="28">
    <w:name w:val="标题 1 字符"/>
    <w:basedOn w:val="15"/>
    <w:link w:val="3"/>
    <w:qFormat/>
    <w:uiPriority w:val="0"/>
    <w:rPr>
      <w:b/>
      <w:bCs/>
      <w:kern w:val="44"/>
      <w:sz w:val="44"/>
      <w:szCs w:val="44"/>
    </w:rPr>
  </w:style>
  <w:style w:type="character" w:customStyle="1" w:styleId="29">
    <w:name w:val="正文文本首行缩进 字符"/>
    <w:basedOn w:val="22"/>
    <w:link w:val="12"/>
    <w:semiHidden/>
    <w:qFormat/>
    <w:uiPriority w:val="0"/>
    <w:rPr>
      <w:rFonts w:ascii="宋体" w:hAnsi="宋体"/>
      <w:kern w:val="2"/>
      <w:sz w:val="21"/>
      <w:szCs w:val="24"/>
    </w:rPr>
  </w:style>
  <w:style w:type="character" w:customStyle="1" w:styleId="30">
    <w:name w:val="纯文本 字符"/>
    <w:link w:val="8"/>
    <w:qFormat/>
    <w:uiPriority w:val="0"/>
    <w:rPr>
      <w:rFonts w:ascii="宋体" w:hAnsi="Courier New" w:eastAsia="仿宋_GB2312"/>
      <w:kern w:val="2"/>
      <w:sz w:val="24"/>
    </w:rPr>
  </w:style>
  <w:style w:type="character" w:customStyle="1" w:styleId="31">
    <w:name w:val="font31"/>
    <w:basedOn w:val="15"/>
    <w:qFormat/>
    <w:uiPriority w:val="0"/>
    <w:rPr>
      <w:rFonts w:hint="eastAsia" w:ascii="宋体" w:hAnsi="宋体" w:eastAsia="宋体" w:cs="宋体"/>
      <w:b/>
      <w:color w:val="000000"/>
      <w:sz w:val="14"/>
      <w:szCs w:val="14"/>
      <w:u w:val="none"/>
    </w:rPr>
  </w:style>
  <w:style w:type="character" w:customStyle="1" w:styleId="32">
    <w:name w:val="font01"/>
    <w:basedOn w:val="15"/>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7</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2026-06-30T11:15:47Z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