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情景商业项目29个商铺面积测绘服务</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（珠海正方资产运营管理有限公司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7月2日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珠海正方资产运营管理有限公司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确保面积数据的准确性、公正性和合规性，避免因面积误差引发法律纠纷或经济损失，现需委托具备相应资质的测绘单位，对情景商业项目29个商铺进行正式、系统的重新测绘，并出具具备法律效力的测绘报告。</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壹万肆仟玖佰柒拾肆元肆角伍分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14,974.45</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壹万肆仟玖佰柒拾肆元肆角伍分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14,974.45</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情景商业项目29个商铺面积测绘服务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rPr>
        <w:t>2、资质要求：</w:t>
      </w:r>
      <w:r>
        <w:rPr>
          <w:rFonts w:hint="default" w:ascii="Times New Roman" w:hAnsi="Times New Roman" w:eastAsia="宋体" w:cs="Times New Roman"/>
          <w:b w:val="0"/>
          <w:bCs w:val="0"/>
          <w:color w:val="auto"/>
          <w:sz w:val="24"/>
          <w:lang w:val="en-US" w:eastAsia="zh-CN"/>
        </w:rPr>
        <w:t>投标人须具备自然资源主管部门核发的有效期内的《测绘资质证书》，资质等级为乙级及以上测绘资质，资质专业范围含不动产测绘或房产测绘。</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*以上证书需同步提供佐证资料（如查询网站地址或网站截图）；</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6"/>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6"/>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2"/>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7月7日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情景商业项目29个商铺面积测绘服务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19"/>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jc w:val="right"/>
        <w:rPr>
          <w:rFonts w:hint="eastAsia" w:ascii="宋体" w:hAnsi="宋体" w:eastAsia="宋体" w:cs="宋体"/>
          <w:color w:val="auto"/>
          <w:sz w:val="24"/>
          <w:szCs w:val="24"/>
        </w:rPr>
      </w:pPr>
    </w:p>
    <w:p>
      <w:pPr>
        <w:pStyle w:val="19"/>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珠海正方资产运营管理有限公司</w:t>
      </w:r>
      <w:r>
        <w:rPr>
          <w:rFonts w:hint="eastAsia" w:ascii="宋体" w:hAnsi="宋体" w:eastAsia="宋体" w:cs="宋体"/>
          <w:color w:val="auto"/>
          <w:sz w:val="24"/>
          <w:szCs w:val="24"/>
        </w:rPr>
        <w:t xml:space="preserve">         </w:t>
      </w:r>
    </w:p>
    <w:p>
      <w:pPr>
        <w:pStyle w:val="19"/>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7月2日</w:t>
      </w:r>
    </w:p>
    <w:p>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9199"/>
      <w:bookmarkStart w:id="3" w:name="_Toc27664"/>
      <w:bookmarkStart w:id="4" w:name="_Toc15547"/>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76645579"/>
      <w:bookmarkStart w:id="8" w:name="_Toc698"/>
      <w:bookmarkStart w:id="9" w:name="_Toc202816996"/>
      <w:bookmarkStart w:id="10" w:name="_Toc259090982"/>
      <w:bookmarkStart w:id="11" w:name="_Toc503427710"/>
      <w:bookmarkStart w:id="12" w:name="_Toc202251075"/>
      <w:bookmarkStart w:id="13" w:name="_Toc202819878"/>
      <w:bookmarkStart w:id="14" w:name="_Toc17685"/>
      <w:bookmarkStart w:id="15" w:name="_Toc16107"/>
      <w:bookmarkStart w:id="16" w:name="_Toc202820351"/>
      <w:bookmarkStart w:id="17" w:name="_Toc15317"/>
      <w:bookmarkStart w:id="18" w:name="_Toc202252034"/>
      <w:bookmarkStart w:id="19" w:name="_Toc202254105"/>
      <w:bookmarkStart w:id="20" w:name="_Toc20225170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13089"/>
      <w:bookmarkStart w:id="23" w:name="_Toc276645580"/>
      <w:bookmarkStart w:id="24" w:name="_Toc32660"/>
      <w:bookmarkStart w:id="25" w:name="_Toc24181"/>
      <w:bookmarkStart w:id="26" w:name="_Toc503427711"/>
      <w:bookmarkStart w:id="27" w:name="_Toc20366"/>
      <w:r>
        <w:rPr>
          <w:rFonts w:hint="eastAsia" w:ascii="宋体" w:hAnsi="宋体"/>
          <w:sz w:val="28"/>
        </w:rPr>
        <w:t>1.1投标函</w:t>
      </w:r>
      <w:bookmarkEnd w:id="21"/>
      <w:bookmarkEnd w:id="22"/>
      <w:bookmarkEnd w:id="23"/>
      <w:bookmarkEnd w:id="24"/>
      <w:bookmarkEnd w:id="25"/>
      <w:bookmarkEnd w:id="26"/>
      <w:bookmarkEnd w:id="27"/>
    </w:p>
    <w:p>
      <w:pPr>
        <w:pStyle w:val="2"/>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珠海正方资产运营管理有限公司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情景商业项目29个商铺面积测绘服务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w:t>
      </w:r>
      <w:r>
        <w:rPr>
          <w:rFonts w:hint="eastAsia" w:ascii="宋体" w:hAnsi="宋体"/>
          <w:kern w:val="0"/>
          <w:sz w:val="24"/>
          <w:lang w:val="en-US" w:eastAsia="zh-CN"/>
        </w:rPr>
        <w:t>邮箱</w:t>
      </w:r>
      <w:bookmarkStart w:id="94" w:name="_GoBack"/>
      <w:bookmarkEnd w:id="94"/>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t xml:space="preserve"> </w:t>
      </w:r>
    </w:p>
    <w:p>
      <w:pPr>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6"/>
        <w:spacing w:before="1" w:line="364" w:lineRule="auto"/>
        <w:ind w:right="105"/>
        <w:rPr>
          <w:spacing w:val="-8"/>
        </w:rPr>
      </w:pPr>
    </w:p>
    <w:p>
      <w:pPr>
        <w:pStyle w:val="6"/>
        <w:spacing w:before="1" w:line="364" w:lineRule="auto"/>
        <w:ind w:left="0" w:leftChars="0" w:right="105" w:firstLine="0" w:firstLineChars="0"/>
        <w:rPr>
          <w:spacing w:val="-8"/>
        </w:rPr>
      </w:pPr>
    </w:p>
    <w:p>
      <w:pPr>
        <w:pStyle w:val="6"/>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6"/>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01"/>
        <w:ind w:left="4920"/>
        <w:rPr>
          <w:spacing w:val="-120"/>
        </w:rPr>
      </w:pPr>
      <w:r>
        <w:t>公司名称（公章</w:t>
      </w:r>
      <w:r>
        <w:rPr>
          <w:spacing w:val="-120"/>
        </w:rPr>
        <w:t>）</w:t>
      </w:r>
    </w:p>
    <w:p>
      <w:pPr>
        <w:pStyle w:val="6"/>
        <w:spacing w:before="201"/>
        <w:ind w:left="4920"/>
        <w:rPr>
          <w:spacing w:val="-120"/>
        </w:rPr>
      </w:pPr>
    </w:p>
    <w:p>
      <w:pPr>
        <w:pStyle w:val="6"/>
        <w:ind w:left="4920"/>
        <w:rPr>
          <w:spacing w:val="-120"/>
        </w:rPr>
      </w:pPr>
      <w:r>
        <w:t>法定代表人（签名或签章</w:t>
      </w:r>
      <w:r>
        <w:rPr>
          <w:spacing w:val="-120"/>
        </w:rPr>
        <w:t>）</w:t>
      </w:r>
    </w:p>
    <w:p>
      <w:pPr>
        <w:pStyle w:val="6"/>
        <w:ind w:left="4920"/>
        <w:rPr>
          <w:spacing w:val="-120"/>
        </w:rPr>
      </w:pPr>
    </w:p>
    <w:p>
      <w:pPr>
        <w:pStyle w:val="6"/>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171"/>
      <w:bookmarkStart w:id="30" w:name="_Toc503427713"/>
      <w:bookmarkStart w:id="31" w:name="_Toc19817"/>
      <w:bookmarkStart w:id="32" w:name="_Toc17080"/>
      <w:bookmarkStart w:id="33" w:name="_Toc27591"/>
      <w:bookmarkStart w:id="34" w:name="_Toc528"/>
      <w:r>
        <w:rPr>
          <w:rFonts w:hint="eastAsia" w:ascii="宋体" w:hAnsi="宋体"/>
          <w:sz w:val="28"/>
        </w:rPr>
        <w:t>1.3关于资格的声明函</w:t>
      </w:r>
      <w:bookmarkEnd w:id="29"/>
      <w:bookmarkEnd w:id="30"/>
      <w:bookmarkEnd w:id="31"/>
      <w:bookmarkEnd w:id="32"/>
      <w:bookmarkEnd w:id="33"/>
      <w:bookmarkEnd w:id="34"/>
    </w:p>
    <w:p>
      <w:pPr>
        <w:pStyle w:val="2"/>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珠海正方资产运营管理有限公司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情景商业项目29个商铺面积测绘服务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14285"/>
      <w:bookmarkStart w:id="36" w:name="_Toc31767"/>
      <w:bookmarkStart w:id="37" w:name="_Toc10559"/>
      <w:bookmarkStart w:id="38" w:name="_Toc15464"/>
      <w:bookmarkStart w:id="39" w:name="_Toc32141"/>
      <w:bookmarkStart w:id="40" w:name="_Toc9476"/>
      <w:bookmarkStart w:id="41" w:name="_Toc24969"/>
      <w:bookmarkStart w:id="42" w:name="_Toc5048"/>
      <w:bookmarkStart w:id="43" w:name="_Toc31877"/>
      <w:bookmarkStart w:id="44" w:name="_Toc24356"/>
      <w:bookmarkStart w:id="45" w:name="_Toc10585"/>
      <w:bookmarkStart w:id="46" w:name="_Toc13922"/>
      <w:bookmarkStart w:id="47" w:name="_Toc19969"/>
      <w:bookmarkStart w:id="48" w:name="_Toc6220"/>
      <w:bookmarkStart w:id="49" w:name="_Toc26971"/>
      <w:bookmarkStart w:id="50" w:name="_Toc19796"/>
      <w:bookmarkStart w:id="51" w:name="_Toc6275"/>
      <w:bookmarkStart w:id="52" w:name="_Toc503427714"/>
      <w:bookmarkStart w:id="53" w:name="_Toc27468"/>
      <w:bookmarkStart w:id="54" w:name="_Toc264628882"/>
      <w:bookmarkStart w:id="55" w:name="_Toc4427"/>
      <w:bookmarkStart w:id="56" w:name="_Toc276645583"/>
      <w:bookmarkStart w:id="57" w:name="_Toc4726"/>
      <w:bookmarkStart w:id="58" w:name="_Toc32498"/>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7304"/>
      <w:bookmarkStart w:id="61" w:name="_Toc10726"/>
      <w:bookmarkStart w:id="62" w:name="_Toc32145"/>
      <w:bookmarkStart w:id="63" w:name="_Toc3193"/>
      <w:bookmarkStart w:id="64" w:name="_Toc2576"/>
      <w:bookmarkStart w:id="65" w:name="_Toc30192"/>
      <w:bookmarkStart w:id="66" w:name="_Toc5278"/>
      <w:bookmarkStart w:id="67" w:name="_Toc16860"/>
      <w:bookmarkStart w:id="68" w:name="_Toc113"/>
      <w:bookmarkStart w:id="69" w:name="_Toc500"/>
      <w:bookmarkStart w:id="70" w:name="_Toc6669"/>
      <w:bookmarkStart w:id="71" w:name="_Toc9094"/>
      <w:bookmarkStart w:id="72" w:name="_Toc29470"/>
      <w:bookmarkStart w:id="73" w:name="_Toc22499"/>
      <w:bookmarkStart w:id="74" w:name="_Toc24446"/>
      <w:r>
        <w:rPr>
          <w:rFonts w:hint="eastAsia"/>
          <w:lang w:val="en-US" w:eastAsia="zh-CN"/>
        </w:rPr>
        <w:t>1.3.</w:t>
      </w:r>
      <w:bookmarkEnd w:id="59"/>
      <w:bookmarkEnd w:id="60"/>
      <w:bookmarkEnd w:id="61"/>
      <w:bookmarkStart w:id="75" w:name="_Toc28886"/>
      <w:bookmarkStart w:id="76" w:name="_Toc29247"/>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rPr>
          <w:rFonts w:hint="default" w:ascii="宋体" w:hAnsi="宋体"/>
          <w:sz w:val="28"/>
          <w:lang w:val="en-US" w:eastAsia="zh-CN"/>
        </w:rPr>
      </w:pPr>
      <w:r>
        <w:rPr>
          <w:rFonts w:hint="eastAsia" w:ascii="宋体" w:hAnsi="宋体"/>
          <w:sz w:val="28"/>
          <w:lang w:val="en-US" w:eastAsia="zh-CN"/>
        </w:rPr>
        <w:br w:type="page"/>
      </w:r>
      <w:bookmarkStart w:id="78" w:name="_Toc20437"/>
      <w:r>
        <w:rPr>
          <w:rFonts w:hint="eastAsia" w:ascii="Arial" w:hAnsi="Arial" w:eastAsia="黑体" w:cs="Times New Roman"/>
          <w:b/>
          <w:bCs/>
          <w:kern w:val="2"/>
          <w:sz w:val="32"/>
          <w:szCs w:val="32"/>
          <w:lang w:val="en-US" w:eastAsia="zh-CN" w:bidi="ar-SA"/>
        </w:rPr>
        <w:t>1.3.3 资质证书</w:t>
      </w:r>
    </w:p>
    <w:p>
      <w:pPr>
        <w:spacing w:beforeLines="0" w:afterLines="0" w:line="360" w:lineRule="auto"/>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资质要求：投标人需具备自然资源主管部门核发的有效期内的《</w:t>
      </w:r>
      <w:r>
        <w:rPr>
          <w:rFonts w:hint="default" w:ascii="Times New Roman" w:hAnsi="Times New Roman" w:eastAsia="宋体" w:cs="Times New Roman"/>
          <w:b w:val="0"/>
          <w:bCs w:val="0"/>
          <w:color w:val="0000FF"/>
          <w:sz w:val="24"/>
        </w:rPr>
        <w:t>测绘资质证书</w:t>
      </w:r>
      <w:r>
        <w:rPr>
          <w:rFonts w:hint="default" w:ascii="Times New Roman" w:hAnsi="Times New Roman" w:eastAsia="宋体" w:cs="Times New Roman"/>
          <w:b w:val="0"/>
          <w:bCs w:val="0"/>
          <w:color w:val="auto"/>
          <w:sz w:val="24"/>
        </w:rPr>
        <w:t>》，资质等级为</w:t>
      </w:r>
      <w:r>
        <w:rPr>
          <w:rFonts w:hint="default" w:ascii="Times New Roman" w:hAnsi="Times New Roman" w:eastAsia="宋体" w:cs="Times New Roman"/>
          <w:b w:val="0"/>
          <w:bCs w:val="0"/>
          <w:color w:val="0000FF"/>
          <w:sz w:val="24"/>
        </w:rPr>
        <w:t>乙级及以上</w:t>
      </w:r>
      <w:r>
        <w:rPr>
          <w:rFonts w:hint="default" w:ascii="Times New Roman" w:hAnsi="Times New Roman" w:eastAsia="宋体" w:cs="Times New Roman"/>
          <w:b w:val="0"/>
          <w:bCs w:val="0"/>
          <w:color w:val="auto"/>
          <w:sz w:val="24"/>
        </w:rPr>
        <w:t>测绘资质，资质专业范围含</w:t>
      </w:r>
      <w:r>
        <w:rPr>
          <w:rFonts w:hint="default" w:ascii="Times New Roman" w:hAnsi="Times New Roman" w:eastAsia="宋体" w:cs="Times New Roman"/>
          <w:b/>
          <w:bCs/>
          <w:color w:val="0000FF"/>
          <w:sz w:val="24"/>
        </w:rPr>
        <w:t>不动产测绘或房产测绘</w:t>
      </w:r>
      <w:r>
        <w:rPr>
          <w:rFonts w:hint="default" w:ascii="Times New Roman" w:hAnsi="Times New Roman" w:eastAsia="宋体" w:cs="Times New Roman"/>
          <w:b w:val="0"/>
          <w:bCs w:val="0"/>
          <w:color w:val="auto"/>
          <w:sz w:val="24"/>
        </w:rPr>
        <w:t>；</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*以上证书需同步提供佐证资料（如查询网站地址或网站截图）；</w:t>
      </w:r>
    </w:p>
    <w:p>
      <w:pPr>
        <w:rPr>
          <w:rFonts w:hint="eastAsia" w:ascii="宋体" w:hAnsi="宋体"/>
          <w:sz w:val="28"/>
          <w:lang w:val="en-US" w:eastAsia="zh-CN"/>
        </w:rPr>
      </w:pPr>
      <w:r>
        <w:rPr>
          <w:rFonts w:hint="eastAsia" w:ascii="宋体" w:hAnsi="宋体"/>
          <w:sz w:val="28"/>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2"/>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珠海正方资产运营管理有限公司</w:t>
      </w:r>
    </w:p>
    <w:p>
      <w:pPr>
        <w:pStyle w:val="2"/>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2"/>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2"/>
        <w:keepLines/>
        <w:widowControl/>
        <w:snapToGrid w:val="0"/>
        <w:spacing w:line="360" w:lineRule="auto"/>
        <w:ind w:firstLine="0"/>
        <w:rPr>
          <w:rFonts w:hAnsi="宋体"/>
          <w:bCs/>
          <w:sz w:val="24"/>
          <w:szCs w:val="24"/>
        </w:rPr>
      </w:pPr>
    </w:p>
    <w:p>
      <w:pPr>
        <w:pStyle w:val="2"/>
        <w:keepLines/>
        <w:widowControl/>
        <w:snapToGrid w:val="0"/>
        <w:spacing w:line="360" w:lineRule="auto"/>
        <w:ind w:firstLine="0"/>
        <w:rPr>
          <w:rFonts w:hAnsi="宋体"/>
          <w:bCs/>
          <w:sz w:val="24"/>
          <w:szCs w:val="24"/>
        </w:rPr>
      </w:pPr>
      <w:r>
        <w:rPr>
          <w:rFonts w:hint="eastAsia" w:hAnsi="宋体"/>
          <w:bCs/>
          <w:sz w:val="24"/>
          <w:szCs w:val="24"/>
        </w:rPr>
        <w:t>注：</w:t>
      </w:r>
    </w:p>
    <w:p>
      <w:pPr>
        <w:pStyle w:val="2"/>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2"/>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18"/>
        <w:rPr>
          <w:rFonts w:hint="default"/>
          <w:lang w:val="en-US" w:eastAsia="zh-CN"/>
        </w:rPr>
      </w:pPr>
    </w:p>
    <w:p>
      <w:pPr>
        <w:rPr>
          <w:rFonts w:hint="eastAsia" w:ascii="黑体" w:hAnsi="黑体" w:cs="黑体"/>
          <w:b/>
          <w:bCs w:val="0"/>
          <w:sz w:val="28"/>
          <w:szCs w:val="28"/>
          <w:lang w:val="en-US" w:eastAsia="zh-CN"/>
        </w:rPr>
      </w:pPr>
      <w:bookmarkStart w:id="79" w:name="_Toc202251078"/>
      <w:bookmarkStart w:id="80" w:name="_Toc276645592"/>
      <w:bookmarkStart w:id="81" w:name="_Toc202252037"/>
      <w:bookmarkStart w:id="82" w:name="_Toc3330"/>
      <w:bookmarkStart w:id="83" w:name="_Toc202819882"/>
      <w:bookmarkStart w:id="84" w:name="_Toc259090996"/>
      <w:bookmarkStart w:id="85" w:name="_Toc202820355"/>
      <w:bookmarkStart w:id="86" w:name="_Toc202254108"/>
      <w:bookmarkStart w:id="87" w:name="_Toc21572"/>
      <w:bookmarkStart w:id="88" w:name="_Toc29543"/>
      <w:bookmarkStart w:id="89" w:name="_Toc202817000"/>
      <w:bookmarkStart w:id="90" w:name="_Toc12992"/>
      <w:bookmarkStart w:id="91" w:name="_Toc24253"/>
      <w:bookmarkStart w:id="92" w:name="_Toc503427721"/>
      <w:bookmarkStart w:id="93" w:name="_Toc202251703"/>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6"/>
          <w:rFonts w:hint="default" w:ascii="Times New Roman" w:hAnsi="Times New Roman" w:cs="Times New Roman"/>
          <w:color w:val="auto"/>
          <w:sz w:val="36"/>
          <w:szCs w:val="36"/>
        </w:rPr>
      </w:pPr>
      <w:r>
        <w:rPr>
          <w:rStyle w:val="16"/>
          <w:rFonts w:hint="eastAsia" w:cs="Times New Roman"/>
          <w:color w:val="auto"/>
          <w:sz w:val="36"/>
          <w:szCs w:val="36"/>
          <w:lang w:val="en-US" w:eastAsia="zh-CN"/>
        </w:rPr>
        <w:t>2.1</w:t>
      </w:r>
      <w:r>
        <w:rPr>
          <w:rStyle w:val="16"/>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珠海正方资产运营管理有限公司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情景商业项目29个商铺面积测绘服务</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6"/>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珠海正方资产运营管理有限公司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w:t>
      </w:r>
      <w:r>
        <w:rPr>
          <w:rFonts w:hint="eastAsia" w:cs="Times New Roman"/>
          <w:color w:val="auto"/>
          <w:sz w:val="24"/>
          <w:szCs w:val="24"/>
          <w:lang w:val="en-US" w:eastAsia="zh-CN"/>
        </w:rPr>
        <w:t>情景商业项目29个商铺面积测绘服务</w:t>
      </w:r>
      <w:r>
        <w:rPr>
          <w:rFonts w:hint="eastAsia" w:cs="Times New Roman"/>
          <w:color w:val="auto"/>
          <w:sz w:val="24"/>
          <w:szCs w:val="24"/>
          <w:lang w:eastAsia="zh-CN"/>
        </w:rPr>
        <w:t>）</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rPr>
        <w:t>元 （¥</w:t>
      </w:r>
      <w:r>
        <w:rPr>
          <w:rFonts w:hint="default" w:ascii="Times New Roman" w:hAnsi="Times New Roman" w:eastAsia="宋体" w:cs="Times New Roman"/>
          <w:color w:val="auto"/>
          <w:sz w:val="24"/>
          <w:szCs w:val="24"/>
          <w:u w:val="single"/>
        </w:rPr>
        <w:t xml:space="preserve">        </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元）承接</w:t>
      </w:r>
      <w:permStart w:id="12" w:edGrp="everyone"/>
      <w:r>
        <w:rPr>
          <w:rFonts w:hint="eastAsia" w:cs="Times New Roman"/>
          <w:color w:val="auto"/>
          <w:sz w:val="24"/>
          <w:szCs w:val="24"/>
          <w:lang w:eastAsia="zh-CN"/>
        </w:rPr>
        <w:t>（</w:t>
      </w:r>
      <w:r>
        <w:rPr>
          <w:rFonts w:hint="eastAsia" w:cs="Times New Roman"/>
          <w:color w:val="auto"/>
          <w:sz w:val="24"/>
          <w:szCs w:val="24"/>
          <w:lang w:val="en-US" w:eastAsia="zh-CN"/>
        </w:rPr>
        <w:t>情景商业项目29个商铺面积测绘服务</w:t>
      </w:r>
      <w:r>
        <w:rPr>
          <w:rFonts w:hint="eastAsia" w:cs="Times New Roman"/>
          <w:color w:val="auto"/>
          <w:sz w:val="24"/>
          <w:szCs w:val="24"/>
          <w:lang w:eastAsia="zh-CN"/>
        </w:rPr>
        <w:t>）</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最终按固定单价据实结算，具体详见下表：</w:t>
      </w:r>
    </w:p>
    <w:tbl>
      <w:tblPr>
        <w:tblStyle w:val="13"/>
        <w:tblW w:w="9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14"/>
        <w:gridCol w:w="1148"/>
        <w:gridCol w:w="2492"/>
        <w:gridCol w:w="427"/>
        <w:gridCol w:w="1039"/>
        <w:gridCol w:w="995"/>
        <w:gridCol w:w="1138"/>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trPr>
        <w:tc>
          <w:tcPr>
            <w:tcW w:w="514"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48" w:type="dxa"/>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92"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7"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1039"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995"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138" w:type="dxa"/>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1335"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1833" w:hRule="atLeast"/>
        </w:trPr>
        <w:tc>
          <w:tcPr>
            <w:tcW w:w="514" w:type="dxa"/>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48" w:type="dxa"/>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面积测量</w:t>
            </w:r>
          </w:p>
        </w:tc>
        <w:tc>
          <w:tcPr>
            <w:tcW w:w="2492" w:type="dxa"/>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1、对29个商铺进行面积测绘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2、商铺分散于珠海市香洲区，主要集中在香山湖公园、情侣路沿线、社区公园等</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3、综合考虑商铺位置分散导致的降效费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4、出具面积测绘报告</w:t>
            </w:r>
          </w:p>
        </w:tc>
        <w:tc>
          <w:tcPr>
            <w:tcW w:w="427"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m2</w:t>
            </w:r>
          </w:p>
        </w:tc>
        <w:tc>
          <w:tcPr>
            <w:tcW w:w="1039"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2,907.66 </w:t>
            </w:r>
          </w:p>
        </w:tc>
        <w:tc>
          <w:tcPr>
            <w:tcW w:w="995"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38" w:type="dxa"/>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335" w:type="dxa"/>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1、承包方式：综合单价包干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2、结算方式：结算时以经甲方确认的工程量×综合单价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60" w:hRule="atLeast"/>
        </w:trPr>
        <w:tc>
          <w:tcPr>
            <w:tcW w:w="514" w:type="dxa"/>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6101" w:type="dxa"/>
            <w:gridSpan w:val="5"/>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138" w:type="dxa"/>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335" w:type="dxa"/>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60" w:hRule="atLeast"/>
        </w:trPr>
        <w:tc>
          <w:tcPr>
            <w:tcW w:w="9088" w:type="dxa"/>
            <w:gridSpan w:val="8"/>
            <w:shd w:val="clear" w:color="auto" w:fill="auto"/>
            <w:noWrap/>
            <w:tcMar>
              <w:top w:w="13" w:type="dxa"/>
              <w:left w:w="13" w:type="dxa"/>
              <w:right w:w="13" w:type="dxa"/>
            </w:tcMar>
            <w:vAlign w:val="center"/>
          </w:tcPr>
          <w:p>
            <w:pPr>
              <w:jc w:val="left"/>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2"/>
                <w:szCs w:val="22"/>
                <w:u w:val="none"/>
                <w:lang w:val="en-US" w:eastAsia="zh-CN" w:bidi="ar"/>
              </w:rPr>
              <w:t>说明：1.所有报价均为含税价，且已包含人工费、材料费、交通差旅费、餐饮费、运费等完成本项目的所有费用。所有报价金额均保留2位小数。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w:t>
            </w:r>
            <w:r>
              <w:rPr>
                <w:rFonts w:hint="eastAsia" w:ascii="宋体" w:hAnsi="宋体" w:eastAsia="宋体" w:cs="宋体"/>
                <w:i w:val="0"/>
                <w:color w:val="0000FF"/>
                <w:kern w:val="0"/>
                <w:sz w:val="22"/>
                <w:szCs w:val="22"/>
                <w:u w:val="none"/>
                <w:lang w:val="en-US" w:eastAsia="zh-CN" w:bidi="ar"/>
              </w:rPr>
              <w:t>发票类型</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%□增值税专用发票 □增值税普通发票。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3.质量标准：合格，符合相关要求及规定。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4.付款方式：验收无误且收到齐套请款资料后付款。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5.项目联系人：刘工13527206137</w:t>
            </w:r>
          </w:p>
        </w:tc>
      </w:tr>
    </w:tbl>
    <w:p>
      <w:pPr>
        <w:pStyle w:val="2"/>
        <w:rPr>
          <w:rFonts w:hint="eastAsia" w:cs="Times New Roman"/>
          <w:color w:val="auto"/>
          <w:sz w:val="24"/>
          <w:szCs w:val="24"/>
          <w:lang w:val="en-US" w:eastAsia="zh-CN"/>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spacing w:line="24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ind w:left="0" w:leftChars="0" w:firstLine="0" w:firstLineChars="0"/>
        <w:jc w:val="both"/>
        <w:rPr>
          <w:rFonts w:hint="default"/>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91B3A89"/>
    <w:rsid w:val="2BED4BFF"/>
    <w:rsid w:val="2D022F1E"/>
    <w:rsid w:val="2E0A4EF7"/>
    <w:rsid w:val="2F8C5B34"/>
    <w:rsid w:val="3035528F"/>
    <w:rsid w:val="303C5477"/>
    <w:rsid w:val="31BE38D0"/>
    <w:rsid w:val="329B19DD"/>
    <w:rsid w:val="33461B40"/>
    <w:rsid w:val="33864723"/>
    <w:rsid w:val="338C409C"/>
    <w:rsid w:val="3510688E"/>
    <w:rsid w:val="36991F33"/>
    <w:rsid w:val="36D13171"/>
    <w:rsid w:val="37FE2A53"/>
    <w:rsid w:val="38F34C92"/>
    <w:rsid w:val="3BDD1A9B"/>
    <w:rsid w:val="3BF341D2"/>
    <w:rsid w:val="3DDA2166"/>
    <w:rsid w:val="3E7E4135"/>
    <w:rsid w:val="3EC52271"/>
    <w:rsid w:val="3ED65B24"/>
    <w:rsid w:val="3F2A5C0A"/>
    <w:rsid w:val="40DF147E"/>
    <w:rsid w:val="410E417C"/>
    <w:rsid w:val="426867F2"/>
    <w:rsid w:val="427C15D5"/>
    <w:rsid w:val="43F34101"/>
    <w:rsid w:val="442B09BE"/>
    <w:rsid w:val="4483748A"/>
    <w:rsid w:val="454E23D2"/>
    <w:rsid w:val="46291EEF"/>
    <w:rsid w:val="467170E3"/>
    <w:rsid w:val="46B354B7"/>
    <w:rsid w:val="47C0473A"/>
    <w:rsid w:val="49476839"/>
    <w:rsid w:val="4A1B05BD"/>
    <w:rsid w:val="4A4F4DF7"/>
    <w:rsid w:val="4B0F1E17"/>
    <w:rsid w:val="4C032E3E"/>
    <w:rsid w:val="4C8E76F1"/>
    <w:rsid w:val="4D1202BB"/>
    <w:rsid w:val="4D2716DD"/>
    <w:rsid w:val="4DAA519F"/>
    <w:rsid w:val="4E8C1884"/>
    <w:rsid w:val="4F971260"/>
    <w:rsid w:val="5067110C"/>
    <w:rsid w:val="506979EA"/>
    <w:rsid w:val="508467D4"/>
    <w:rsid w:val="50DB0041"/>
    <w:rsid w:val="518A0729"/>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6F6D63C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6">
    <w:name w:val="Body Text"/>
    <w:basedOn w:val="1"/>
    <w:link w:val="22"/>
    <w:qFormat/>
    <w:uiPriority w:val="0"/>
    <w:pPr>
      <w:spacing w:line="480" w:lineRule="exact"/>
      <w:jc w:val="left"/>
    </w:pPr>
    <w:rPr>
      <w:rFonts w:ascii="宋体" w:hAnsi="宋体"/>
    </w:rPr>
  </w:style>
  <w:style w:type="paragraph" w:styleId="7">
    <w:name w:val="Body Text Indent"/>
    <w:basedOn w:val="1"/>
    <w:link w:val="25"/>
    <w:unhideWhenUsed/>
    <w:qFormat/>
    <w:uiPriority w:val="0"/>
    <w:pPr>
      <w:spacing w:after="120"/>
      <w:ind w:left="420" w:leftChars="200"/>
    </w:pPr>
  </w:style>
  <w:style w:type="paragraph" w:styleId="8">
    <w:name w:val="Plain Text"/>
    <w:basedOn w:val="1"/>
    <w:link w:val="30"/>
    <w:qFormat/>
    <w:uiPriority w:val="0"/>
    <w:pPr>
      <w:spacing w:line="360" w:lineRule="auto"/>
      <w:ind w:firstLine="510"/>
    </w:pPr>
    <w:rPr>
      <w:rFonts w:ascii="宋体" w:hAnsi="Courier New" w:eastAsia="仿宋_GB2312"/>
      <w:sz w:val="24"/>
      <w:szCs w:val="20"/>
    </w:rPr>
  </w:style>
  <w:style w:type="paragraph" w:styleId="9">
    <w:name w:val="Balloon Text"/>
    <w:basedOn w:val="1"/>
    <w:link w:val="27"/>
    <w:qFormat/>
    <w:uiPriority w:val="0"/>
    <w:rPr>
      <w:sz w:val="18"/>
      <w:szCs w:val="18"/>
    </w:rPr>
  </w:style>
  <w:style w:type="paragraph" w:styleId="10">
    <w:name w:val="footer"/>
    <w:basedOn w:val="1"/>
    <w:link w:val="21"/>
    <w:qFormat/>
    <w:uiPriority w:val="99"/>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6"/>
    <w:link w:val="29"/>
    <w:semiHidden/>
    <w:unhideWhenUsed/>
    <w:qFormat/>
    <w:uiPriority w:val="0"/>
    <w:pPr>
      <w:spacing w:after="120" w:line="240" w:lineRule="auto"/>
      <w:ind w:firstLine="420" w:firstLineChars="100"/>
      <w:jc w:val="both"/>
    </w:pPr>
    <w:rPr>
      <w:rFonts w:ascii="Times New Roman" w:hAnsi="Times New Roma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qFormat/>
    <w:uiPriority w:val="0"/>
    <w:rPr>
      <w:b/>
      <w:bCs/>
    </w:rPr>
  </w:style>
  <w:style w:type="character" w:styleId="17">
    <w:name w:val="Hyperlink"/>
    <w:basedOn w:val="15"/>
    <w:semiHidden/>
    <w:unhideWhenUsed/>
    <w:qFormat/>
    <w:uiPriority w:val="0"/>
    <w:rPr>
      <w:color w:val="0000FF"/>
      <w:u w:val="single"/>
    </w:rPr>
  </w:style>
  <w:style w:type="paragraph" w:customStyle="1" w:styleId="18">
    <w:name w:val="引文目录1"/>
    <w:basedOn w:val="1"/>
    <w:next w:val="1"/>
    <w:qFormat/>
    <w:uiPriority w:val="0"/>
    <w:pPr>
      <w:ind w:left="200" w:leftChars="200"/>
    </w:pPr>
    <w:rPr>
      <w:rFonts w:ascii="Times New Roman" w:hAnsi="Times New Roman"/>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5"/>
    <w:link w:val="11"/>
    <w:qFormat/>
    <w:uiPriority w:val="0"/>
    <w:rPr>
      <w:kern w:val="2"/>
      <w:sz w:val="18"/>
      <w:szCs w:val="18"/>
    </w:rPr>
  </w:style>
  <w:style w:type="character" w:customStyle="1" w:styleId="21">
    <w:name w:val="页脚 字符"/>
    <w:basedOn w:val="15"/>
    <w:link w:val="10"/>
    <w:qFormat/>
    <w:uiPriority w:val="99"/>
    <w:rPr>
      <w:kern w:val="2"/>
      <w:sz w:val="18"/>
      <w:szCs w:val="18"/>
    </w:rPr>
  </w:style>
  <w:style w:type="character" w:customStyle="1" w:styleId="22">
    <w:name w:val="正文文本 字符"/>
    <w:basedOn w:val="15"/>
    <w:link w:val="6"/>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5"/>
    <w:link w:val="7"/>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5"/>
    <w:link w:val="9"/>
    <w:qFormat/>
    <w:uiPriority w:val="0"/>
    <w:rPr>
      <w:kern w:val="2"/>
      <w:sz w:val="18"/>
      <w:szCs w:val="18"/>
    </w:rPr>
  </w:style>
  <w:style w:type="character" w:customStyle="1" w:styleId="28">
    <w:name w:val="标题 1 字符"/>
    <w:basedOn w:val="15"/>
    <w:link w:val="3"/>
    <w:qFormat/>
    <w:uiPriority w:val="0"/>
    <w:rPr>
      <w:b/>
      <w:bCs/>
      <w:kern w:val="44"/>
      <w:sz w:val="44"/>
      <w:szCs w:val="44"/>
    </w:rPr>
  </w:style>
  <w:style w:type="character" w:customStyle="1" w:styleId="29">
    <w:name w:val="正文文本首行缩进 字符"/>
    <w:basedOn w:val="22"/>
    <w:link w:val="12"/>
    <w:semiHidden/>
    <w:qFormat/>
    <w:uiPriority w:val="0"/>
    <w:rPr>
      <w:rFonts w:ascii="宋体" w:hAnsi="宋体"/>
      <w:kern w:val="2"/>
      <w:sz w:val="21"/>
      <w:szCs w:val="24"/>
    </w:rPr>
  </w:style>
  <w:style w:type="character" w:customStyle="1" w:styleId="30">
    <w:name w:val="纯文本 字符"/>
    <w:link w:val="8"/>
    <w:qFormat/>
    <w:uiPriority w:val="0"/>
    <w:rPr>
      <w:rFonts w:ascii="宋体" w:hAnsi="Courier New" w:eastAsia="仿宋_GB2312"/>
      <w:kern w:val="2"/>
      <w:sz w:val="24"/>
    </w:rPr>
  </w:style>
  <w:style w:type="character" w:customStyle="1" w:styleId="31">
    <w:name w:val="font31"/>
    <w:basedOn w:val="15"/>
    <w:qFormat/>
    <w:uiPriority w:val="0"/>
    <w:rPr>
      <w:rFonts w:hint="eastAsia" w:ascii="宋体" w:hAnsi="宋体" w:eastAsia="宋体" w:cs="宋体"/>
      <w:b/>
      <w:color w:val="000000"/>
      <w:sz w:val="14"/>
      <w:szCs w:val="14"/>
      <w:u w:val="none"/>
    </w:rPr>
  </w:style>
  <w:style w:type="character" w:customStyle="1" w:styleId="32">
    <w:name w:val="font01"/>
    <w:basedOn w:val="15"/>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4</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2026-07-02T02:04:57Z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