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val="0"/>
        <w:rPr>
          <w:color w:val="auto"/>
        </w:rPr>
      </w:pPr>
    </w:p>
    <w:p>
      <w:pPr>
        <w:bidi w:val="0"/>
        <w:rPr>
          <w:color w:val="auto"/>
        </w:rPr>
      </w:pPr>
    </w:p>
    <w:p>
      <w:pPr>
        <w:bidi w:val="0"/>
        <w:rPr>
          <w:rFonts w:hint="eastAsia" w:ascii="宋体" w:hAnsi="宋体" w:eastAsia="宋体" w:cs="宋体"/>
          <w:color w:val="auto"/>
        </w:rPr>
      </w:pPr>
    </w:p>
    <w:p>
      <w:pPr>
        <w:bidi w:val="0"/>
        <w:rPr>
          <w:rFonts w:hint="eastAsia" w:ascii="宋体" w:hAnsi="宋体" w:eastAsia="宋体" w:cs="宋体"/>
          <w:color w:val="auto"/>
        </w:rPr>
      </w:pPr>
    </w:p>
    <w:p>
      <w:pPr>
        <w:bidi w:val="0"/>
        <w:jc w:val="center"/>
        <w:rPr>
          <w:rFonts w:hint="eastAsia" w:ascii="宋体" w:hAnsi="宋体" w:eastAsia="宋体" w:cs="宋体"/>
          <w:color w:val="auto"/>
          <w:sz w:val="36"/>
          <w:szCs w:val="36"/>
        </w:rPr>
      </w:pPr>
      <w:r>
        <w:rPr>
          <w:rFonts w:hint="default" w:ascii="宋体" w:hAnsi="宋体" w:eastAsia="宋体" w:cs="宋体"/>
          <w:color w:val="auto"/>
          <w:sz w:val="36"/>
          <w:szCs w:val="36"/>
          <w:lang w:val="en-US" w:eastAsia="zh-CN"/>
        </w:rPr>
        <w:t>和园·颐养</w:t>
      </w:r>
      <w:r>
        <w:rPr>
          <w:rFonts w:hint="eastAsia" w:ascii="宋体" w:hAnsi="宋体" w:eastAsia="宋体" w:cs="宋体"/>
          <w:color w:val="auto"/>
          <w:sz w:val="36"/>
          <w:szCs w:val="36"/>
          <w:lang w:val="en-US" w:eastAsia="zh-CN"/>
        </w:rPr>
        <w:t>项目给排水系统检查技术</w:t>
      </w:r>
      <w:r>
        <w:rPr>
          <w:rFonts w:hint="eastAsia" w:ascii="宋体" w:hAnsi="宋体" w:eastAsia="宋体" w:cs="宋体"/>
          <w:color w:val="auto"/>
          <w:sz w:val="36"/>
          <w:szCs w:val="36"/>
        </w:rPr>
        <w:t>任务书</w:t>
      </w:r>
    </w:p>
    <w:p>
      <w:pPr>
        <w:bidi w:val="0"/>
        <w:rPr>
          <w:color w:val="auto"/>
        </w:rPr>
      </w:pPr>
    </w:p>
    <w:p>
      <w:pPr>
        <w:bidi w:val="0"/>
        <w:rPr>
          <w:color w:val="auto"/>
        </w:rPr>
      </w:pPr>
    </w:p>
    <w:p>
      <w:pPr>
        <w:bidi w:val="0"/>
        <w:rPr>
          <w:color w:val="auto"/>
        </w:rPr>
      </w:pPr>
    </w:p>
    <w:p>
      <w:pPr>
        <w:bidi w:val="0"/>
        <w:rPr>
          <w:color w:val="auto"/>
        </w:rPr>
      </w:pPr>
    </w:p>
    <w:p>
      <w:pPr>
        <w:bidi w:val="0"/>
        <w:rPr>
          <w:color w:val="auto"/>
        </w:rPr>
      </w:pPr>
    </w:p>
    <w:p>
      <w:pPr>
        <w:bidi w:val="0"/>
        <w:rPr>
          <w:color w:val="auto"/>
        </w:rPr>
      </w:pPr>
    </w:p>
    <w:p>
      <w:pPr>
        <w:bidi w:val="0"/>
        <w:rPr>
          <w:color w:val="auto"/>
        </w:rPr>
      </w:pPr>
    </w:p>
    <w:p>
      <w:pPr>
        <w:bidi w:val="0"/>
        <w:rPr>
          <w:color w:val="auto"/>
        </w:rPr>
      </w:pPr>
    </w:p>
    <w:p>
      <w:pPr>
        <w:bidi w:val="0"/>
        <w:rPr>
          <w:color w:val="auto"/>
        </w:rPr>
      </w:pPr>
    </w:p>
    <w:p>
      <w:pPr>
        <w:bidi w:val="0"/>
        <w:rPr>
          <w:color w:val="auto"/>
        </w:rPr>
      </w:pPr>
    </w:p>
    <w:p>
      <w:pPr>
        <w:bidi w:val="0"/>
        <w:jc w:val="center"/>
        <w:rPr>
          <w:color w:val="auto"/>
        </w:rPr>
      </w:pPr>
      <w:r>
        <w:rPr>
          <w:color w:val="auto"/>
        </w:rPr>
        <w:drawing>
          <wp:inline distT="0" distB="0" distL="0" distR="0">
            <wp:extent cx="1986915" cy="2015490"/>
            <wp:effectExtent l="0" t="0" r="3810" b="381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4"/>
                    <a:stretch>
                      <a:fillRect/>
                    </a:stretch>
                  </pic:blipFill>
                  <pic:spPr>
                    <a:xfrm>
                      <a:off x="0" y="0"/>
                      <a:ext cx="1986915" cy="2015490"/>
                    </a:xfrm>
                    <a:prstGeom prst="rect">
                      <a:avLst/>
                    </a:prstGeom>
                  </pic:spPr>
                </pic:pic>
              </a:graphicData>
            </a:graphic>
          </wp:inline>
        </w:drawing>
      </w:r>
    </w:p>
    <w:p>
      <w:pPr>
        <w:bidi w:val="0"/>
        <w:rPr>
          <w:color w:val="auto"/>
        </w:rPr>
      </w:pPr>
    </w:p>
    <w:p>
      <w:pPr>
        <w:bidi w:val="0"/>
        <w:rPr>
          <w:color w:val="auto"/>
        </w:rPr>
      </w:pPr>
    </w:p>
    <w:p>
      <w:pPr>
        <w:bidi w:val="0"/>
        <w:rPr>
          <w:color w:val="auto"/>
        </w:rPr>
      </w:pPr>
    </w:p>
    <w:p>
      <w:pPr>
        <w:pStyle w:val="10"/>
        <w:ind w:firstLine="0" w:firstLineChars="0"/>
        <w:rPr>
          <w:rFonts w:hint="eastAsia" w:ascii="宋体" w:hAnsi="宋体" w:cs="宋体"/>
          <w:b/>
          <w:bCs/>
          <w:sz w:val="32"/>
          <w:szCs w:val="32"/>
          <w:lang w:val="en-US" w:eastAsia="zh-CN"/>
        </w:rPr>
      </w:pPr>
    </w:p>
    <w:p>
      <w:pPr>
        <w:pStyle w:val="10"/>
        <w:ind w:firstLine="0" w:firstLineChars="0"/>
        <w:rPr>
          <w:rFonts w:hint="eastAsia" w:ascii="宋体" w:hAnsi="宋体" w:cs="宋体"/>
          <w:b/>
          <w:bCs/>
          <w:sz w:val="32"/>
          <w:szCs w:val="32"/>
          <w:lang w:val="en-US" w:eastAsia="zh-CN"/>
        </w:rPr>
      </w:pPr>
    </w:p>
    <w:p>
      <w:pPr>
        <w:pStyle w:val="10"/>
        <w:ind w:firstLine="0" w:firstLineChars="0"/>
        <w:rPr>
          <w:rFonts w:hint="eastAsia" w:ascii="宋体" w:hAnsi="宋体" w:cs="宋体"/>
          <w:b/>
          <w:bCs/>
          <w:sz w:val="32"/>
          <w:szCs w:val="32"/>
          <w:lang w:val="en-US" w:eastAsia="zh-CN"/>
        </w:rPr>
      </w:pPr>
      <w:r>
        <w:rPr>
          <w:rFonts w:hint="eastAsia" w:ascii="宋体" w:hAnsi="宋体" w:cs="宋体"/>
          <w:b/>
          <w:bCs/>
          <w:sz w:val="32"/>
          <w:szCs w:val="32"/>
          <w:lang w:val="en-US" w:eastAsia="zh-CN"/>
        </w:rPr>
        <w:t>编      制：</w:t>
      </w:r>
    </w:p>
    <w:p>
      <w:pPr>
        <w:pStyle w:val="10"/>
        <w:ind w:left="0" w:leftChars="0" w:firstLine="0" w:firstLineChars="0"/>
        <w:rPr>
          <w:rFonts w:hint="eastAsia" w:ascii="宋体" w:hAnsi="宋体" w:cs="宋体"/>
          <w:b/>
          <w:bCs/>
          <w:sz w:val="32"/>
          <w:szCs w:val="32"/>
          <w:lang w:val="en-US" w:eastAsia="zh-CN"/>
        </w:rPr>
      </w:pPr>
    </w:p>
    <w:p>
      <w:pPr>
        <w:pStyle w:val="10"/>
        <w:ind w:firstLine="0" w:firstLineChars="0"/>
        <w:rPr>
          <w:rFonts w:hint="eastAsia" w:ascii="宋体" w:hAnsi="宋体" w:cs="宋体"/>
          <w:b/>
          <w:bCs/>
          <w:sz w:val="32"/>
          <w:szCs w:val="32"/>
          <w:lang w:val="en-US" w:eastAsia="zh-CN"/>
        </w:rPr>
      </w:pPr>
      <w:r>
        <w:rPr>
          <w:rFonts w:hint="eastAsia" w:ascii="宋体" w:hAnsi="宋体" w:cs="宋体"/>
          <w:b/>
          <w:bCs/>
          <w:sz w:val="32"/>
          <w:szCs w:val="32"/>
          <w:lang w:val="en-US" w:eastAsia="zh-CN"/>
        </w:rPr>
        <w:t>审      核：</w:t>
      </w:r>
    </w:p>
    <w:p>
      <w:pPr>
        <w:pStyle w:val="10"/>
        <w:ind w:firstLine="321"/>
        <w:rPr>
          <w:rFonts w:hint="eastAsia" w:ascii="宋体" w:hAnsi="宋体" w:cs="宋体"/>
          <w:b/>
          <w:bCs/>
          <w:sz w:val="32"/>
          <w:szCs w:val="32"/>
          <w:lang w:val="en-US" w:eastAsia="zh-CN"/>
        </w:rPr>
      </w:pPr>
    </w:p>
    <w:p>
      <w:pPr>
        <w:pStyle w:val="10"/>
        <w:ind w:firstLine="0" w:firstLineChars="0"/>
        <w:rPr>
          <w:rFonts w:hint="default" w:ascii="宋体" w:hAnsi="宋体" w:cs="宋体"/>
          <w:b/>
          <w:bCs/>
          <w:sz w:val="32"/>
          <w:szCs w:val="32"/>
          <w:lang w:val="en-US" w:eastAsia="zh-CN"/>
        </w:rPr>
      </w:pPr>
      <w:r>
        <w:rPr>
          <w:rFonts w:hint="eastAsia" w:ascii="宋体" w:hAnsi="宋体" w:cs="宋体"/>
          <w:b/>
          <w:bCs/>
          <w:sz w:val="32"/>
          <w:szCs w:val="32"/>
          <w:lang w:val="en-US" w:eastAsia="zh-CN"/>
        </w:rPr>
        <w:t>批      准：</w:t>
      </w:r>
    </w:p>
    <w:p>
      <w:pPr>
        <w:bidi w:val="0"/>
        <w:rPr>
          <w:color w:val="auto"/>
        </w:rPr>
      </w:pPr>
    </w:p>
    <w:p>
      <w:pPr>
        <w:bidi w:val="0"/>
        <w:rPr>
          <w:color w:val="auto"/>
        </w:rPr>
      </w:pPr>
    </w:p>
    <w:p>
      <w:pPr>
        <w:bidi w:val="0"/>
        <w:rPr>
          <w:color w:val="auto"/>
        </w:rPr>
      </w:pPr>
    </w:p>
    <w:p>
      <w:pPr>
        <w:bidi w:val="0"/>
        <w:rPr>
          <w:color w:val="auto"/>
        </w:rPr>
      </w:pPr>
    </w:p>
    <w:p>
      <w:pPr>
        <w:bidi w:val="0"/>
        <w:rPr>
          <w:color w:val="auto"/>
        </w:rPr>
      </w:pPr>
    </w:p>
    <w:p>
      <w:pPr>
        <w:bidi w:val="0"/>
        <w:rPr>
          <w:color w:val="auto"/>
        </w:rPr>
      </w:pPr>
    </w:p>
    <w:p>
      <w:pPr>
        <w:bidi w:val="0"/>
        <w:rPr>
          <w:color w:val="auto"/>
        </w:rPr>
      </w:pPr>
    </w:p>
    <w:p>
      <w:pPr>
        <w:bidi w:val="0"/>
        <w:rPr>
          <w:color w:val="auto"/>
        </w:rPr>
      </w:pPr>
    </w:p>
    <w:p>
      <w:pPr>
        <w:bidi w:val="0"/>
        <w:rPr>
          <w:color w:val="auto"/>
        </w:rPr>
      </w:pPr>
    </w:p>
    <w:p>
      <w:pPr>
        <w:bidi w:val="0"/>
        <w:rPr>
          <w:color w:val="auto"/>
          <w:sz w:val="28"/>
          <w:szCs w:val="28"/>
        </w:rPr>
      </w:pPr>
    </w:p>
    <w:p>
      <w:pPr>
        <w:bidi w:val="0"/>
        <w:jc w:val="center"/>
        <w:rPr>
          <w:color w:val="auto"/>
          <w:sz w:val="28"/>
          <w:szCs w:val="28"/>
        </w:rPr>
      </w:pPr>
    </w:p>
    <w:p>
      <w:pPr>
        <w:bidi w:val="0"/>
        <w:jc w:val="center"/>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编制单位：</w:t>
      </w:r>
      <w:r>
        <w:rPr>
          <w:rFonts w:hint="eastAsia" w:ascii="宋体" w:hAnsi="宋体" w:eastAsia="宋体" w:cs="宋体"/>
          <w:color w:val="auto"/>
          <w:sz w:val="28"/>
          <w:szCs w:val="28"/>
          <w:lang w:val="en-US" w:eastAsia="zh-CN"/>
        </w:rPr>
        <w:t xml:space="preserve"> </w:t>
      </w:r>
    </w:p>
    <w:p>
      <w:pPr>
        <w:bidi w:val="0"/>
        <w:jc w:val="both"/>
        <w:rPr>
          <w:color w:val="auto"/>
          <w:sz w:val="28"/>
          <w:szCs w:val="28"/>
        </w:rPr>
        <w:sectPr>
          <w:pgSz w:w="11906" w:h="16839"/>
          <w:pgMar w:top="1431" w:right="1785" w:bottom="0" w:left="1785" w:header="0" w:footer="0" w:gutter="0"/>
          <w:cols w:space="720" w:num="1"/>
        </w:sectPr>
      </w:pPr>
    </w:p>
    <w:p>
      <w:pPr>
        <w:pStyle w:val="14"/>
        <w:numPr>
          <w:ilvl w:val="0"/>
          <w:numId w:val="1"/>
        </w:numPr>
        <w:ind w:firstLine="241" w:firstLineChars="100"/>
        <w:rPr>
          <w:rFonts w:hint="default" w:asciiTheme="minorEastAsia" w:hAnsiTheme="minorEastAsia" w:eastAsiaTheme="minorEastAsia" w:cstheme="minorEastAsia"/>
          <w:b/>
          <w:bCs/>
          <w:color w:val="auto"/>
          <w:sz w:val="24"/>
          <w:szCs w:val="24"/>
          <w:lang w:val="en-US" w:eastAsia="zh-CN"/>
        </w:rPr>
      </w:pPr>
      <w:r>
        <w:rPr>
          <w:rFonts w:hint="default" w:asciiTheme="minorEastAsia" w:hAnsiTheme="minorEastAsia" w:eastAsiaTheme="minorEastAsia" w:cstheme="minorEastAsia"/>
          <w:b/>
          <w:bCs/>
          <w:color w:val="auto"/>
          <w:sz w:val="24"/>
          <w:szCs w:val="24"/>
          <w:lang w:val="en-US" w:eastAsia="zh-CN"/>
        </w:rPr>
        <w:t>项目概况</w:t>
      </w:r>
    </w:p>
    <w:p>
      <w:pPr>
        <w:pStyle w:val="14"/>
        <w:numPr>
          <w:ilvl w:val="0"/>
          <w:numId w:val="0"/>
        </w:numPr>
        <w:ind w:left="0" w:leftChars="0" w:firstLine="638" w:firstLineChars="266"/>
        <w:rPr>
          <w:rFonts w:hint="default" w:asciiTheme="minorEastAsia" w:hAnsiTheme="minorEastAsia" w:eastAsiaTheme="minorEastAsia" w:cstheme="minorEastAsia"/>
          <w:color w:val="auto"/>
          <w:sz w:val="24"/>
          <w:szCs w:val="24"/>
          <w:lang w:val="en-US" w:eastAsia="zh-CN"/>
        </w:rPr>
      </w:pPr>
      <w:r>
        <w:rPr>
          <w:rFonts w:hint="default" w:asciiTheme="minorEastAsia" w:hAnsiTheme="minorEastAsia" w:eastAsiaTheme="minorEastAsia" w:cstheme="minorEastAsia"/>
          <w:color w:val="auto"/>
          <w:sz w:val="24"/>
          <w:szCs w:val="24"/>
          <w:lang w:val="en-US" w:eastAsia="zh-CN"/>
        </w:rPr>
        <w:t>和园（和园·颐养）项目坐落于香洲区翠前南路99号，总占地面积约1.513万平方米，总建筑面积约7.07万平方米，其中地下两层建筑面积1.57万平方米，地上设有1号养老楼、2号医疗楼两栋塔楼，地上总建筑面积5.5万平方米。项目高标准配套二级综合医院，开设二十余个临床、医技科室，打造四大特色医学中心，同时配备恒温泳池、中央厨房、休闲文娱等完善配套，全方位实现医养深度融合。服务人群为老年病患、失能老人及医护人员，用水安全、水质防污染、管网系统合规性为核心管控重点。</w:t>
      </w:r>
    </w:p>
    <w:p>
      <w:pPr>
        <w:pStyle w:val="14"/>
        <w:numPr>
          <w:ilvl w:val="0"/>
          <w:numId w:val="0"/>
        </w:numPr>
        <w:ind w:left="0" w:leftChars="0" w:firstLine="638" w:firstLineChars="266"/>
        <w:rPr>
          <w:rFonts w:hint="default" w:asciiTheme="minorEastAsia" w:hAnsiTheme="minorEastAsia" w:eastAsiaTheme="minorEastAsia" w:cstheme="minorEastAsia"/>
          <w:color w:val="auto"/>
          <w:sz w:val="24"/>
          <w:szCs w:val="24"/>
          <w:lang w:val="en-US" w:eastAsia="zh-CN"/>
        </w:rPr>
      </w:pPr>
      <w:r>
        <w:rPr>
          <w:rFonts w:hint="default" w:asciiTheme="minorEastAsia" w:hAnsiTheme="minorEastAsia" w:eastAsiaTheme="minorEastAsia" w:cstheme="minorEastAsia"/>
          <w:color w:val="auto"/>
          <w:sz w:val="24"/>
          <w:szCs w:val="24"/>
          <w:lang w:val="en-US" w:eastAsia="zh-CN"/>
        </w:rPr>
        <w:t>本次工作旨在全面核查项目已建给排水工程施工现状与竣工图纸一致性，出具专业核查评估报告，为医院后期运维、水质安全管控、合规验收提供技术依据。</w:t>
      </w:r>
    </w:p>
    <w:p>
      <w:pPr>
        <w:pStyle w:val="14"/>
        <w:numPr>
          <w:ilvl w:val="0"/>
          <w:numId w:val="1"/>
        </w:numPr>
        <w:ind w:left="0" w:leftChars="0" w:firstLine="241" w:firstLineChars="100"/>
        <w:rPr>
          <w:rFonts w:hint="default" w:asciiTheme="minorEastAsia" w:hAnsiTheme="minorEastAsia" w:eastAsiaTheme="minorEastAsia" w:cstheme="minorEastAsia"/>
          <w:b/>
          <w:bCs/>
          <w:color w:val="auto"/>
          <w:sz w:val="24"/>
          <w:szCs w:val="24"/>
          <w:lang w:val="en-US" w:eastAsia="zh-CN"/>
        </w:rPr>
      </w:pPr>
      <w:r>
        <w:rPr>
          <w:rFonts w:hint="default" w:asciiTheme="minorEastAsia" w:hAnsiTheme="minorEastAsia" w:eastAsiaTheme="minorEastAsia" w:cstheme="minorEastAsia"/>
          <w:b/>
          <w:bCs/>
          <w:color w:val="auto"/>
          <w:sz w:val="24"/>
          <w:szCs w:val="24"/>
          <w:lang w:val="en-US" w:eastAsia="zh-CN"/>
        </w:rPr>
        <w:t>工作依据</w:t>
      </w:r>
    </w:p>
    <w:p>
      <w:pPr>
        <w:pStyle w:val="14"/>
        <w:numPr>
          <w:ilvl w:val="0"/>
          <w:numId w:val="2"/>
        </w:numPr>
        <w:ind w:left="636" w:leftChars="303" w:firstLine="0" w:firstLineChars="0"/>
        <w:rPr>
          <w:rFonts w:hint="default" w:asciiTheme="minorEastAsia" w:hAnsiTheme="minorEastAsia" w:eastAsiaTheme="minorEastAsia" w:cstheme="minorEastAsia"/>
          <w:color w:val="auto"/>
          <w:sz w:val="24"/>
          <w:szCs w:val="24"/>
          <w:lang w:val="en-US" w:eastAsia="zh-CN"/>
        </w:rPr>
      </w:pPr>
      <w:r>
        <w:rPr>
          <w:rFonts w:hint="default" w:asciiTheme="minorEastAsia" w:hAnsiTheme="minorEastAsia" w:eastAsiaTheme="minorEastAsia" w:cstheme="minorEastAsia"/>
          <w:color w:val="auto"/>
          <w:sz w:val="24"/>
          <w:szCs w:val="24"/>
          <w:lang w:val="en-US" w:eastAsia="zh-CN"/>
        </w:rPr>
        <w:t>《建筑给水排水设计标准》（GB 50015-2019）</w:t>
      </w:r>
      <w:r>
        <w:rPr>
          <w:rFonts w:hint="default" w:asciiTheme="minorEastAsia" w:hAnsiTheme="minorEastAsia" w:eastAsiaTheme="minorEastAsia" w:cstheme="minorEastAsia"/>
          <w:color w:val="auto"/>
          <w:sz w:val="24"/>
          <w:szCs w:val="24"/>
          <w:lang w:val="en-US" w:eastAsia="zh-CN"/>
        </w:rPr>
        <w:br w:type="textWrapping"/>
      </w:r>
      <w:r>
        <w:rPr>
          <w:rFonts w:hint="default" w:asciiTheme="minorEastAsia" w:hAnsiTheme="minorEastAsia" w:eastAsiaTheme="minorEastAsia" w:cstheme="minorEastAsia"/>
          <w:color w:val="auto"/>
          <w:sz w:val="24"/>
          <w:szCs w:val="24"/>
          <w:lang w:val="en-US" w:eastAsia="zh-CN"/>
        </w:rPr>
        <w:t>2. 《二次供水工程技术规程》（CJJ 140-2010）</w:t>
      </w:r>
      <w:r>
        <w:rPr>
          <w:rFonts w:hint="default" w:asciiTheme="minorEastAsia" w:hAnsiTheme="minorEastAsia" w:eastAsiaTheme="minorEastAsia" w:cstheme="minorEastAsia"/>
          <w:color w:val="auto"/>
          <w:sz w:val="24"/>
          <w:szCs w:val="24"/>
          <w:lang w:val="en-US" w:eastAsia="zh-CN"/>
        </w:rPr>
        <w:br w:type="textWrapping"/>
      </w:r>
      <w:r>
        <w:rPr>
          <w:rFonts w:hint="default" w:asciiTheme="minorEastAsia" w:hAnsiTheme="minorEastAsia" w:eastAsiaTheme="minorEastAsia" w:cstheme="minorEastAsia"/>
          <w:color w:val="auto"/>
          <w:sz w:val="24"/>
          <w:szCs w:val="24"/>
          <w:lang w:val="en-US" w:eastAsia="zh-CN"/>
        </w:rPr>
        <w:t>3. 《建筑给水排水及采暖工程施工质量验收规范》（GB 50242-2019）</w:t>
      </w:r>
      <w:r>
        <w:rPr>
          <w:rFonts w:hint="default" w:asciiTheme="minorEastAsia" w:hAnsiTheme="minorEastAsia" w:eastAsiaTheme="minorEastAsia" w:cstheme="minorEastAsia"/>
          <w:color w:val="auto"/>
          <w:sz w:val="24"/>
          <w:szCs w:val="24"/>
          <w:lang w:val="en-US" w:eastAsia="zh-CN"/>
        </w:rPr>
        <w:br w:type="textWrapping"/>
      </w:r>
      <w:r>
        <w:rPr>
          <w:rFonts w:hint="default" w:asciiTheme="minorEastAsia" w:hAnsiTheme="minorEastAsia" w:eastAsiaTheme="minorEastAsia" w:cstheme="minorEastAsia"/>
          <w:color w:val="auto"/>
          <w:sz w:val="24"/>
          <w:szCs w:val="24"/>
          <w:lang w:val="en-US" w:eastAsia="zh-CN"/>
        </w:rPr>
        <w:t>4. 《生活饮用水卫生标准》（GB 5749-2022）</w:t>
      </w:r>
      <w:r>
        <w:rPr>
          <w:rFonts w:hint="default" w:asciiTheme="minorEastAsia" w:hAnsiTheme="minorEastAsia" w:eastAsiaTheme="minorEastAsia" w:cstheme="minorEastAsia"/>
          <w:color w:val="auto"/>
          <w:sz w:val="24"/>
          <w:szCs w:val="24"/>
          <w:lang w:val="en-US" w:eastAsia="zh-CN"/>
        </w:rPr>
        <w:br w:type="textWrapping"/>
      </w:r>
      <w:r>
        <w:rPr>
          <w:rFonts w:hint="default" w:asciiTheme="minorEastAsia" w:hAnsiTheme="minorEastAsia" w:eastAsiaTheme="minorEastAsia" w:cstheme="minorEastAsia"/>
          <w:color w:val="auto"/>
          <w:sz w:val="24"/>
          <w:szCs w:val="24"/>
          <w:lang w:val="en-US" w:eastAsia="zh-CN"/>
        </w:rPr>
        <w:t>5. 养老医院专项建筑及卫生防疫相关规范、行业管理规定</w:t>
      </w:r>
      <w:r>
        <w:rPr>
          <w:rFonts w:hint="default" w:asciiTheme="minorEastAsia" w:hAnsiTheme="minorEastAsia" w:eastAsiaTheme="minorEastAsia" w:cstheme="minorEastAsia"/>
          <w:color w:val="auto"/>
          <w:sz w:val="24"/>
          <w:szCs w:val="24"/>
          <w:lang w:val="en-US" w:eastAsia="zh-CN"/>
        </w:rPr>
        <w:br w:type="textWrapping"/>
      </w:r>
      <w:r>
        <w:rPr>
          <w:rFonts w:hint="default" w:asciiTheme="minorEastAsia" w:hAnsiTheme="minorEastAsia" w:eastAsiaTheme="minorEastAsia" w:cstheme="minorEastAsia"/>
          <w:color w:val="auto"/>
          <w:sz w:val="24"/>
          <w:szCs w:val="24"/>
          <w:lang w:val="en-US" w:eastAsia="zh-CN"/>
        </w:rPr>
        <w:t>6. 本项目给排水全套竣工图纸、设计变更、隐蔽工程资料</w:t>
      </w:r>
      <w:r>
        <w:rPr>
          <w:rFonts w:hint="default" w:asciiTheme="minorEastAsia" w:hAnsiTheme="minorEastAsia" w:eastAsiaTheme="minorEastAsia" w:cstheme="minorEastAsia"/>
          <w:color w:val="auto"/>
          <w:sz w:val="24"/>
          <w:szCs w:val="24"/>
          <w:lang w:val="en-US" w:eastAsia="zh-CN"/>
        </w:rPr>
        <w:br w:type="textWrapping"/>
      </w:r>
      <w:r>
        <w:rPr>
          <w:rFonts w:hint="default" w:asciiTheme="minorEastAsia" w:hAnsiTheme="minorEastAsia" w:eastAsiaTheme="minorEastAsia" w:cstheme="minorEastAsia"/>
          <w:color w:val="auto"/>
          <w:sz w:val="24"/>
          <w:szCs w:val="24"/>
          <w:lang w:val="en-US" w:eastAsia="zh-CN"/>
        </w:rPr>
        <w:t>7. 国家、地方现行安全生产、给排水工程、水质安全相关标准规范</w:t>
      </w:r>
    </w:p>
    <w:p>
      <w:pPr>
        <w:pStyle w:val="14"/>
        <w:numPr>
          <w:ilvl w:val="0"/>
          <w:numId w:val="1"/>
        </w:numPr>
        <w:ind w:left="19" w:leftChars="9" w:firstLine="402" w:firstLineChars="167"/>
        <w:rPr>
          <w:rFonts w:hint="default" w:asciiTheme="minorEastAsia" w:hAnsiTheme="minorEastAsia" w:eastAsiaTheme="minorEastAsia" w:cstheme="minorEastAsia"/>
          <w:color w:val="auto"/>
          <w:sz w:val="24"/>
          <w:szCs w:val="24"/>
          <w:lang w:val="en-US" w:eastAsia="zh-CN"/>
        </w:rPr>
      </w:pPr>
      <w:r>
        <w:rPr>
          <w:rFonts w:hint="default" w:asciiTheme="minorEastAsia" w:hAnsiTheme="minorEastAsia" w:eastAsiaTheme="minorEastAsia" w:cstheme="minorEastAsia"/>
          <w:b/>
          <w:bCs/>
          <w:color w:val="auto"/>
          <w:sz w:val="24"/>
          <w:szCs w:val="24"/>
          <w:lang w:val="en-US" w:eastAsia="zh-CN"/>
        </w:rPr>
        <w:t>工作范围及核心工作内容</w:t>
      </w:r>
      <w:r>
        <w:rPr>
          <w:rFonts w:hint="default" w:asciiTheme="minorEastAsia" w:hAnsiTheme="minorEastAsia" w:eastAsiaTheme="minorEastAsia" w:cstheme="minorEastAsia"/>
          <w:color w:val="auto"/>
          <w:sz w:val="24"/>
          <w:szCs w:val="24"/>
          <w:lang w:val="en-US" w:eastAsia="zh-CN"/>
        </w:rPr>
        <w:br w:type="textWrapping"/>
      </w:r>
      <w:r>
        <w:rPr>
          <w:rFonts w:hint="default" w:asciiTheme="minorEastAsia" w:hAnsiTheme="minorEastAsia" w:eastAsiaTheme="minorEastAsia" w:cstheme="minorEastAsia"/>
          <w:color w:val="auto"/>
          <w:sz w:val="24"/>
          <w:szCs w:val="24"/>
          <w:lang w:val="en-US" w:eastAsia="zh-CN"/>
        </w:rPr>
        <w:t>（一）给排水系统图纸与现场实景全覆盖复核</w:t>
      </w:r>
      <w:r>
        <w:rPr>
          <w:rFonts w:hint="default" w:asciiTheme="minorEastAsia" w:hAnsiTheme="minorEastAsia" w:eastAsiaTheme="minorEastAsia" w:cstheme="minorEastAsia"/>
          <w:color w:val="auto"/>
          <w:sz w:val="24"/>
          <w:szCs w:val="24"/>
          <w:lang w:val="en-US" w:eastAsia="zh-CN"/>
        </w:rPr>
        <w:br w:type="textWrapping"/>
      </w:r>
      <w:r>
        <w:rPr>
          <w:rFonts w:hint="default" w:asciiTheme="minorEastAsia" w:hAnsiTheme="minorEastAsia" w:eastAsiaTheme="minorEastAsia" w:cstheme="minorEastAsia"/>
          <w:color w:val="auto"/>
          <w:sz w:val="24"/>
          <w:szCs w:val="24"/>
          <w:lang w:val="en-US" w:eastAsia="zh-CN"/>
        </w:rPr>
        <w:t>1. 核对给水系统：市政进水总管、泵房设备、二次供水水箱、分区立管、水平干管、楼层支管、各房间末端给水点、阀门、减压阀、止回阀、水表、过滤消毒设备等规格</w:t>
      </w:r>
      <w:r>
        <w:rPr>
          <w:rFonts w:hint="eastAsia" w:asciiTheme="minorEastAsia" w:hAnsiTheme="minorEastAsia" w:eastAsiaTheme="minorEastAsia" w:cstheme="minorEastAsia"/>
          <w:color w:val="auto"/>
          <w:sz w:val="24"/>
          <w:szCs w:val="24"/>
          <w:lang w:val="en-US" w:eastAsia="zh-CN"/>
        </w:rPr>
        <w:t>、参数</w:t>
      </w:r>
      <w:r>
        <w:rPr>
          <w:rFonts w:hint="default" w:asciiTheme="minorEastAsia" w:hAnsiTheme="minorEastAsia" w:eastAsiaTheme="minorEastAsia" w:cstheme="minorEastAsia"/>
          <w:color w:val="auto"/>
          <w:sz w:val="24"/>
          <w:szCs w:val="24"/>
          <w:lang w:val="en-US" w:eastAsia="zh-CN"/>
        </w:rPr>
        <w:t>、位置、走向、材质、安装方式是否与竣工图一致，核查错装、漏装、私自改管、管径变更、管材替换等问题。</w:t>
      </w:r>
      <w:r>
        <w:rPr>
          <w:rFonts w:hint="default" w:asciiTheme="minorEastAsia" w:hAnsiTheme="minorEastAsia" w:eastAsiaTheme="minorEastAsia" w:cstheme="minorEastAsia"/>
          <w:color w:val="auto"/>
          <w:sz w:val="24"/>
          <w:szCs w:val="24"/>
          <w:lang w:val="en-US" w:eastAsia="zh-CN"/>
        </w:rPr>
        <w:br w:type="textWrapping"/>
      </w:r>
      <w:r>
        <w:rPr>
          <w:rFonts w:hint="default" w:asciiTheme="minorEastAsia" w:hAnsiTheme="minorEastAsia" w:eastAsiaTheme="minorEastAsia" w:cstheme="minorEastAsia"/>
          <w:color w:val="auto"/>
          <w:sz w:val="24"/>
          <w:szCs w:val="24"/>
          <w:lang w:val="en-US" w:eastAsia="zh-CN"/>
        </w:rPr>
        <w:t>2. 核对排水系统：污水立管、废水支管、横干管、地漏、排水器具、通气立管、清扫口、检查口、管道坡度、接驳节点、屋面及设备房排水等施工现状与图纸一致性。</w:t>
      </w:r>
      <w:r>
        <w:rPr>
          <w:rFonts w:hint="default" w:asciiTheme="minorEastAsia" w:hAnsiTheme="minorEastAsia" w:eastAsiaTheme="minorEastAsia" w:cstheme="minorEastAsia"/>
          <w:color w:val="auto"/>
          <w:sz w:val="24"/>
          <w:szCs w:val="24"/>
          <w:lang w:val="en-US" w:eastAsia="zh-CN"/>
        </w:rPr>
        <w:br w:type="textWrapping"/>
      </w:r>
      <w:r>
        <w:rPr>
          <w:rFonts w:hint="default" w:asciiTheme="minorEastAsia" w:hAnsiTheme="minorEastAsia" w:eastAsiaTheme="minorEastAsia" w:cstheme="minorEastAsia"/>
          <w:color w:val="auto"/>
          <w:sz w:val="24"/>
          <w:szCs w:val="24"/>
          <w:lang w:val="en-US" w:eastAsia="zh-CN"/>
        </w:rPr>
        <w:t>3. 核对雨污分流、污废分流施工落实情况，核查是否存在图纸设计分流、现场混接、错接、乱接问题。</w:t>
      </w:r>
      <w:r>
        <w:rPr>
          <w:rFonts w:hint="default" w:asciiTheme="minorEastAsia" w:hAnsiTheme="minorEastAsia" w:eastAsiaTheme="minorEastAsia" w:cstheme="minorEastAsia"/>
          <w:color w:val="auto"/>
          <w:sz w:val="24"/>
          <w:szCs w:val="24"/>
          <w:lang w:val="en-US" w:eastAsia="zh-CN"/>
        </w:rPr>
        <w:br w:type="textWrapping"/>
      </w:r>
      <w:r>
        <w:rPr>
          <w:rFonts w:hint="default" w:asciiTheme="minorEastAsia" w:hAnsiTheme="minorEastAsia" w:eastAsiaTheme="minorEastAsia" w:cstheme="minorEastAsia"/>
          <w:color w:val="auto"/>
          <w:sz w:val="24"/>
          <w:szCs w:val="24"/>
          <w:lang w:val="en-US" w:eastAsia="zh-CN"/>
        </w:rPr>
        <w:t>4. 全面梳理隐蔽工程（吊顶内、管井内、墙体及地面垫层内管道）施工现状，核对隐蔽记录与现场实际是否匹配。</w:t>
      </w:r>
      <w:r>
        <w:rPr>
          <w:rFonts w:hint="default" w:asciiTheme="minorEastAsia" w:hAnsiTheme="minorEastAsia" w:eastAsiaTheme="minorEastAsia" w:cstheme="minorEastAsia"/>
          <w:color w:val="auto"/>
          <w:sz w:val="24"/>
          <w:szCs w:val="24"/>
          <w:lang w:val="en-US" w:eastAsia="zh-CN"/>
        </w:rPr>
        <w:br w:type="textWrapping"/>
      </w:r>
    </w:p>
    <w:p>
      <w:pPr>
        <w:pStyle w:val="14"/>
        <w:numPr>
          <w:ilvl w:val="0"/>
          <w:numId w:val="1"/>
        </w:numPr>
        <w:ind w:left="0" w:leftChars="0" w:firstLine="240" w:firstLineChars="100"/>
        <w:rPr>
          <w:rFonts w:hint="default" w:asciiTheme="minorEastAsia" w:hAnsiTheme="minorEastAsia" w:eastAsiaTheme="minorEastAsia" w:cstheme="minorEastAsia"/>
          <w:color w:val="auto"/>
          <w:sz w:val="24"/>
          <w:szCs w:val="24"/>
          <w:lang w:val="en-US" w:eastAsia="zh-CN"/>
        </w:rPr>
      </w:pPr>
      <w:r>
        <w:rPr>
          <w:rFonts w:hint="default" w:asciiTheme="minorEastAsia" w:hAnsiTheme="minorEastAsia" w:eastAsiaTheme="minorEastAsia" w:cstheme="minorEastAsia"/>
          <w:color w:val="auto"/>
          <w:sz w:val="24"/>
          <w:szCs w:val="24"/>
          <w:lang w:val="en-US" w:eastAsia="zh-CN"/>
        </w:rPr>
        <w:t>专项技术核查要求</w:t>
      </w:r>
      <w:r>
        <w:rPr>
          <w:rFonts w:hint="default" w:asciiTheme="minorEastAsia" w:hAnsiTheme="minorEastAsia" w:eastAsiaTheme="minorEastAsia" w:cstheme="minorEastAsia"/>
          <w:color w:val="auto"/>
          <w:sz w:val="24"/>
          <w:szCs w:val="24"/>
          <w:lang w:val="en-US" w:eastAsia="zh-CN"/>
        </w:rPr>
        <w:br w:type="textWrapping"/>
      </w:r>
      <w:r>
        <w:rPr>
          <w:rFonts w:hint="default" w:asciiTheme="minorEastAsia" w:hAnsiTheme="minorEastAsia" w:eastAsiaTheme="minorEastAsia" w:cstheme="minorEastAsia"/>
          <w:color w:val="auto"/>
          <w:sz w:val="24"/>
          <w:szCs w:val="24"/>
          <w:lang w:val="en-US" w:eastAsia="zh-CN"/>
        </w:rPr>
        <w:t>1. 核查需全覆盖、无遗漏，覆盖养老医院所有楼层、护理房间、康复室、医护用房、公共卫生间、设备房、管道井、屋面等所有给排水点位。</w:t>
      </w:r>
      <w:r>
        <w:rPr>
          <w:rFonts w:hint="default" w:asciiTheme="minorEastAsia" w:hAnsiTheme="minorEastAsia" w:eastAsiaTheme="minorEastAsia" w:cstheme="minorEastAsia"/>
          <w:color w:val="auto"/>
          <w:sz w:val="24"/>
          <w:szCs w:val="24"/>
          <w:lang w:val="en-US" w:eastAsia="zh-CN"/>
        </w:rPr>
        <w:br w:type="textWrapping"/>
      </w:r>
      <w:r>
        <w:rPr>
          <w:rFonts w:hint="eastAsia" w:asciiTheme="minorEastAsia" w:hAnsiTheme="minorEastAsia" w:eastAsiaTheme="minorEastAsia" w:cstheme="minorEastAsia"/>
          <w:color w:val="auto"/>
          <w:sz w:val="24"/>
          <w:szCs w:val="24"/>
          <w:lang w:val="en-US" w:eastAsia="zh-CN"/>
        </w:rPr>
        <w:t>2</w:t>
      </w:r>
      <w:r>
        <w:rPr>
          <w:rFonts w:hint="default" w:asciiTheme="minorEastAsia" w:hAnsiTheme="minorEastAsia" w:eastAsiaTheme="minorEastAsia" w:cstheme="minorEastAsia"/>
          <w:color w:val="auto"/>
          <w:sz w:val="24"/>
          <w:szCs w:val="24"/>
          <w:lang w:val="en-US" w:eastAsia="zh-CN"/>
        </w:rPr>
        <w:t>. 所有图纸与现场不符点位、隐患点位，需拍照留证、定位标注、编号归档。</w:t>
      </w:r>
      <w:r>
        <w:rPr>
          <w:rFonts w:hint="default" w:asciiTheme="minorEastAsia" w:hAnsiTheme="minorEastAsia" w:eastAsiaTheme="minorEastAsia" w:cstheme="minorEastAsia"/>
          <w:color w:val="auto"/>
          <w:sz w:val="24"/>
          <w:szCs w:val="24"/>
          <w:lang w:val="en-US" w:eastAsia="zh-CN"/>
        </w:rPr>
        <w:br w:type="textWrapping"/>
      </w:r>
      <w:r>
        <w:rPr>
          <w:rFonts w:hint="eastAsia" w:asciiTheme="minorEastAsia" w:hAnsiTheme="minorEastAsia" w:eastAsiaTheme="minorEastAsia" w:cstheme="minorEastAsia"/>
          <w:color w:val="auto"/>
          <w:sz w:val="24"/>
          <w:szCs w:val="24"/>
          <w:lang w:val="en-US" w:eastAsia="zh-CN"/>
        </w:rPr>
        <w:t>3. 项目已经投入运行，检查过程中服从物业管理，不得影响项目运营，如需进行影响客户的作业，必须先于物业沟通，限时限区域完成。</w:t>
      </w:r>
    </w:p>
    <w:p>
      <w:pPr>
        <w:pStyle w:val="14"/>
        <w:numPr>
          <w:ilvl w:val="0"/>
          <w:numId w:val="1"/>
        </w:numPr>
        <w:ind w:left="0" w:leftChars="0" w:firstLine="240" w:firstLineChars="100"/>
        <w:rPr>
          <w:rFonts w:hint="default" w:asciiTheme="minorEastAsia" w:hAnsiTheme="minorEastAsia" w:eastAsiaTheme="minorEastAsia" w:cstheme="minorEastAsia"/>
          <w:color w:val="auto"/>
          <w:sz w:val="24"/>
          <w:szCs w:val="24"/>
          <w:lang w:val="en-US" w:eastAsia="zh-CN"/>
        </w:rPr>
      </w:pPr>
      <w:r>
        <w:rPr>
          <w:rFonts w:hint="default" w:asciiTheme="minorEastAsia" w:hAnsiTheme="minorEastAsia" w:eastAsiaTheme="minorEastAsia" w:cstheme="minorEastAsia"/>
          <w:color w:val="auto"/>
          <w:sz w:val="24"/>
          <w:szCs w:val="24"/>
          <w:lang w:val="en-US" w:eastAsia="zh-CN"/>
        </w:rPr>
        <w:t>成果交付要求</w:t>
      </w:r>
      <w:r>
        <w:rPr>
          <w:rFonts w:hint="default" w:asciiTheme="minorEastAsia" w:hAnsiTheme="minorEastAsia" w:eastAsiaTheme="minorEastAsia" w:cstheme="minorEastAsia"/>
          <w:color w:val="auto"/>
          <w:sz w:val="24"/>
          <w:szCs w:val="24"/>
          <w:lang w:val="en-US" w:eastAsia="zh-CN"/>
        </w:rPr>
        <w:br w:type="textWrapping"/>
      </w:r>
      <w:r>
        <w:rPr>
          <w:rFonts w:hint="eastAsia" w:asciiTheme="minorEastAsia" w:hAnsiTheme="minorEastAsia" w:eastAsiaTheme="minorEastAsia" w:cstheme="minorEastAsia"/>
          <w:color w:val="auto"/>
          <w:sz w:val="24"/>
          <w:szCs w:val="24"/>
          <w:lang w:val="en-US" w:eastAsia="zh-CN"/>
        </w:rPr>
        <w:t xml:space="preserve">   </w:t>
      </w:r>
      <w:r>
        <w:rPr>
          <w:rFonts w:hint="default" w:asciiTheme="minorEastAsia" w:hAnsiTheme="minorEastAsia" w:eastAsiaTheme="minorEastAsia" w:cstheme="minorEastAsia"/>
          <w:color w:val="auto"/>
          <w:sz w:val="24"/>
          <w:szCs w:val="24"/>
          <w:lang w:val="en-US" w:eastAsia="zh-CN"/>
        </w:rPr>
        <w:t>投标单位完成全部核查工作后，需提交正式完整版核查评估报告（纸质版+电子版），包含以下内容：</w:t>
      </w:r>
      <w:r>
        <w:rPr>
          <w:rFonts w:hint="default" w:asciiTheme="minorEastAsia" w:hAnsiTheme="minorEastAsia" w:eastAsiaTheme="minorEastAsia" w:cstheme="minorEastAsia"/>
          <w:color w:val="auto"/>
          <w:sz w:val="24"/>
          <w:szCs w:val="24"/>
          <w:lang w:val="en-US" w:eastAsia="zh-CN"/>
        </w:rPr>
        <w:br w:type="textWrapping"/>
      </w:r>
      <w:r>
        <w:rPr>
          <w:rFonts w:hint="default" w:asciiTheme="minorEastAsia" w:hAnsiTheme="minorEastAsia" w:eastAsiaTheme="minorEastAsia" w:cstheme="minorEastAsia"/>
          <w:color w:val="auto"/>
          <w:sz w:val="24"/>
          <w:szCs w:val="24"/>
          <w:lang w:val="en-US" w:eastAsia="zh-CN"/>
        </w:rPr>
        <w:t>1. 项目概况、核查依据、核查范围、工作流程说明；</w:t>
      </w:r>
      <w:r>
        <w:rPr>
          <w:rFonts w:hint="default" w:asciiTheme="minorEastAsia" w:hAnsiTheme="minorEastAsia" w:eastAsiaTheme="minorEastAsia" w:cstheme="minorEastAsia"/>
          <w:color w:val="auto"/>
          <w:sz w:val="24"/>
          <w:szCs w:val="24"/>
          <w:lang w:val="en-US" w:eastAsia="zh-CN"/>
        </w:rPr>
        <w:br w:type="textWrapping"/>
      </w:r>
      <w:r>
        <w:rPr>
          <w:rFonts w:hint="default" w:asciiTheme="minorEastAsia" w:hAnsiTheme="minorEastAsia" w:eastAsiaTheme="minorEastAsia" w:cstheme="minorEastAsia"/>
          <w:color w:val="auto"/>
          <w:sz w:val="24"/>
          <w:szCs w:val="24"/>
          <w:lang w:val="en-US" w:eastAsia="zh-CN"/>
        </w:rPr>
        <w:t>2. 给排水竣工图纸与现场施工一致性核查对比汇总表（含问题点位、照片、整改建议）；</w:t>
      </w:r>
      <w:r>
        <w:rPr>
          <w:rFonts w:hint="default" w:asciiTheme="minorEastAsia" w:hAnsiTheme="minorEastAsia" w:eastAsiaTheme="minorEastAsia" w:cstheme="minorEastAsia"/>
          <w:color w:val="auto"/>
          <w:sz w:val="24"/>
          <w:szCs w:val="24"/>
          <w:lang w:val="en-US" w:eastAsia="zh-CN"/>
        </w:rPr>
        <w:br w:type="textWrapping"/>
      </w:r>
      <w:r>
        <w:rPr>
          <w:rFonts w:hint="eastAsia" w:asciiTheme="minorEastAsia" w:hAnsiTheme="minorEastAsia" w:eastAsiaTheme="minorEastAsia" w:cstheme="minorEastAsia"/>
          <w:color w:val="auto"/>
          <w:sz w:val="24"/>
          <w:szCs w:val="24"/>
          <w:lang w:val="en-US" w:eastAsia="zh-CN"/>
        </w:rPr>
        <w:t>3</w:t>
      </w:r>
      <w:r>
        <w:rPr>
          <w:rFonts w:hint="default" w:asciiTheme="minorEastAsia" w:hAnsiTheme="minorEastAsia" w:eastAsiaTheme="minorEastAsia" w:cstheme="minorEastAsia"/>
          <w:color w:val="auto"/>
          <w:sz w:val="24"/>
          <w:szCs w:val="24"/>
          <w:lang w:val="en-US" w:eastAsia="zh-CN"/>
        </w:rPr>
        <w:t>. 核查总结结论。</w:t>
      </w:r>
    </w:p>
    <w:p>
      <w:pPr>
        <w:pStyle w:val="14"/>
        <w:numPr>
          <w:ilvl w:val="0"/>
          <w:numId w:val="0"/>
        </w:numPr>
        <w:ind w:leftChars="100"/>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工期要求：7天</w:t>
      </w:r>
    </w:p>
    <w:p>
      <w:pPr>
        <w:pStyle w:val="14"/>
        <w:numPr>
          <w:ilvl w:val="0"/>
          <w:numId w:val="1"/>
        </w:numPr>
        <w:ind w:left="0" w:leftChars="0" w:firstLine="240" w:firstLineChars="100"/>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资质及</w:t>
      </w:r>
      <w:r>
        <w:rPr>
          <w:rFonts w:hint="default" w:asciiTheme="minorEastAsia" w:hAnsiTheme="minorEastAsia" w:eastAsiaTheme="minorEastAsia" w:cstheme="minorEastAsia"/>
          <w:color w:val="auto"/>
          <w:sz w:val="24"/>
          <w:szCs w:val="24"/>
          <w:lang w:val="en-US" w:eastAsia="zh-CN"/>
        </w:rPr>
        <w:t>服务要求</w:t>
      </w:r>
      <w:r>
        <w:rPr>
          <w:rFonts w:hint="default" w:asciiTheme="minorEastAsia" w:hAnsiTheme="minorEastAsia" w:eastAsiaTheme="minorEastAsia" w:cstheme="minorEastAsia"/>
          <w:color w:val="auto"/>
          <w:sz w:val="24"/>
          <w:szCs w:val="24"/>
          <w:lang w:val="en-US" w:eastAsia="zh-CN"/>
        </w:rPr>
        <w:br w:type="textWrapping"/>
      </w:r>
      <w:r>
        <w:rPr>
          <w:rFonts w:hint="eastAsia" w:asciiTheme="minorEastAsia" w:hAnsiTheme="minorEastAsia" w:eastAsiaTheme="minorEastAsia" w:cstheme="minorEastAsia"/>
          <w:color w:val="auto"/>
          <w:sz w:val="24"/>
          <w:szCs w:val="24"/>
          <w:lang w:val="en-US" w:eastAsia="zh-CN"/>
        </w:rPr>
        <w:t>1</w:t>
      </w:r>
      <w:r>
        <w:rPr>
          <w:rFonts w:hint="default" w:asciiTheme="minorEastAsia" w:hAnsiTheme="minorEastAsia" w:eastAsiaTheme="minorEastAsia" w:cstheme="minorEastAsia"/>
          <w:color w:val="auto"/>
          <w:sz w:val="24"/>
          <w:szCs w:val="24"/>
          <w:lang w:val="en-US" w:eastAsia="zh-CN"/>
        </w:rPr>
        <w:t>. 投标单位需具备给排水工程核查、水质安全评估相关技术能力</w:t>
      </w:r>
      <w:r>
        <w:rPr>
          <w:rFonts w:hint="eastAsia" w:asciiTheme="minorEastAsia" w:hAnsiTheme="minorEastAsia" w:eastAsiaTheme="minorEastAsia" w:cstheme="minorEastAsia"/>
          <w:color w:val="auto"/>
          <w:sz w:val="24"/>
          <w:szCs w:val="24"/>
          <w:lang w:val="en-US" w:eastAsia="zh-CN"/>
        </w:rPr>
        <w:t>，并有相关给排水系统核查/水质评估同类</w:t>
      </w:r>
      <w:bookmarkStart w:id="0" w:name="_GoBack"/>
      <w:bookmarkEnd w:id="0"/>
      <w:r>
        <w:rPr>
          <w:rFonts w:hint="eastAsia" w:asciiTheme="minorEastAsia" w:hAnsiTheme="minorEastAsia" w:eastAsiaTheme="minorEastAsia" w:cstheme="minorEastAsia"/>
          <w:color w:val="auto"/>
          <w:sz w:val="24"/>
          <w:szCs w:val="24"/>
          <w:lang w:val="en-US" w:eastAsia="zh-CN"/>
        </w:rPr>
        <w:t>业绩</w:t>
      </w:r>
      <w:r>
        <w:rPr>
          <w:rFonts w:hint="default" w:asciiTheme="minorEastAsia" w:hAnsiTheme="minorEastAsia" w:eastAsiaTheme="minorEastAsia" w:cstheme="minorEastAsia"/>
          <w:color w:val="auto"/>
          <w:sz w:val="24"/>
          <w:szCs w:val="24"/>
          <w:lang w:val="en-US" w:eastAsia="zh-CN"/>
        </w:rPr>
        <w:t>。</w:t>
      </w:r>
      <w:r>
        <w:rPr>
          <w:rFonts w:hint="default" w:asciiTheme="minorEastAsia" w:hAnsiTheme="minorEastAsia" w:eastAsiaTheme="minorEastAsia" w:cstheme="minorEastAsia"/>
          <w:color w:val="auto"/>
          <w:sz w:val="24"/>
          <w:szCs w:val="24"/>
          <w:lang w:val="en-US" w:eastAsia="zh-CN"/>
        </w:rPr>
        <w:br w:type="textWrapping"/>
      </w:r>
      <w:r>
        <w:rPr>
          <w:rFonts w:hint="eastAsia" w:asciiTheme="minorEastAsia" w:hAnsiTheme="minorEastAsia" w:eastAsiaTheme="minorEastAsia" w:cstheme="minorEastAsia"/>
          <w:color w:val="auto"/>
          <w:sz w:val="24"/>
          <w:szCs w:val="24"/>
          <w:lang w:val="en-US" w:eastAsia="zh-CN"/>
        </w:rPr>
        <w:t>2</w:t>
      </w:r>
      <w:r>
        <w:rPr>
          <w:rFonts w:hint="default" w:asciiTheme="minorEastAsia" w:hAnsiTheme="minorEastAsia" w:eastAsiaTheme="minorEastAsia" w:cstheme="minorEastAsia"/>
          <w:color w:val="auto"/>
          <w:sz w:val="24"/>
          <w:szCs w:val="24"/>
          <w:lang w:val="en-US" w:eastAsia="zh-CN"/>
        </w:rPr>
        <w:t>. 派驻专业技术人员现场实地踏勘核查，杜绝仅看图、不落地核查。</w:t>
      </w:r>
      <w:r>
        <w:rPr>
          <w:rFonts w:hint="default" w:asciiTheme="minorEastAsia" w:hAnsiTheme="minorEastAsia" w:eastAsiaTheme="minorEastAsia" w:cstheme="minorEastAsia"/>
          <w:color w:val="auto"/>
          <w:sz w:val="24"/>
          <w:szCs w:val="24"/>
          <w:lang w:val="en-US" w:eastAsia="zh-CN"/>
        </w:rPr>
        <w:br w:type="textWrapping"/>
      </w:r>
      <w:r>
        <w:rPr>
          <w:rFonts w:hint="eastAsia" w:asciiTheme="minorEastAsia" w:hAnsiTheme="minorEastAsia" w:eastAsiaTheme="minorEastAsia" w:cstheme="minorEastAsia"/>
          <w:color w:val="auto"/>
          <w:sz w:val="24"/>
          <w:szCs w:val="24"/>
          <w:lang w:val="en-US" w:eastAsia="zh-CN"/>
        </w:rPr>
        <w:t>3</w:t>
      </w:r>
      <w:r>
        <w:rPr>
          <w:rFonts w:hint="default" w:asciiTheme="minorEastAsia" w:hAnsiTheme="minorEastAsia" w:eastAsiaTheme="minorEastAsia" w:cstheme="minorEastAsia"/>
          <w:color w:val="auto"/>
          <w:sz w:val="24"/>
          <w:szCs w:val="24"/>
          <w:lang w:val="en-US" w:eastAsia="zh-CN"/>
        </w:rPr>
        <w:t>. 工作全过程接受甲方及项目管理单位监督，配合答疑、复核、验收工作。</w:t>
      </w:r>
      <w:r>
        <w:rPr>
          <w:rFonts w:hint="default" w:asciiTheme="minorEastAsia" w:hAnsiTheme="minorEastAsia" w:eastAsiaTheme="minorEastAsia" w:cstheme="minorEastAsia"/>
          <w:color w:val="auto"/>
          <w:sz w:val="24"/>
          <w:szCs w:val="24"/>
          <w:lang w:val="en-US" w:eastAsia="zh-CN"/>
        </w:rPr>
        <w:br w:type="textWrapping"/>
      </w:r>
      <w:r>
        <w:rPr>
          <w:rFonts w:hint="eastAsia" w:asciiTheme="minorEastAsia" w:hAnsiTheme="minorEastAsia" w:eastAsiaTheme="minorEastAsia" w:cstheme="minorEastAsia"/>
          <w:color w:val="auto"/>
          <w:sz w:val="24"/>
          <w:szCs w:val="24"/>
          <w:lang w:val="en-US" w:eastAsia="zh-CN"/>
        </w:rPr>
        <w:t>4</w:t>
      </w:r>
      <w:r>
        <w:rPr>
          <w:rFonts w:hint="default" w:asciiTheme="minorEastAsia" w:hAnsiTheme="minorEastAsia" w:eastAsiaTheme="minorEastAsia" w:cstheme="minorEastAsia"/>
          <w:color w:val="auto"/>
          <w:sz w:val="24"/>
          <w:szCs w:val="24"/>
          <w:lang w:val="en-US" w:eastAsia="zh-CN"/>
        </w:rPr>
        <w:t>. 交付成果真实、准确、合规，对核查结论及数据真实性承担全部责任。</w:t>
      </w:r>
    </w:p>
    <w:p>
      <w:pPr>
        <w:pStyle w:val="14"/>
        <w:numPr>
          <w:ilvl w:val="0"/>
          <w:numId w:val="1"/>
        </w:numPr>
        <w:ind w:left="0" w:leftChars="0" w:firstLine="240" w:firstLineChars="100"/>
        <w:rPr>
          <w:rFonts w:hint="default" w:asciiTheme="minorEastAsia" w:hAnsiTheme="minorEastAsia" w:eastAsiaTheme="minorEastAsia" w:cstheme="minorEastAsia"/>
          <w:color w:val="auto"/>
          <w:sz w:val="24"/>
          <w:szCs w:val="24"/>
          <w:lang w:val="en-US" w:eastAsia="zh-CN"/>
        </w:rPr>
      </w:pPr>
      <w:r>
        <w:rPr>
          <w:rFonts w:hint="default" w:asciiTheme="minorEastAsia" w:hAnsiTheme="minorEastAsia" w:eastAsiaTheme="minorEastAsia" w:cstheme="minorEastAsia"/>
          <w:color w:val="auto"/>
          <w:sz w:val="24"/>
          <w:szCs w:val="24"/>
          <w:lang w:val="en-US" w:eastAsia="zh-CN"/>
        </w:rPr>
        <w:t>其他说明</w:t>
      </w:r>
      <w:r>
        <w:rPr>
          <w:rFonts w:hint="default" w:asciiTheme="minorEastAsia" w:hAnsiTheme="minorEastAsia" w:eastAsiaTheme="minorEastAsia" w:cstheme="minorEastAsia"/>
          <w:color w:val="auto"/>
          <w:sz w:val="24"/>
          <w:szCs w:val="24"/>
          <w:lang w:val="en-US" w:eastAsia="zh-CN"/>
        </w:rPr>
        <w:br w:type="textWrapping"/>
      </w:r>
      <w:r>
        <w:rPr>
          <w:rFonts w:hint="default" w:asciiTheme="minorEastAsia" w:hAnsiTheme="minorEastAsia" w:eastAsiaTheme="minorEastAsia" w:cstheme="minorEastAsia"/>
          <w:color w:val="auto"/>
          <w:sz w:val="24"/>
          <w:szCs w:val="24"/>
          <w:lang w:val="en-US" w:eastAsia="zh-CN"/>
        </w:rPr>
        <w:t>1. 投标单位需自行现场踏勘，充分了解项目现状、管网复杂程度，所有踏勘费用、核查费用综合包含在投标报价内，无额外增项费用。</w:t>
      </w:r>
      <w:r>
        <w:rPr>
          <w:rFonts w:hint="default" w:asciiTheme="minorEastAsia" w:hAnsiTheme="minorEastAsia" w:eastAsiaTheme="minorEastAsia" w:cstheme="minorEastAsia"/>
          <w:color w:val="auto"/>
          <w:sz w:val="24"/>
          <w:szCs w:val="24"/>
          <w:lang w:val="en-US" w:eastAsia="zh-CN"/>
        </w:rPr>
        <w:br w:type="textWrapping"/>
      </w:r>
      <w:r>
        <w:rPr>
          <w:rFonts w:hint="default" w:asciiTheme="minorEastAsia" w:hAnsiTheme="minorEastAsia" w:eastAsiaTheme="minorEastAsia" w:cstheme="minorEastAsia"/>
          <w:color w:val="auto"/>
          <w:sz w:val="24"/>
          <w:szCs w:val="24"/>
          <w:lang w:val="en-US" w:eastAsia="zh-CN"/>
        </w:rPr>
        <w:t>2. 本技术任务书为招标文件有效组成部分，中标单位需严格遵照执行，成果达不到要求需无偿整改、补测、重编。</w:t>
      </w:r>
    </w:p>
    <w:p/>
    <w:p>
      <w:pPr>
        <w:pStyle w:val="8"/>
      </w:pPr>
    </w:p>
    <w:p>
      <w:pPr>
        <w:pStyle w:val="8"/>
      </w:pPr>
    </w:p>
    <w:p>
      <w:pPr>
        <w:pStyle w:val="8"/>
      </w:pPr>
    </w:p>
    <w:sectPr>
      <w:pgSz w:w="11906" w:h="16839"/>
      <w:pgMar w:top="1011" w:right="661" w:bottom="794" w:left="945" w:header="0"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C28579"/>
    <w:multiLevelType w:val="singleLevel"/>
    <w:tmpl w:val="47C28579"/>
    <w:lvl w:ilvl="0" w:tentative="0">
      <w:start w:val="1"/>
      <w:numFmt w:val="chineseCounting"/>
      <w:suff w:val="nothing"/>
      <w:lvlText w:val="%1、"/>
      <w:lvlJc w:val="left"/>
      <w:rPr>
        <w:rFonts w:hint="eastAsia"/>
      </w:rPr>
    </w:lvl>
  </w:abstractNum>
  <w:abstractNum w:abstractNumId="1">
    <w:nsid w:val="68CC6C87"/>
    <w:multiLevelType w:val="singleLevel"/>
    <w:tmpl w:val="68CC6C87"/>
    <w:lvl w:ilvl="0" w:tentative="0">
      <w:start w:val="1"/>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compat>
    <w:spaceForUL/>
    <w:ulTrailSpace/>
    <w:doNotExpandShiftReturn/>
    <w:doNotWrapTextWithPunct/>
    <w:doNotUseEastAsianBreakRules/>
    <w:useFELayout/>
    <w:doNotUseIndentAsNumberingTabStop/>
    <w:useAltKinsokuLineBreakRules/>
    <w:compatSetting w:name="compatibilityMode" w:uri="http://schemas.microsoft.com/office/word" w:val="14"/>
  </w:compat>
  <w:docVars>
    <w:docVar w:name="commondata" w:val="eyJoZGlkIjoiNGQxMGE0MmQ3MWU3MGI3ZDM0MTIzMzU0ZTM0MGYwOTIifQ=="/>
  </w:docVars>
  <w:rsids>
    <w:rsidRoot w:val="00000000"/>
    <w:rsid w:val="002A216E"/>
    <w:rsid w:val="023E1BBB"/>
    <w:rsid w:val="02785724"/>
    <w:rsid w:val="0287728A"/>
    <w:rsid w:val="02B65617"/>
    <w:rsid w:val="032E2FCB"/>
    <w:rsid w:val="05526700"/>
    <w:rsid w:val="068154EF"/>
    <w:rsid w:val="076F5BDB"/>
    <w:rsid w:val="077328BC"/>
    <w:rsid w:val="07C35693"/>
    <w:rsid w:val="07F12200"/>
    <w:rsid w:val="09B5114D"/>
    <w:rsid w:val="09EB06CE"/>
    <w:rsid w:val="0E3952E9"/>
    <w:rsid w:val="0E5125EC"/>
    <w:rsid w:val="101F1D33"/>
    <w:rsid w:val="111C41CB"/>
    <w:rsid w:val="1124638C"/>
    <w:rsid w:val="11A16E4D"/>
    <w:rsid w:val="12456514"/>
    <w:rsid w:val="13210445"/>
    <w:rsid w:val="17D83609"/>
    <w:rsid w:val="18E91CD7"/>
    <w:rsid w:val="195920D8"/>
    <w:rsid w:val="1ADD218F"/>
    <w:rsid w:val="1CE7377A"/>
    <w:rsid w:val="1D1824AB"/>
    <w:rsid w:val="1F4654DE"/>
    <w:rsid w:val="202B099A"/>
    <w:rsid w:val="21A36B78"/>
    <w:rsid w:val="23373738"/>
    <w:rsid w:val="26CD4DE5"/>
    <w:rsid w:val="2A41271B"/>
    <w:rsid w:val="2B8A5419"/>
    <w:rsid w:val="2BD001FB"/>
    <w:rsid w:val="2C526E62"/>
    <w:rsid w:val="2CB40181"/>
    <w:rsid w:val="2D5216B7"/>
    <w:rsid w:val="31A04978"/>
    <w:rsid w:val="32C402BB"/>
    <w:rsid w:val="331B24BB"/>
    <w:rsid w:val="334B1CAB"/>
    <w:rsid w:val="33FF4E37"/>
    <w:rsid w:val="34884A76"/>
    <w:rsid w:val="3B4734EC"/>
    <w:rsid w:val="3EE44D3A"/>
    <w:rsid w:val="415A7CD3"/>
    <w:rsid w:val="431E3B45"/>
    <w:rsid w:val="44CC63D5"/>
    <w:rsid w:val="45257E82"/>
    <w:rsid w:val="455659CC"/>
    <w:rsid w:val="48506970"/>
    <w:rsid w:val="4A1A5F48"/>
    <w:rsid w:val="4A3E237C"/>
    <w:rsid w:val="4C654432"/>
    <w:rsid w:val="4C8E5EAB"/>
    <w:rsid w:val="4D313178"/>
    <w:rsid w:val="502B287F"/>
    <w:rsid w:val="50C75416"/>
    <w:rsid w:val="50C84C4B"/>
    <w:rsid w:val="52455FB7"/>
    <w:rsid w:val="529C308C"/>
    <w:rsid w:val="53D855EF"/>
    <w:rsid w:val="542720D3"/>
    <w:rsid w:val="547727D4"/>
    <w:rsid w:val="55BC690B"/>
    <w:rsid w:val="58346B6C"/>
    <w:rsid w:val="59594ADC"/>
    <w:rsid w:val="5B811C31"/>
    <w:rsid w:val="5C505C93"/>
    <w:rsid w:val="5C515F3F"/>
    <w:rsid w:val="5DF80834"/>
    <w:rsid w:val="5EBB035D"/>
    <w:rsid w:val="5F2745F6"/>
    <w:rsid w:val="5FA244F5"/>
    <w:rsid w:val="603C08C8"/>
    <w:rsid w:val="636458F0"/>
    <w:rsid w:val="63F756DC"/>
    <w:rsid w:val="66D31804"/>
    <w:rsid w:val="67B3435B"/>
    <w:rsid w:val="68842E09"/>
    <w:rsid w:val="68B97035"/>
    <w:rsid w:val="69711A3C"/>
    <w:rsid w:val="6AC01C60"/>
    <w:rsid w:val="6E9E6560"/>
    <w:rsid w:val="6F481423"/>
    <w:rsid w:val="710A64DB"/>
    <w:rsid w:val="72E96F67"/>
    <w:rsid w:val="733240C8"/>
    <w:rsid w:val="739F35DC"/>
    <w:rsid w:val="748E5B2A"/>
    <w:rsid w:val="75B67855"/>
    <w:rsid w:val="76CA2908"/>
    <w:rsid w:val="79C8388C"/>
    <w:rsid w:val="7B687129"/>
    <w:rsid w:val="7C5C021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basedOn w:val="1"/>
    <w:next w:val="1"/>
    <w:qFormat/>
    <w:uiPriority w:val="0"/>
    <w:pPr>
      <w:keepNext/>
      <w:keepLines/>
      <w:spacing w:before="340" w:beforeLines="0" w:after="330" w:afterLines="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paragraph" w:styleId="6">
    <w:name w:val="heading 5"/>
    <w:basedOn w:val="1"/>
    <w:next w:val="1"/>
    <w:link w:val="28"/>
    <w:unhideWhenUsed/>
    <w:qFormat/>
    <w:uiPriority w:val="0"/>
    <w:pPr>
      <w:keepNext/>
      <w:keepLines/>
      <w:spacing w:before="280" w:beforeLines="0" w:beforeAutospacing="0" w:after="290" w:afterLines="0" w:afterAutospacing="0" w:line="372" w:lineRule="auto"/>
      <w:outlineLvl w:val="4"/>
    </w:pPr>
    <w:rPr>
      <w:b/>
      <w:sz w:val="28"/>
    </w:rPr>
  </w:style>
  <w:style w:type="character" w:default="1" w:styleId="13">
    <w:name w:val="Default Paragraph Font"/>
    <w:semiHidden/>
    <w:qFormat/>
    <w:uiPriority w:val="0"/>
  </w:style>
  <w:style w:type="table" w:default="1" w:styleId="11">
    <w:name w:val="Normal Table"/>
    <w:semiHidden/>
    <w:qFormat/>
    <w:uiPriority w:val="0"/>
    <w:tblPr>
      <w:tblLayout w:type="fixed"/>
      <w:tblCellMar>
        <w:top w:w="0" w:type="dxa"/>
        <w:left w:w="108" w:type="dxa"/>
        <w:bottom w:w="0" w:type="dxa"/>
        <w:right w:w="108" w:type="dxa"/>
      </w:tblCellMar>
    </w:tblPr>
  </w:style>
  <w:style w:type="paragraph" w:styleId="7">
    <w:name w:val="Normal Indent"/>
    <w:basedOn w:val="1"/>
    <w:unhideWhenUsed/>
    <w:qFormat/>
    <w:uiPriority w:val="0"/>
    <w:pPr>
      <w:autoSpaceDE w:val="0"/>
      <w:autoSpaceDN w:val="0"/>
      <w:adjustRightInd w:val="0"/>
      <w:ind w:firstLine="420"/>
      <w:jc w:val="left"/>
      <w:textAlignment w:val="baseline"/>
    </w:pPr>
    <w:rPr>
      <w:rFonts w:ascii="宋体"/>
      <w:kern w:val="0"/>
      <w:sz w:val="34"/>
      <w:szCs w:val="20"/>
    </w:rPr>
  </w:style>
  <w:style w:type="paragraph" w:styleId="8">
    <w:name w:val="Body Text"/>
    <w:basedOn w:val="1"/>
    <w:qFormat/>
    <w:uiPriority w:val="0"/>
    <w:rPr>
      <w:rFonts w:ascii="Arial" w:hAnsi="Arial" w:eastAsia="Arial" w:cs="Arial"/>
      <w:sz w:val="21"/>
      <w:szCs w:val="21"/>
      <w:lang w:val="en-US" w:eastAsia="en-US" w:bidi="ar-SA"/>
    </w:rPr>
  </w:style>
  <w:style w:type="paragraph" w:styleId="9">
    <w:name w:val="footer"/>
    <w:basedOn w:val="1"/>
    <w:qFormat/>
    <w:uiPriority w:val="0"/>
    <w:pPr>
      <w:tabs>
        <w:tab w:val="center" w:pos="4153"/>
        <w:tab w:val="right" w:pos="8306"/>
      </w:tabs>
      <w:snapToGrid w:val="0"/>
      <w:jc w:val="left"/>
    </w:pPr>
    <w:rPr>
      <w:kern w:val="0"/>
      <w:sz w:val="18"/>
      <w:szCs w:val="18"/>
    </w:rPr>
  </w:style>
  <w:style w:type="paragraph" w:styleId="10">
    <w:name w:val="Body Text First Indent"/>
    <w:basedOn w:val="1"/>
    <w:semiHidden/>
    <w:unhideWhenUsed/>
    <w:qFormat/>
    <w:uiPriority w:val="99"/>
    <w:pPr>
      <w:ind w:firstLine="420" w:firstLineChars="100"/>
    </w:p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4">
    <w:name w:val="样式 行距: 固定值 22 磅"/>
    <w:basedOn w:val="1"/>
    <w:qFormat/>
    <w:uiPriority w:val="0"/>
    <w:pPr>
      <w:spacing w:line="440" w:lineRule="exact"/>
    </w:pPr>
    <w:rPr>
      <w:rFonts w:cs="宋体"/>
      <w:sz w:val="28"/>
      <w:szCs w:val="20"/>
    </w:rPr>
  </w:style>
  <w:style w:type="table" w:customStyle="1" w:styleId="15">
    <w:name w:val="Table Normal"/>
    <w:semiHidden/>
    <w:unhideWhenUsed/>
    <w:qFormat/>
    <w:uiPriority w:val="0"/>
    <w:tblPr>
      <w:tblLayout w:type="fixed"/>
      <w:tblCellMar>
        <w:top w:w="0" w:type="dxa"/>
        <w:left w:w="0" w:type="dxa"/>
        <w:bottom w:w="0" w:type="dxa"/>
        <w:right w:w="0" w:type="dxa"/>
      </w:tblCellMar>
    </w:tblPr>
  </w:style>
  <w:style w:type="paragraph" w:customStyle="1" w:styleId="16">
    <w:name w:val="Table Text"/>
    <w:basedOn w:val="1"/>
    <w:semiHidden/>
    <w:qFormat/>
    <w:uiPriority w:val="0"/>
    <w:rPr>
      <w:rFonts w:ascii="宋体" w:hAnsi="宋体" w:eastAsia="宋体" w:cs="宋体"/>
      <w:sz w:val="22"/>
      <w:szCs w:val="22"/>
      <w:lang w:val="en-US" w:eastAsia="en-US" w:bidi="ar-SA"/>
    </w:rPr>
  </w:style>
  <w:style w:type="character" w:customStyle="1" w:styleId="17">
    <w:name w:val="font11"/>
    <w:basedOn w:val="13"/>
    <w:qFormat/>
    <w:uiPriority w:val="0"/>
    <w:rPr>
      <w:rFonts w:hint="eastAsia" w:ascii="宋体" w:hAnsi="宋体" w:eastAsia="宋体" w:cs="宋体"/>
      <w:color w:val="000000"/>
      <w:sz w:val="20"/>
      <w:szCs w:val="20"/>
      <w:u w:val="none"/>
    </w:rPr>
  </w:style>
  <w:style w:type="character" w:customStyle="1" w:styleId="18">
    <w:name w:val="font21"/>
    <w:basedOn w:val="13"/>
    <w:qFormat/>
    <w:uiPriority w:val="0"/>
    <w:rPr>
      <w:rFonts w:hint="eastAsia" w:ascii="宋体" w:hAnsi="宋体" w:eastAsia="宋体" w:cs="宋体"/>
      <w:color w:val="000000"/>
      <w:sz w:val="20"/>
      <w:szCs w:val="20"/>
      <w:u w:val="none"/>
    </w:rPr>
  </w:style>
  <w:style w:type="character" w:customStyle="1" w:styleId="19">
    <w:name w:val="font01"/>
    <w:basedOn w:val="13"/>
    <w:qFormat/>
    <w:uiPriority w:val="0"/>
    <w:rPr>
      <w:rFonts w:hint="default" w:ascii="Times New Roman" w:hAnsi="Times New Roman" w:cs="Times New Roman"/>
      <w:color w:val="000000"/>
      <w:sz w:val="18"/>
      <w:szCs w:val="18"/>
      <w:u w:val="none"/>
    </w:rPr>
  </w:style>
  <w:style w:type="character" w:customStyle="1" w:styleId="20">
    <w:name w:val="font41"/>
    <w:basedOn w:val="13"/>
    <w:qFormat/>
    <w:uiPriority w:val="0"/>
    <w:rPr>
      <w:rFonts w:hint="eastAsia" w:ascii="宋体" w:hAnsi="宋体" w:eastAsia="宋体" w:cs="宋体"/>
      <w:color w:val="000000"/>
      <w:sz w:val="18"/>
      <w:szCs w:val="18"/>
      <w:u w:val="none"/>
    </w:rPr>
  </w:style>
  <w:style w:type="character" w:customStyle="1" w:styleId="21">
    <w:name w:val="font51"/>
    <w:basedOn w:val="13"/>
    <w:qFormat/>
    <w:uiPriority w:val="0"/>
    <w:rPr>
      <w:rFonts w:hint="eastAsia" w:ascii="宋体" w:hAnsi="宋体" w:eastAsia="宋体" w:cs="宋体"/>
      <w:color w:val="000000"/>
      <w:sz w:val="18"/>
      <w:szCs w:val="18"/>
      <w:u w:val="none"/>
    </w:rPr>
  </w:style>
  <w:style w:type="character" w:customStyle="1" w:styleId="22">
    <w:name w:val="font61"/>
    <w:basedOn w:val="13"/>
    <w:qFormat/>
    <w:uiPriority w:val="0"/>
    <w:rPr>
      <w:rFonts w:hint="eastAsia" w:ascii="宋体" w:hAnsi="宋体" w:eastAsia="宋体" w:cs="宋体"/>
      <w:color w:val="000000"/>
      <w:sz w:val="18"/>
      <w:szCs w:val="18"/>
      <w:u w:val="none"/>
    </w:rPr>
  </w:style>
  <w:style w:type="character" w:customStyle="1" w:styleId="23">
    <w:name w:val="font81"/>
    <w:basedOn w:val="13"/>
    <w:qFormat/>
    <w:uiPriority w:val="0"/>
    <w:rPr>
      <w:rFonts w:hint="default" w:ascii="Times New Roman" w:hAnsi="Times New Roman" w:cs="Times New Roman"/>
      <w:color w:val="000000"/>
      <w:sz w:val="18"/>
      <w:szCs w:val="18"/>
      <w:u w:val="none"/>
    </w:rPr>
  </w:style>
  <w:style w:type="paragraph" w:customStyle="1" w:styleId="24">
    <w:name w:val="标题 21"/>
    <w:basedOn w:val="1"/>
    <w:next w:val="1"/>
    <w:qFormat/>
    <w:uiPriority w:val="0"/>
    <w:pPr>
      <w:keepNext/>
      <w:keepLines/>
      <w:spacing w:before="260" w:beforeLines="0" w:after="260" w:afterLines="0" w:line="412" w:lineRule="auto"/>
      <w:outlineLvl w:val="1"/>
    </w:pPr>
    <w:rPr>
      <w:rFonts w:ascii="Cambria" w:hAnsi="Cambria"/>
      <w:b/>
      <w:kern w:val="0"/>
      <w:sz w:val="32"/>
    </w:rPr>
  </w:style>
  <w:style w:type="paragraph" w:customStyle="1" w:styleId="25">
    <w:name w:val="Plain Text"/>
    <w:basedOn w:val="1"/>
    <w:qFormat/>
    <w:uiPriority w:val="0"/>
    <w:rPr>
      <w:rFonts w:ascii="宋体" w:hAnsi="Courier New"/>
      <w:kern w:val="0"/>
      <w:sz w:val="20"/>
    </w:rPr>
  </w:style>
  <w:style w:type="character" w:customStyle="1" w:styleId="26">
    <w:name w:val="样式 段前: 0.5 行 行距: 固定值 23 磅 Char"/>
    <w:link w:val="27"/>
    <w:qFormat/>
    <w:uiPriority w:val="0"/>
    <w:rPr>
      <w:kern w:val="0"/>
      <w:sz w:val="24"/>
    </w:rPr>
  </w:style>
  <w:style w:type="paragraph" w:customStyle="1" w:styleId="27">
    <w:name w:val="样式 段前: 0.5 行 行距: 固定值 23 磅"/>
    <w:basedOn w:val="1"/>
    <w:link w:val="26"/>
    <w:qFormat/>
    <w:uiPriority w:val="0"/>
    <w:pPr>
      <w:spacing w:beforeLines="50"/>
    </w:pPr>
    <w:rPr>
      <w:kern w:val="0"/>
      <w:sz w:val="24"/>
    </w:rPr>
  </w:style>
  <w:style w:type="character" w:customStyle="1" w:styleId="28">
    <w:name w:val="标题 5 Char"/>
    <w:link w:val="6"/>
    <w:qFormat/>
    <w:uiPriority w:val="0"/>
    <w:rPr>
      <w:b/>
      <w:sz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Pages>
  <Words>255</Words>
  <Characters>268</Characters>
  <TotalTime>1</TotalTime>
  <ScaleCrop>false</ScaleCrop>
  <LinksUpToDate>false</LinksUpToDate>
  <CharactersWithSpaces>291</CharactersWithSpaces>
  <Application>WPS Office_11.8.2.8276_F1E327BC-269C-435d-A152-05C5408002CA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2023-09-05T11:18:00Z</dcterms:created>
  <dc:creator>推阿婆落田</dc:creator>
  <cp:lastModifiedBy>琦丽</cp:lastModifiedBy>
  <cp:lastPrinted>2026-03-30T01:15:00Z</cp:lastPrinted>
  <dcterms:modified xsi:type="dcterms:W3CDTF">2026-07-01T08:16:02Z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2024-09-05T09:11:10Z</vt:filetime>
  </property>
  <property fmtid="{D5CDD505-2E9C-101B-9397-08002B2CF9AE}" pid="4" name="KSOProductBuildVer">
    <vt:lpwstr>2052-11.8.2.8276</vt:lpwstr>
  </property>
  <property fmtid="{D5CDD505-2E9C-101B-9397-08002B2CF9AE}" pid="5" name="ICV">
    <vt:lpwstr>A9E479D875EC49AABA737EB0D9F804AE_13</vt:lpwstr>
  </property>
  <property fmtid="{D5CDD505-2E9C-101B-9397-08002B2CF9AE}" pid="6" name="KSOTemplateDocerSaveRecord">
    <vt:lpwstr>eyJoZGlkIjoiNDI1YjE4ZTdmYmI4MDI2NGQ1ZGY1YWM1NzY3NWRmZWMiLCJ1c2VySWQiOiIxNDc5MDYxODMwIn0=</vt:lpwstr>
  </property>
</Properties>
</file>