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EFD7B">
      <w:pPr>
        <w:bidi w:val="0"/>
        <w:jc w:val="left"/>
        <w:rPr>
          <w:rFonts w:hint="default"/>
          <w:b/>
          <w:bCs/>
          <w:color w:val="auto"/>
          <w:sz w:val="24"/>
          <w:szCs w:val="24"/>
          <w:lang w:val="en-US" w:eastAsia="zh-CN"/>
        </w:rPr>
      </w:pPr>
      <w:r>
        <w:rPr>
          <w:rFonts w:hint="eastAsia"/>
          <w:b/>
          <w:bCs/>
          <w:color w:val="auto"/>
          <w:sz w:val="24"/>
          <w:szCs w:val="24"/>
          <w:lang w:val="en-US" w:eastAsia="zh-CN"/>
        </w:rPr>
        <w:t>附件6.1技术任务书、附件</w:t>
      </w:r>
    </w:p>
    <w:p w14:paraId="4EAB42D8">
      <w:pPr>
        <w:bidi w:val="0"/>
        <w:jc w:val="center"/>
        <w:rPr>
          <w:rFonts w:hint="default"/>
          <w:b/>
          <w:bCs/>
          <w:color w:val="auto"/>
          <w:sz w:val="32"/>
          <w:szCs w:val="24"/>
          <w:lang w:val="en-US" w:eastAsia="zh-CN"/>
        </w:rPr>
      </w:pPr>
      <w:r>
        <w:rPr>
          <w:rFonts w:hint="eastAsia"/>
          <w:b/>
          <w:bCs/>
          <w:color w:val="auto"/>
          <w:sz w:val="32"/>
          <w:szCs w:val="24"/>
          <w:lang w:val="en-US" w:eastAsia="zh-CN"/>
        </w:rPr>
        <w:t>技术任务书--绿化工程</w:t>
      </w:r>
      <w:bookmarkStart w:id="0" w:name="_GoBack"/>
      <w:bookmarkEnd w:id="0"/>
      <w:r>
        <w:rPr>
          <w:rFonts w:hint="eastAsia"/>
          <w:b/>
          <w:bCs/>
          <w:color w:val="auto"/>
          <w:sz w:val="32"/>
          <w:szCs w:val="24"/>
          <w:lang w:val="en-US" w:eastAsia="zh-CN"/>
        </w:rPr>
        <w:t>专业分包</w:t>
      </w:r>
    </w:p>
    <w:p w14:paraId="780C4506">
      <w:pPr>
        <w:bidi w:val="0"/>
        <w:rPr>
          <w:b/>
          <w:bCs/>
        </w:rPr>
      </w:pPr>
      <w:r>
        <w:rPr>
          <w:b/>
          <w:bCs/>
        </w:rPr>
        <w:t>一、项目概况</w:t>
      </w:r>
    </w:p>
    <w:p w14:paraId="01234EFD">
      <w:pPr>
        <w:bidi w:val="0"/>
      </w:pPr>
      <w:r>
        <w:rPr>
          <w:lang w:val="en-US" w:eastAsia="zh-CN"/>
        </w:rPr>
        <w:t>本项目包含三条道路，为均昌路、广湾街、新翠路。其中均昌路北起珠海大道辅道，东接广南路，全长 468.167m；广湾街西接广南路，东接安民街，全长 549.210m；新翠路西接拟建洪湾大道，东北接广昌保障房处，全长 966.762m。道路等级均为城市支路。</w:t>
      </w:r>
    </w:p>
    <w:p w14:paraId="5E767BA6">
      <w:pPr>
        <w:bidi w:val="0"/>
      </w:pPr>
      <w:r>
        <w:rPr>
          <w:lang w:val="en-US" w:eastAsia="zh-CN"/>
        </w:rPr>
        <w:t>本次绿化工程涵盖苗木迁移、行道树种植、草坪种植、边坡喷播、乔木清理及 12 个月养护期等全部工作内容，最终验收以移交珠海市香洲区城市管理和综合执法局或区园林中心作为合格依据，投标单位须配合完成最终移交工作。</w:t>
      </w:r>
    </w:p>
    <w:p w14:paraId="32D508F1">
      <w:pPr>
        <w:bidi w:val="0"/>
        <w:rPr>
          <w:b/>
          <w:bCs/>
        </w:rPr>
      </w:pPr>
      <w:r>
        <w:rPr>
          <w:b/>
          <w:bCs/>
        </w:rPr>
        <w:t>二、招标范围及承包方式</w:t>
      </w:r>
    </w:p>
    <w:p w14:paraId="3B19F485">
      <w:pPr>
        <w:bidi w:val="0"/>
        <w:rPr>
          <w:b/>
          <w:bCs/>
        </w:rPr>
      </w:pPr>
      <w:r>
        <w:rPr>
          <w:b/>
          <w:bCs/>
        </w:rPr>
        <w:t>（一）招标范围</w:t>
      </w:r>
    </w:p>
    <w:p w14:paraId="137399ED">
      <w:pPr>
        <w:bidi w:val="0"/>
      </w:pPr>
      <w:r>
        <w:t>苗木迁移工程：对均昌路、广湾街现有苗木进行迁移，迁移地点由招标单位指定；迁移后按规范设置树木支撑，进行修剪、养护，确保成活率 100%，养护期 12 个月。</w:t>
      </w:r>
    </w:p>
    <w:p w14:paraId="3AB53B93">
      <w:pPr>
        <w:bidi w:val="0"/>
        <w:rPr>
          <w:rFonts w:hint="eastAsia"/>
          <w:lang w:val="en-US" w:eastAsia="zh-CN"/>
        </w:rPr>
      </w:pPr>
      <w:r>
        <w:t>行道树种植工程：在均昌路、广湾街道路工程完工后实施行道树种植，</w:t>
      </w:r>
      <w:r>
        <w:rPr>
          <w:rFonts w:hint="eastAsia"/>
          <w:lang w:val="en-US" w:eastAsia="zh-CN"/>
        </w:rPr>
        <w:t>其中：</w:t>
      </w:r>
    </w:p>
    <w:p w14:paraId="2CEF8408">
      <w:pPr>
        <w:bidi w:val="0"/>
        <w:rPr>
          <w:rFonts w:hint="eastAsia"/>
        </w:rPr>
      </w:pPr>
      <w:r>
        <w:rPr>
          <w:rFonts w:hint="eastAsia"/>
        </w:rPr>
        <w:t>1、均昌路在行道树采用血桐作为乔木,间距为6m。</w:t>
      </w:r>
    </w:p>
    <w:p w14:paraId="45BF6D5F">
      <w:pPr>
        <w:bidi w:val="0"/>
        <w:rPr>
          <w:rFonts w:hint="eastAsia"/>
        </w:rPr>
      </w:pPr>
      <w:r>
        <w:rPr>
          <w:rFonts w:hint="eastAsia"/>
        </w:rPr>
        <w:t>2、广湾街行道树迁移之后,重新种植盾柱木,问距6m。</w:t>
      </w:r>
    </w:p>
    <w:p w14:paraId="237E298E">
      <w:pPr>
        <w:bidi w:val="0"/>
        <w:rPr>
          <w:rFonts w:hint="default" w:eastAsia="宋体"/>
          <w:lang w:val="en-US" w:eastAsia="zh-CN"/>
        </w:rPr>
      </w:pPr>
      <w:r>
        <w:t>工作内容含起苗、运输、种植土回填、树穴开挖、栽植、定根水浇灌、树木支撑、树干涂白及 12 个月养护</w:t>
      </w:r>
      <w:r>
        <w:rPr>
          <w:rFonts w:hint="eastAsia"/>
          <w:lang w:val="en-US" w:eastAsia="zh-CN"/>
        </w:rPr>
        <w:t>；</w:t>
      </w:r>
    </w:p>
    <w:p w14:paraId="2A67AF5A">
      <w:pPr>
        <w:bidi w:val="0"/>
      </w:pPr>
      <w:r>
        <w:t>草坪及草籽种植工程：马尼拉草满铺种植、排洪渠明渠段撒播草籽种植及 12 个月养护。</w:t>
      </w:r>
    </w:p>
    <w:p w14:paraId="469FF0C9">
      <w:pPr>
        <w:bidi w:val="0"/>
      </w:pPr>
      <w:r>
        <w:t>边坡挂网喷播工程：边坡部位挂镀锌铁丝网、喷播植草（草灌混播）及 12 个月养护。</w:t>
      </w:r>
    </w:p>
    <w:p w14:paraId="20091633">
      <w:pPr>
        <w:bidi w:val="0"/>
      </w:pPr>
      <w:r>
        <w:t>乔木清理工程：对新翠路现有乔木及广湾街非迁移乔木进行清理，含挖树蔸、截枝、吊装、外运弃置等全部工序。</w:t>
      </w:r>
    </w:p>
    <w:p w14:paraId="6B0AFDA1">
      <w:pPr>
        <w:bidi w:val="0"/>
      </w:pPr>
      <w:r>
        <w:t>配套工作：成品垃圾箱布置、树木支撑架安装、种植土供应、养护期内病虫害防治、抗旱排涝、修剪补植及移交前成品保护等。</w:t>
      </w:r>
    </w:p>
    <w:p w14:paraId="31332584">
      <w:pPr>
        <w:bidi w:val="0"/>
      </w:pPr>
      <w:r>
        <w:t>（二）承包方式</w:t>
      </w:r>
    </w:p>
    <w:p w14:paraId="10BBA1AB">
      <w:pPr>
        <w:bidi w:val="0"/>
      </w:pPr>
      <w:r>
        <w:rPr>
          <w:lang w:val="en-US" w:eastAsia="zh-CN"/>
        </w:rPr>
        <w:t>采用专业分包模式，除甲供乔木外，包工、包料、包机械、包质量、包安全、包文明施工、包养护成活、包验收合格、包移交城管局 / 园林中心、包资料归档。</w:t>
      </w:r>
    </w:p>
    <w:p w14:paraId="4C4BC391">
      <w:pPr>
        <w:bidi w:val="0"/>
        <w:rPr>
          <w:b/>
          <w:bCs/>
        </w:rPr>
      </w:pPr>
      <w:r>
        <w:rPr>
          <w:b/>
          <w:bCs/>
        </w:rPr>
        <w:t>三、施工工期</w:t>
      </w:r>
    </w:p>
    <w:p w14:paraId="07DAD3E1">
      <w:pPr>
        <w:bidi w:val="0"/>
      </w:pPr>
      <w:r>
        <w:rPr>
          <w:rFonts w:hint="eastAsia"/>
          <w:lang w:val="en-US" w:eastAsia="zh-CN"/>
        </w:rPr>
        <w:t>1、</w:t>
      </w:r>
      <w:r>
        <w:t>总工期：以项目整体总工期为准，暂定720日历天，自苗木迁移开工起至养护期满并完成移交止。</w:t>
      </w:r>
    </w:p>
    <w:p w14:paraId="247D7FF2">
      <w:pPr>
        <w:bidi w:val="0"/>
      </w:pPr>
      <w:r>
        <w:rPr>
          <w:rFonts w:hint="eastAsia"/>
          <w:lang w:val="en-US" w:eastAsia="zh-CN"/>
        </w:rPr>
        <w:t>2、</w:t>
      </w:r>
      <w:r>
        <w:t xml:space="preserve">节点要求： </w:t>
      </w:r>
    </w:p>
    <w:p w14:paraId="0D22D332">
      <w:pPr>
        <w:bidi w:val="0"/>
      </w:pPr>
      <w:r>
        <w:t>苗木迁移及清理工作须配合道路主体施工进度，按甲方指令分段实施；</w:t>
      </w:r>
    </w:p>
    <w:p w14:paraId="5CEC59EC">
      <w:pPr>
        <w:bidi w:val="0"/>
      </w:pPr>
      <w:r>
        <w:t>行道树种植须待道路主体工程验收合格、工作面移交后开展；</w:t>
      </w:r>
    </w:p>
    <w:p w14:paraId="1F74CAC5">
      <w:pPr>
        <w:bidi w:val="0"/>
      </w:pPr>
      <w:r>
        <w:t>养护期自种植/迁移工程竣工验收合格之日起计算，为期12个月；</w:t>
      </w:r>
    </w:p>
    <w:p w14:paraId="7A0BBEDE">
      <w:pPr>
        <w:bidi w:val="0"/>
      </w:pPr>
      <w:r>
        <w:t>养护期满后15个工作日内配合完成向香洲区城管局或园林中心的移交手续。</w:t>
      </w:r>
    </w:p>
    <w:p w14:paraId="64BB5250">
      <w:pPr>
        <w:bidi w:val="0"/>
        <w:rPr>
          <w:b/>
          <w:bCs/>
        </w:rPr>
      </w:pPr>
      <w:r>
        <w:rPr>
          <w:b/>
          <w:bCs/>
        </w:rPr>
        <w:t>四、各分项工程主要施工方法及技术要求</w:t>
      </w:r>
    </w:p>
    <w:p w14:paraId="018A8690">
      <w:pPr>
        <w:bidi w:val="0"/>
        <w:rPr>
          <w:b/>
          <w:bCs/>
        </w:rPr>
      </w:pPr>
      <w:r>
        <w:rPr>
          <w:b/>
          <w:bCs/>
        </w:rPr>
        <w:t>（一）苗木迁移工程</w:t>
      </w:r>
    </w:p>
    <w:p w14:paraId="089707C5">
      <w:pPr>
        <w:bidi w:val="0"/>
      </w:pPr>
      <w:r>
        <w:t>前期准备：迁移前对苗木进行品种、规格、数量清点登记，拍摄原貌影像；对树冠进行适度修剪，修剪量以保持树形为原则，切口涂抹愈合剂。</w:t>
      </w:r>
    </w:p>
    <w:p w14:paraId="73045F61">
      <w:pPr>
        <w:bidi w:val="0"/>
      </w:pPr>
      <w:r>
        <w:t>断根起苗：</w:t>
      </w:r>
      <w:r>
        <w:rPr>
          <w:rFonts w:hint="eastAsia"/>
        </w:rPr>
        <w:t>土球规格应为树木胸径的6倍~10倍,土球高度为士球直径的2/3,土球底部直径为土球直径的1/3</w:t>
      </w:r>
      <w:r>
        <w:rPr>
          <w:rFonts w:hint="eastAsia"/>
          <w:lang w:eastAsia="zh-CN"/>
        </w:rPr>
        <w:t>；</w:t>
      </w:r>
      <w:r>
        <w:rPr>
          <w:rFonts w:hint="eastAsia"/>
        </w:rPr>
        <w:t>土台规格应上大下小下部边长比上部边上少</w:t>
      </w:r>
      <w:r>
        <w:rPr>
          <w:rFonts w:hint="eastAsia"/>
          <w:lang w:val="en-US" w:eastAsia="zh-CN"/>
        </w:rPr>
        <w:t>1</w:t>
      </w:r>
      <w:r>
        <w:rPr>
          <w:rFonts w:hint="eastAsia"/>
        </w:rPr>
        <w:t>/10。</w:t>
      </w:r>
      <w:r>
        <w:t>土球用草绳紧密包扎，确保不散坨、不裂球；裸根苗须保留完整根系并沾泥浆保湿。</w:t>
      </w:r>
    </w:p>
    <w:p w14:paraId="483EB8D5">
      <w:pPr>
        <w:bidi w:val="0"/>
      </w:pPr>
      <w:r>
        <w:t>吊装运输：采用专用吊具吊装，避免损伤树皮和土球；运输过程中覆盖保湿布，长途运输须洒水保湿；卸车时轻吊轻放，严禁抛掷。</w:t>
      </w:r>
    </w:p>
    <w:p w14:paraId="56ED09E3">
      <w:pPr>
        <w:bidi w:val="0"/>
      </w:pPr>
      <w:r>
        <w:t>定植栽植：按指定位置开挖种植穴，穴径大于土球 40~60cm，穴深大于土球 20~30cm；穴底铺设腐熟基肥并回填种植土；栽植深度与原土痕齐平，回填分层夯实，浇透定根水。</w:t>
      </w:r>
    </w:p>
    <w:p w14:paraId="268F3C02">
      <w:pPr>
        <w:bidi w:val="0"/>
      </w:pPr>
      <w:r>
        <w:t>支撑固定：采用四杆木支撑，支撑高度不低于树高 1/3，支撑与树干接触处垫软质材料，绑扎牢固，防止风倒倾斜。</w:t>
      </w:r>
    </w:p>
    <w:p w14:paraId="2C8E3CC8">
      <w:pPr>
        <w:bidi w:val="0"/>
      </w:pPr>
      <w:r>
        <w:t>养护要求：迁移后1个月内为缓苗期，保持土壤湿润，叶面喷水保湿；养护期内定期修剪、施肥、防治病虫害；迁移苗木成活率必须达到100%</w:t>
      </w:r>
      <w:r>
        <w:rPr>
          <w:rFonts w:hint="eastAsia"/>
          <w:lang w:eastAsia="zh-CN"/>
        </w:rPr>
        <w:t>，</w:t>
      </w:r>
      <w:r>
        <w:t>死亡苗木须在15日内无偿更换同规格合格苗木。</w:t>
      </w:r>
    </w:p>
    <w:p w14:paraId="749AE316">
      <w:pPr>
        <w:bidi w:val="0"/>
        <w:rPr>
          <w:b/>
          <w:bCs/>
        </w:rPr>
      </w:pPr>
      <w:r>
        <w:rPr>
          <w:b/>
          <w:bCs/>
        </w:rPr>
        <w:t>（二）行道树种植工程</w:t>
      </w:r>
    </w:p>
    <w:p w14:paraId="1D01C0B6">
      <w:pPr>
        <w:bidi w:val="0"/>
      </w:pPr>
      <w:r>
        <w:rPr>
          <w:rFonts w:hint="eastAsia"/>
        </w:rPr>
        <w:t>种植土要求:PH:5.5至7.5区间内土壤,不含建筑废土及有害成分、强酸性土、强碱性土、重黏土、盐土，沥青及有毒垃圾等含有有害成分的材料。</w:t>
      </w:r>
      <w:r>
        <w:t>种植土进场须提供检测报告。</w:t>
      </w:r>
    </w:p>
    <w:p w14:paraId="2153CE1E">
      <w:pPr>
        <w:bidi w:val="0"/>
      </w:pPr>
      <w:r>
        <w:t>树穴</w:t>
      </w:r>
      <w:r>
        <w:rPr>
          <w:rFonts w:hint="eastAsia"/>
          <w:lang w:val="en-US" w:eastAsia="zh-CN"/>
        </w:rPr>
        <w:t>要求</w:t>
      </w:r>
      <w:r>
        <w:t>：</w:t>
      </w:r>
    </w:p>
    <w:p w14:paraId="65367062">
      <w:pPr>
        <w:bidi w:val="0"/>
        <w:rPr>
          <w:rFonts w:hint="eastAsia"/>
        </w:rPr>
      </w:pPr>
      <w:r>
        <w:rPr>
          <w:rFonts w:hint="eastAsia"/>
          <w:lang w:eastAsia="zh-CN"/>
        </w:rPr>
        <w:t>（</w:t>
      </w:r>
      <w:r>
        <w:rPr>
          <w:rFonts w:hint="eastAsia"/>
          <w:lang w:val="en-US" w:eastAsia="zh-CN"/>
        </w:rPr>
        <w:t>1</w:t>
      </w:r>
      <w:r>
        <w:rPr>
          <w:rFonts w:hint="eastAsia"/>
          <w:lang w:eastAsia="zh-CN"/>
        </w:rPr>
        <w:t>）</w:t>
      </w:r>
      <w:r>
        <w:rPr>
          <w:rFonts w:hint="eastAsia"/>
        </w:rPr>
        <w:t>树穴应符合设计图纸要求,位置要准确。</w:t>
      </w:r>
    </w:p>
    <w:p w14:paraId="46CDE805">
      <w:pPr>
        <w:bidi w:val="0"/>
        <w:rPr>
          <w:rFonts w:hint="eastAsia"/>
        </w:rPr>
      </w:pPr>
      <w:r>
        <w:rPr>
          <w:rFonts w:hint="eastAsia"/>
          <w:lang w:eastAsia="zh-CN"/>
        </w:rPr>
        <w:t>（</w:t>
      </w:r>
      <w:r>
        <w:rPr>
          <w:rFonts w:hint="eastAsia"/>
          <w:lang w:val="en-US" w:eastAsia="zh-CN"/>
        </w:rPr>
        <w:t>2</w:t>
      </w:r>
      <w:r>
        <w:rPr>
          <w:rFonts w:hint="eastAsia"/>
          <w:lang w:eastAsia="zh-CN"/>
        </w:rPr>
        <w:t>）</w:t>
      </w:r>
      <w:r>
        <w:rPr>
          <w:rFonts w:hint="eastAsia"/>
        </w:rPr>
        <w:t>士层干燥地区应在种植前浸树穴。</w:t>
      </w:r>
    </w:p>
    <w:p w14:paraId="029EA5C4">
      <w:pPr>
        <w:bidi w:val="0"/>
        <w:rPr>
          <w:rFonts w:hint="eastAsia"/>
        </w:rPr>
      </w:pPr>
      <w:r>
        <w:rPr>
          <w:rFonts w:hint="eastAsia"/>
          <w:lang w:eastAsia="zh-CN"/>
        </w:rPr>
        <w:t>（</w:t>
      </w:r>
      <w:r>
        <w:rPr>
          <w:rFonts w:hint="eastAsia"/>
          <w:lang w:val="en-US" w:eastAsia="zh-CN"/>
        </w:rPr>
        <w:t>3</w:t>
      </w:r>
      <w:r>
        <w:rPr>
          <w:rFonts w:hint="eastAsia"/>
          <w:lang w:eastAsia="zh-CN"/>
        </w:rPr>
        <w:t>）</w:t>
      </w:r>
      <w:r>
        <w:rPr>
          <w:rFonts w:hint="eastAsia"/>
        </w:rPr>
        <w:t>树穴应施入腐熟的有机肥作为基肥。</w:t>
      </w:r>
    </w:p>
    <w:p w14:paraId="01774B8F">
      <w:pPr>
        <w:bidi w:val="0"/>
        <w:rPr>
          <w:rFonts w:hint="eastAsia"/>
        </w:rPr>
      </w:pPr>
      <w:r>
        <w:rPr>
          <w:rFonts w:hint="eastAsia"/>
          <w:lang w:eastAsia="zh-CN"/>
        </w:rPr>
        <w:t>（</w:t>
      </w:r>
      <w:r>
        <w:rPr>
          <w:rFonts w:hint="eastAsia"/>
          <w:lang w:val="en-US" w:eastAsia="zh-CN"/>
        </w:rPr>
        <w:t>4</w:t>
      </w:r>
      <w:r>
        <w:rPr>
          <w:rFonts w:hint="eastAsia"/>
          <w:lang w:eastAsia="zh-CN"/>
        </w:rPr>
        <w:t>）</w:t>
      </w:r>
      <w:r>
        <w:rPr>
          <w:rFonts w:hint="eastAsia"/>
        </w:rPr>
        <w:t>树穴应根据苗木根系,土球直径和土壤情况而定,树穴应垂直下挖,上口下底相等,规格应符合下表: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1348"/>
        <w:gridCol w:w="1576"/>
        <w:gridCol w:w="1576"/>
        <w:gridCol w:w="1577"/>
        <w:gridCol w:w="1577"/>
      </w:tblGrid>
      <w:tr w14:paraId="04CB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shd w:val="clear" w:color="auto" w:fill="auto"/>
            <w:vAlign w:val="center"/>
          </w:tcPr>
          <w:p w14:paraId="5ECD15BC">
            <w:pPr>
              <w:pStyle w:val="37"/>
              <w:bidi w:val="0"/>
              <w:rPr>
                <w:rFonts w:hint="eastAsia"/>
                <w:lang w:val="en-US" w:eastAsia="zh-CN"/>
              </w:rPr>
            </w:pPr>
            <w:r>
              <w:rPr>
                <w:rFonts w:hint="eastAsia"/>
                <w:lang w:val="en-US" w:eastAsia="zh-CN"/>
              </w:rPr>
              <w:t>土球直径（单位cm）</w:t>
            </w:r>
          </w:p>
        </w:tc>
        <w:tc>
          <w:tcPr>
            <w:tcW w:w="1348" w:type="dxa"/>
            <w:shd w:val="clear" w:color="auto" w:fill="auto"/>
            <w:vAlign w:val="center"/>
          </w:tcPr>
          <w:p w14:paraId="44A41DF4">
            <w:pPr>
              <w:pStyle w:val="37"/>
              <w:bidi w:val="0"/>
              <w:rPr>
                <w:rFonts w:hint="default"/>
                <w:lang w:val="en-US" w:eastAsia="zh-CN"/>
              </w:rPr>
            </w:pPr>
            <w:r>
              <w:rPr>
                <w:rFonts w:hint="eastAsia"/>
                <w:lang w:val="en-US" w:eastAsia="zh-CN"/>
              </w:rPr>
              <w:t>30</w:t>
            </w:r>
          </w:p>
        </w:tc>
        <w:tc>
          <w:tcPr>
            <w:tcW w:w="1576" w:type="dxa"/>
            <w:shd w:val="clear" w:color="auto" w:fill="auto"/>
            <w:vAlign w:val="center"/>
          </w:tcPr>
          <w:p w14:paraId="0C926C03">
            <w:pPr>
              <w:pStyle w:val="37"/>
              <w:bidi w:val="0"/>
              <w:rPr>
                <w:rFonts w:hint="default"/>
                <w:lang w:val="en-US" w:eastAsia="zh-CN"/>
              </w:rPr>
            </w:pPr>
            <w:r>
              <w:rPr>
                <w:rFonts w:hint="eastAsia"/>
                <w:lang w:val="en-US" w:eastAsia="zh-CN"/>
              </w:rPr>
              <w:t>40</w:t>
            </w:r>
          </w:p>
        </w:tc>
        <w:tc>
          <w:tcPr>
            <w:tcW w:w="1576" w:type="dxa"/>
            <w:shd w:val="clear" w:color="auto" w:fill="auto"/>
            <w:vAlign w:val="center"/>
          </w:tcPr>
          <w:p w14:paraId="6836C34D">
            <w:pPr>
              <w:pStyle w:val="37"/>
              <w:bidi w:val="0"/>
              <w:rPr>
                <w:rFonts w:hint="default"/>
                <w:lang w:val="en-US" w:eastAsia="zh-CN"/>
              </w:rPr>
            </w:pPr>
            <w:r>
              <w:rPr>
                <w:rFonts w:hint="eastAsia"/>
                <w:lang w:val="en-US" w:eastAsia="zh-CN"/>
              </w:rPr>
              <w:t>50</w:t>
            </w:r>
          </w:p>
        </w:tc>
        <w:tc>
          <w:tcPr>
            <w:tcW w:w="1577" w:type="dxa"/>
            <w:shd w:val="clear" w:color="auto" w:fill="auto"/>
            <w:vAlign w:val="center"/>
          </w:tcPr>
          <w:p w14:paraId="32B59034">
            <w:pPr>
              <w:pStyle w:val="37"/>
              <w:bidi w:val="0"/>
              <w:rPr>
                <w:rFonts w:hint="default"/>
                <w:lang w:val="en-US" w:eastAsia="zh-CN"/>
              </w:rPr>
            </w:pPr>
            <w:r>
              <w:rPr>
                <w:rFonts w:hint="eastAsia"/>
                <w:lang w:val="en-US" w:eastAsia="zh-CN"/>
              </w:rPr>
              <w:t>60</w:t>
            </w:r>
          </w:p>
        </w:tc>
        <w:tc>
          <w:tcPr>
            <w:tcW w:w="1577" w:type="dxa"/>
            <w:shd w:val="clear" w:color="auto" w:fill="auto"/>
            <w:vAlign w:val="center"/>
          </w:tcPr>
          <w:p w14:paraId="6280B721">
            <w:pPr>
              <w:pStyle w:val="37"/>
              <w:bidi w:val="0"/>
              <w:rPr>
                <w:rFonts w:hint="default"/>
                <w:lang w:val="en-US" w:eastAsia="zh-CN"/>
              </w:rPr>
            </w:pPr>
            <w:r>
              <w:rPr>
                <w:rFonts w:hint="eastAsia"/>
                <w:lang w:val="en-US" w:eastAsia="zh-CN"/>
              </w:rPr>
              <w:t>70</w:t>
            </w:r>
          </w:p>
        </w:tc>
      </w:tr>
      <w:tr w14:paraId="7D04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shd w:val="clear" w:color="auto" w:fill="auto"/>
            <w:vAlign w:val="center"/>
          </w:tcPr>
          <w:p w14:paraId="5660FDAE">
            <w:pPr>
              <w:pStyle w:val="37"/>
              <w:bidi w:val="0"/>
              <w:rPr>
                <w:rFonts w:hint="default"/>
                <w:lang w:val="en-US" w:eastAsia="zh-CN"/>
              </w:rPr>
            </w:pPr>
            <w:r>
              <w:rPr>
                <w:rFonts w:hint="eastAsia"/>
                <w:lang w:val="en-US" w:eastAsia="zh-CN"/>
              </w:rPr>
              <w:t>标准树穴（面直径×底直径×深）</w:t>
            </w:r>
          </w:p>
        </w:tc>
        <w:tc>
          <w:tcPr>
            <w:tcW w:w="1348" w:type="dxa"/>
            <w:shd w:val="clear" w:color="auto" w:fill="auto"/>
            <w:vAlign w:val="center"/>
          </w:tcPr>
          <w:p w14:paraId="22DA0E4D">
            <w:pPr>
              <w:pStyle w:val="37"/>
              <w:bidi w:val="0"/>
              <w:rPr>
                <w:rFonts w:hint="default"/>
                <w:lang w:val="en-US" w:eastAsia="zh-CN"/>
              </w:rPr>
            </w:pPr>
            <w:r>
              <w:rPr>
                <w:rFonts w:hint="eastAsia"/>
                <w:lang w:val="en-US" w:eastAsia="zh-CN"/>
              </w:rPr>
              <w:t>50×40×40</w:t>
            </w:r>
          </w:p>
        </w:tc>
        <w:tc>
          <w:tcPr>
            <w:tcW w:w="1576" w:type="dxa"/>
            <w:shd w:val="clear" w:color="auto" w:fill="auto"/>
            <w:vAlign w:val="center"/>
          </w:tcPr>
          <w:p w14:paraId="26B71CFD">
            <w:pPr>
              <w:pStyle w:val="37"/>
              <w:bidi w:val="0"/>
            </w:pPr>
            <w:r>
              <w:rPr>
                <w:rFonts w:hint="eastAsia"/>
                <w:lang w:val="en-US" w:eastAsia="zh-CN"/>
              </w:rPr>
              <w:t>60×50×50</w:t>
            </w:r>
          </w:p>
        </w:tc>
        <w:tc>
          <w:tcPr>
            <w:tcW w:w="1576" w:type="dxa"/>
            <w:shd w:val="clear" w:color="auto" w:fill="auto"/>
            <w:vAlign w:val="center"/>
          </w:tcPr>
          <w:p w14:paraId="1B31F9E2">
            <w:pPr>
              <w:pStyle w:val="37"/>
              <w:bidi w:val="0"/>
            </w:pPr>
            <w:r>
              <w:rPr>
                <w:rFonts w:hint="eastAsia"/>
                <w:lang w:val="en-US" w:eastAsia="zh-CN"/>
              </w:rPr>
              <w:t>80×60×60</w:t>
            </w:r>
          </w:p>
        </w:tc>
        <w:tc>
          <w:tcPr>
            <w:tcW w:w="1577" w:type="dxa"/>
            <w:shd w:val="clear" w:color="auto" w:fill="auto"/>
            <w:vAlign w:val="center"/>
          </w:tcPr>
          <w:p w14:paraId="4846BBFF">
            <w:pPr>
              <w:pStyle w:val="37"/>
              <w:bidi w:val="0"/>
            </w:pPr>
            <w:r>
              <w:rPr>
                <w:rFonts w:hint="eastAsia"/>
                <w:lang w:val="en-US" w:eastAsia="zh-CN"/>
              </w:rPr>
              <w:t>90×70×70</w:t>
            </w:r>
          </w:p>
        </w:tc>
        <w:tc>
          <w:tcPr>
            <w:tcW w:w="1577" w:type="dxa"/>
            <w:shd w:val="clear" w:color="auto" w:fill="auto"/>
            <w:vAlign w:val="center"/>
          </w:tcPr>
          <w:p w14:paraId="4F263F68">
            <w:pPr>
              <w:pStyle w:val="37"/>
              <w:bidi w:val="0"/>
            </w:pPr>
            <w:r>
              <w:rPr>
                <w:rFonts w:hint="eastAsia"/>
                <w:lang w:val="en-US" w:eastAsia="zh-CN"/>
              </w:rPr>
              <w:t>100×80×80</w:t>
            </w:r>
          </w:p>
        </w:tc>
      </w:tr>
    </w:tbl>
    <w:p w14:paraId="3D282252">
      <w:pPr>
        <w:bidi w:val="0"/>
      </w:pPr>
      <w:r>
        <w:t>按</w:t>
      </w:r>
      <w:r>
        <w:rPr>
          <w:rFonts w:hint="eastAsia"/>
          <w:lang w:val="en-US" w:eastAsia="zh-CN"/>
        </w:rPr>
        <w:t>以上</w:t>
      </w:r>
      <w:r>
        <w:t>设计尺寸开挖，穴壁垂直、穴底平整；遇不良土壤须换土处理，穴底铺设10~15cm厚碎石排水层。</w:t>
      </w:r>
    </w:p>
    <w:p w14:paraId="5BCD1A0A">
      <w:pPr>
        <w:bidi w:val="0"/>
      </w:pPr>
      <w:r>
        <w:t>苗木验收：甲供乔木进场时共同验收，检查品种、胸径、高度、冠幅是否符合设计要求，土球是否完整，有无病虫害、机械损伤；不合格苗木严禁栽植。</w:t>
      </w:r>
    </w:p>
    <w:p w14:paraId="621B9215">
      <w:pPr>
        <w:bidi w:val="0"/>
      </w:pPr>
      <w:r>
        <w:t>栽植施工：栽植前修剪病虫枝、损伤枝，保持冠形完整；栽植深度控制在根颈与地面齐平；回填土分层捣实，筑灌水堰，连续浇灌3次定根水。</w:t>
      </w:r>
    </w:p>
    <w:p w14:paraId="5BB823F7">
      <w:pPr>
        <w:bidi w:val="0"/>
      </w:pPr>
      <w:r>
        <w:t>附属工序：树干涂白高度1.2~1.5m，涂白剂均匀无流坠；按设计要求施防白蚁药剂；安装成品树木支撑架，整齐划一。</w:t>
      </w:r>
    </w:p>
    <w:p w14:paraId="74712E65">
      <w:pPr>
        <w:bidi w:val="0"/>
      </w:pPr>
      <w:r>
        <w:t>养护要求：养护期12个月，包含浇水、施肥、修剪、除草、病虫害防治、扶正补植等；成活率100%，死亡苗木无偿补植。</w:t>
      </w:r>
    </w:p>
    <w:p w14:paraId="3D9A8025">
      <w:pPr>
        <w:bidi w:val="0"/>
        <w:rPr>
          <w:b/>
          <w:bCs/>
        </w:rPr>
      </w:pPr>
      <w:r>
        <w:rPr>
          <w:b/>
          <w:bCs/>
        </w:rPr>
        <w:t>（三）马尼拉草种植及撒播草籽工程</w:t>
      </w:r>
    </w:p>
    <w:p w14:paraId="7833077D">
      <w:pPr>
        <w:bidi w:val="0"/>
      </w:pPr>
      <w:r>
        <w:t>场地整理：清除场地内杂草、石块、杂物；精细整地，土块粒径≤2cm；按设计调整坡度，保证排水顺畅。</w:t>
      </w:r>
    </w:p>
    <w:p w14:paraId="4DC92973">
      <w:pPr>
        <w:bidi w:val="0"/>
      </w:pPr>
      <w:r>
        <w:t>马尼拉草铺植：采用满铺方式，草块规格一致，间隙≤1cm；铺植后轻压拍实，浇透定根水；养护期内定期修剪，留茬高度3~5cm，覆盖率≥95%。</w:t>
      </w:r>
    </w:p>
    <w:p w14:paraId="3BFB0EBD">
      <w:pPr>
        <w:bidi w:val="0"/>
      </w:pPr>
      <w:r>
        <w:t>撒播草籽：播种前种子进行催芽处理，均匀撒播，覆薄土压实；出苗后及时补播稀疏区域，确保出苗均匀；养护期内保持土壤湿润，适时追肥。</w:t>
      </w:r>
    </w:p>
    <w:p w14:paraId="19E5C0C9">
      <w:pPr>
        <w:numPr>
          <w:ilvl w:val="0"/>
          <w:numId w:val="2"/>
        </w:numPr>
        <w:bidi w:val="0"/>
        <w:rPr>
          <w:b/>
          <w:bCs/>
        </w:rPr>
      </w:pPr>
      <w:r>
        <w:rPr>
          <w:b/>
          <w:bCs/>
        </w:rPr>
        <w:t>边坡挂网喷播植草工程</w:t>
      </w:r>
    </w:p>
    <w:p w14:paraId="4F8E1852">
      <w:pPr>
        <w:bidi w:val="0"/>
        <w:rPr>
          <w:rFonts w:hint="default"/>
          <w:lang w:val="en-US" w:eastAsia="zh-CN"/>
        </w:rPr>
      </w:pPr>
      <w:r>
        <w:rPr>
          <w:rFonts w:hint="eastAsia"/>
          <w:lang w:val="en-US" w:eastAsia="zh-CN"/>
        </w:rPr>
        <w:t>主要适用于新翠路CK0+244~CK0+402段道路右侧直立式挡墙上方路基防护。</w:t>
      </w:r>
    </w:p>
    <w:p w14:paraId="263EDFB2">
      <w:pPr>
        <w:bidi w:val="0"/>
      </w:pPr>
      <w:r>
        <w:t>坡面整理：清理坡面浮石、危岩，修整平顺；对凹凸部位进行找平处理。</w:t>
      </w:r>
    </w:p>
    <w:p w14:paraId="13EB83E3">
      <w:pPr>
        <w:bidi w:val="0"/>
      </w:pPr>
      <w:r>
        <w:t>挂网施工：采用过塑镀锌铁丝网（Ф2.4~2.6mm，网眼 8×10cm），用</w:t>
      </w:r>
      <w:r>
        <w:rPr>
          <w:rFonts w:hint="eastAsia" w:ascii="宋体" w:hAnsi="宋体" w:eastAsia="宋体" w:cs="宋体"/>
        </w:rPr>
        <w:t>Ø</w:t>
      </w:r>
      <w:r>
        <w:rPr>
          <w:rFonts w:hint="eastAsia" w:eastAsia="宋体"/>
          <w:lang w:val="en-US" w:eastAsia="zh-CN"/>
        </w:rPr>
        <w:t>16的</w:t>
      </w:r>
      <w:r>
        <w:t>U型钢钉固定，</w:t>
      </w:r>
      <w:r>
        <w:rPr>
          <w:rFonts w:hint="eastAsia"/>
          <w:lang w:val="en-US" w:eastAsia="zh-CN"/>
        </w:rPr>
        <w:t>U型钢钉间距为100cm×100cm，长度为1.5m，</w:t>
      </w:r>
      <w:r>
        <w:t>网片搭接宽度≥</w:t>
      </w:r>
      <w:r>
        <w:rPr>
          <w:rFonts w:hint="eastAsia"/>
          <w:lang w:val="en-US" w:eastAsia="zh-CN"/>
        </w:rPr>
        <w:t>2</w:t>
      </w:r>
      <w:r>
        <w:t>0cm，铺设紧贴坡面。</w:t>
      </w:r>
    </w:p>
    <w:p w14:paraId="2F242865">
      <w:pPr>
        <w:bidi w:val="0"/>
        <w:rPr>
          <w:rFonts w:hint="default" w:eastAsia="宋体"/>
          <w:lang w:val="en-US" w:eastAsia="zh-CN"/>
        </w:rPr>
      </w:pPr>
      <w:r>
        <w:t>喷播施工：喷播基材含种植土、有机质、保水剂、粘合剂、草灌种子等；草籽采用狗牙根、假俭草、结缕草及灌木种子混播，灌木种子占比15~20%；喷播厚度均匀，不露网、不脱落</w:t>
      </w:r>
      <w:r>
        <w:rPr>
          <w:rFonts w:hint="eastAsia"/>
          <w:lang w:eastAsia="zh-CN"/>
        </w:rPr>
        <w:t>，</w:t>
      </w:r>
      <w:r>
        <w:rPr>
          <w:rFonts w:hint="eastAsia"/>
          <w:lang w:val="en-US" w:eastAsia="zh-CN"/>
        </w:rPr>
        <w:t>喷播厚度为8cm，其中基层6cm，表层2cm含草籽。</w:t>
      </w:r>
    </w:p>
    <w:p w14:paraId="275D7E76">
      <w:pPr>
        <w:bidi w:val="0"/>
      </w:pPr>
      <w:r>
        <w:t>养护要求：喷播后覆盖无纺布保湿，出苗后揭除；养护期12个月，定期浇水、施肥、补播，成活率≥9</w:t>
      </w:r>
      <w:r>
        <w:rPr>
          <w:rFonts w:hint="eastAsia"/>
          <w:lang w:val="en-US" w:eastAsia="zh-CN"/>
        </w:rPr>
        <w:t>0</w:t>
      </w:r>
      <w:r>
        <w:t>%</w:t>
      </w:r>
      <w:r>
        <w:rPr>
          <w:rFonts w:hint="eastAsia"/>
          <w:lang w:eastAsia="zh-CN"/>
        </w:rPr>
        <w:t>，</w:t>
      </w:r>
      <w:r>
        <w:t>坡面无裸露。</w:t>
      </w:r>
    </w:p>
    <w:p w14:paraId="7F265046">
      <w:pPr>
        <w:bidi w:val="0"/>
        <w:rPr>
          <w:b/>
          <w:bCs/>
        </w:rPr>
      </w:pPr>
      <w:r>
        <w:rPr>
          <w:b/>
          <w:bCs/>
        </w:rPr>
        <w:t>（五）乔木清理工程</w:t>
      </w:r>
    </w:p>
    <w:p w14:paraId="03A9EC0F">
      <w:pPr>
        <w:bidi w:val="0"/>
      </w:pPr>
      <w:r>
        <w:t>按指定范围对需清理乔木进行伐除、截枝、挖除树蔸；采用机械配合人工施工，做好周边构筑物、管线保护。</w:t>
      </w:r>
    </w:p>
    <w:p w14:paraId="34DF9897">
      <w:pPr>
        <w:bidi w:val="0"/>
      </w:pPr>
      <w:r>
        <w:t>清理产生的枝干、树蔸、杂物全部外运弃置，场地清理干净，无残留；外运过程符合珠海市容环保要求，密闭运输，不遗洒。</w:t>
      </w:r>
    </w:p>
    <w:p w14:paraId="3BE0CAD1">
      <w:pPr>
        <w:bidi w:val="0"/>
        <w:rPr>
          <w:rFonts w:hint="eastAsia"/>
          <w:b/>
          <w:bCs/>
          <w:lang w:val="en-US" w:eastAsia="zh-CN"/>
        </w:rPr>
      </w:pPr>
      <w:r>
        <w:rPr>
          <w:rFonts w:hint="eastAsia"/>
          <w:b/>
          <w:bCs/>
          <w:lang w:val="en-US" w:eastAsia="zh-CN"/>
        </w:rPr>
        <w:t>（六）垃圾箱</w:t>
      </w:r>
    </w:p>
    <w:p w14:paraId="0C522A83">
      <w:pPr>
        <w:rPr>
          <w:rFonts w:hint="eastAsia"/>
          <w:lang w:val="en-US" w:eastAsia="zh-CN"/>
        </w:rPr>
      </w:pPr>
      <w:r>
        <w:rPr>
          <w:rFonts w:hint="eastAsia"/>
          <w:lang w:val="en-US" w:eastAsia="zh-CN"/>
        </w:rPr>
        <w:t>市政道路成品垃圾箱、间距80米布置,沿道路两侧以及公交站附近设置。垃圾箱应设置回收物和其他垃圾收集容器,图纸样式可做参考，最终样式由甲方确定。垃圾箱外侧与路缘石保持30cm距离安装。</w:t>
      </w:r>
    </w:p>
    <w:p w14:paraId="5079C632">
      <w:pPr>
        <w:bidi w:val="0"/>
        <w:rPr>
          <w:b/>
          <w:bCs/>
        </w:rPr>
      </w:pPr>
      <w:r>
        <w:rPr>
          <w:b/>
          <w:bCs/>
        </w:rPr>
        <w:t>五、验收标准</w:t>
      </w:r>
    </w:p>
    <w:p w14:paraId="21C81B45">
      <w:pPr>
        <w:bidi w:val="0"/>
      </w:pPr>
      <w:r>
        <w:rPr>
          <w:rFonts w:hint="eastAsia"/>
          <w:lang w:val="en-US" w:eastAsia="zh-CN"/>
        </w:rPr>
        <w:t>1、</w:t>
      </w:r>
      <w:r>
        <w:rPr>
          <w:lang w:val="en-US" w:eastAsia="zh-CN"/>
        </w:rPr>
        <w:t>执行规范</w:t>
      </w:r>
    </w:p>
    <w:p w14:paraId="0719A84D">
      <w:pPr>
        <w:bidi w:val="0"/>
      </w:pPr>
      <w:r>
        <w:t>《园林绿化工程施工及验收规范》CJJ 82-2012</w:t>
      </w:r>
    </w:p>
    <w:p w14:paraId="1F8F65A1">
      <w:pPr>
        <w:bidi w:val="0"/>
      </w:pPr>
      <w:r>
        <w:t>《珠海市园林绿化工程验收技术指南》</w:t>
      </w:r>
      <w:r>
        <w:rPr>
          <w:rFonts w:hint="eastAsia"/>
          <w:lang w:eastAsia="zh-CN"/>
        </w:rPr>
        <w:t>（</w:t>
      </w:r>
      <w:r>
        <w:t>2024版）</w:t>
      </w:r>
    </w:p>
    <w:p w14:paraId="3717DA07">
      <w:pPr>
        <w:bidi w:val="0"/>
      </w:pPr>
      <w:r>
        <w:t>《城市绿化工程施工及验收规范</w:t>
      </w:r>
      <w:r>
        <w:rPr>
          <w:rFonts w:hint="eastAsia"/>
          <w:lang w:eastAsia="zh-CN"/>
        </w:rPr>
        <w:t>》</w:t>
      </w:r>
      <w:r>
        <w:t>及广东省、珠海市相关地方标准</w:t>
      </w:r>
    </w:p>
    <w:p w14:paraId="39DCDA3B">
      <w:pPr>
        <w:bidi w:val="0"/>
      </w:pPr>
      <w:r>
        <w:rPr>
          <w:rFonts w:hint="eastAsia"/>
          <w:lang w:val="en-US" w:eastAsia="zh-CN"/>
        </w:rPr>
        <w:t>2、</w:t>
      </w:r>
      <w:r>
        <w:t>设计图纸、招标文件及甲方相关技术要求</w:t>
      </w:r>
    </w:p>
    <w:p w14:paraId="7835CFF5">
      <w:pPr>
        <w:bidi w:val="0"/>
      </w:pPr>
      <w:r>
        <w:rPr>
          <w:rFonts w:hint="eastAsia"/>
          <w:lang w:val="en-US" w:eastAsia="zh-CN"/>
        </w:rPr>
        <w:t>3、</w:t>
      </w:r>
      <w:r>
        <w:rPr>
          <w:lang w:val="en-US" w:eastAsia="zh-CN"/>
        </w:rPr>
        <w:t>分项验收标准</w:t>
      </w:r>
    </w:p>
    <w:p w14:paraId="52189B3D">
      <w:pPr>
        <w:bidi w:val="0"/>
      </w:pPr>
      <w:r>
        <w:rPr>
          <w:rFonts w:hint="eastAsia"/>
          <w:lang w:val="en-US" w:eastAsia="zh-CN"/>
        </w:rPr>
        <w:t>1）</w:t>
      </w:r>
      <w:r>
        <w:t>苗木迁移/种植：品种、规格符合设计；乔木成活率 100%；生长势良好，无明显病虫害；支撑牢固整齐，涂白均匀；栽植位置偏差≤5cm。</w:t>
      </w:r>
    </w:p>
    <w:p w14:paraId="12BDAA25">
      <w:pPr>
        <w:bidi w:val="0"/>
      </w:pPr>
      <w:r>
        <w:rPr>
          <w:rFonts w:hint="eastAsia"/>
          <w:lang w:val="en-US" w:eastAsia="zh-CN"/>
        </w:rPr>
        <w:t>2）</w:t>
      </w:r>
      <w:r>
        <w:t>草坪草籽：覆盖率≥95%，杂草率≤5%；生长均匀，颜色正常，无大面积枯黄、斑秃。</w:t>
      </w:r>
    </w:p>
    <w:p w14:paraId="06A71E75">
      <w:pPr>
        <w:bidi w:val="0"/>
      </w:pPr>
      <w:r>
        <w:rPr>
          <w:rFonts w:hint="eastAsia"/>
          <w:lang w:val="en-US" w:eastAsia="zh-CN"/>
        </w:rPr>
        <w:t>3）</w:t>
      </w:r>
      <w:r>
        <w:t>边坡喷播：喷播层稳定不脱落；出苗均匀，成活率≥95%；灌木配比符合要求，坡面绿化效果完整。</w:t>
      </w:r>
    </w:p>
    <w:p w14:paraId="4ECB6945">
      <w:pPr>
        <w:bidi w:val="0"/>
      </w:pPr>
      <w:r>
        <w:rPr>
          <w:rFonts w:hint="eastAsia"/>
          <w:lang w:val="en-US" w:eastAsia="zh-CN"/>
        </w:rPr>
        <w:t>4）</w:t>
      </w:r>
      <w:r>
        <w:t>附属设施：垃圾箱安装牢固、位置准确；支撑、井盖等附属设施符合设计及观感要求。</w:t>
      </w:r>
    </w:p>
    <w:p w14:paraId="4D1DD854">
      <w:pPr>
        <w:bidi w:val="0"/>
      </w:pPr>
      <w:r>
        <w:rPr>
          <w:rFonts w:hint="eastAsia"/>
          <w:lang w:val="en-US" w:eastAsia="zh-CN"/>
        </w:rPr>
        <w:t>4、</w:t>
      </w:r>
      <w:r>
        <w:rPr>
          <w:lang w:val="en-US" w:eastAsia="zh-CN"/>
        </w:rPr>
        <w:t>最终移交验收</w:t>
      </w:r>
    </w:p>
    <w:p w14:paraId="2B3CF5C4">
      <w:pPr>
        <w:bidi w:val="0"/>
      </w:pPr>
      <w:r>
        <w:t>养护期满后，由建设单位组织，香洲区城管局/园林中心参与进行移交验收；</w:t>
      </w:r>
    </w:p>
    <w:p w14:paraId="0A1248AB">
      <w:pPr>
        <w:bidi w:val="0"/>
      </w:pPr>
      <w:r>
        <w:t>验收合格后办理移交手续，移交资料须符合香洲区园林绿化管养移交标准；</w:t>
      </w:r>
    </w:p>
    <w:p w14:paraId="39143F8D">
      <w:pPr>
        <w:bidi w:val="0"/>
      </w:pPr>
      <w:r>
        <w:t>景观效果评价达到合格及以上等级，不合格须限期整改直至达标珠海市住房和城乡建设局。</w:t>
      </w:r>
    </w:p>
    <w:p w14:paraId="2D1B7519">
      <w:pPr>
        <w:bidi w:val="0"/>
        <w:rPr>
          <w:b/>
          <w:bCs/>
        </w:rPr>
      </w:pPr>
      <w:r>
        <w:rPr>
          <w:b/>
          <w:bCs/>
        </w:rPr>
        <w:t>六、影像资料留存要求</w:t>
      </w:r>
    </w:p>
    <w:p w14:paraId="152123CD">
      <w:pPr>
        <w:bidi w:val="0"/>
        <w:rPr>
          <w:b/>
          <w:bCs/>
        </w:rPr>
      </w:pPr>
      <w:r>
        <w:rPr>
          <w:b/>
          <w:bCs/>
        </w:rPr>
        <w:t>（一）通用要求</w:t>
      </w:r>
    </w:p>
    <w:p w14:paraId="78864AAB">
      <w:pPr>
        <w:bidi w:val="0"/>
      </w:pPr>
      <w:r>
        <w:t>采用带水印功能相机拍摄，照片自动显示拍摄时间、经纬度位置、工程部位、拍摄内容，单张照片分辨率≥500万像素，文件大小≥500KB，格式为JPEG/PNG珠海市住房和城乡建设局。</w:t>
      </w:r>
    </w:p>
    <w:p w14:paraId="5CD021D4">
      <w:pPr>
        <w:bidi w:val="0"/>
      </w:pPr>
      <w:r>
        <w:t>影像资料须与施工进度同步形成，真实反映现场实际，严禁补拍、摆拍；重要工序、隐蔽工程须留存远景、中景、近景及细部特写照片。</w:t>
      </w:r>
    </w:p>
    <w:p w14:paraId="2138A140">
      <w:pPr>
        <w:bidi w:val="0"/>
      </w:pPr>
      <w:r>
        <w:t>所有影像资料按 “道路名称 — 工序名称 — 部位桩号 — 拍摄日期” 分类命名归档，建立影像台账，与施工资料一一对应。</w:t>
      </w:r>
    </w:p>
    <w:p w14:paraId="69B7DDD6">
      <w:pPr>
        <w:numPr>
          <w:ilvl w:val="0"/>
          <w:numId w:val="3"/>
        </w:numPr>
        <w:bidi w:val="0"/>
        <w:rPr>
          <w:b/>
          <w:bCs/>
        </w:rPr>
      </w:pPr>
      <w:r>
        <w:rPr>
          <w:b/>
          <w:bCs/>
        </w:rPr>
        <w:t>各工序必拍节点</w:t>
      </w:r>
    </w:p>
    <w:tbl>
      <w:tblPr>
        <w:tblStyle w:val="16"/>
        <w:tblW w:w="9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116"/>
        <w:gridCol w:w="3773"/>
      </w:tblGrid>
      <w:tr w14:paraId="1514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167140EA">
            <w:pPr>
              <w:pStyle w:val="37"/>
              <w:bidi w:val="0"/>
              <w:rPr>
                <w:lang w:val="en-US" w:eastAsia="zh-CN"/>
              </w:rPr>
            </w:pPr>
            <w:r>
              <w:rPr>
                <w:lang w:val="en-US" w:eastAsia="zh-CN"/>
              </w:rPr>
              <w:t>工序名称</w:t>
            </w:r>
          </w:p>
        </w:tc>
        <w:tc>
          <w:tcPr>
            <w:tcW w:w="4116" w:type="dxa"/>
            <w:shd w:val="clear" w:color="auto" w:fill="auto"/>
            <w:vAlign w:val="center"/>
          </w:tcPr>
          <w:p w14:paraId="6CE17404">
            <w:pPr>
              <w:pStyle w:val="37"/>
              <w:bidi w:val="0"/>
              <w:rPr>
                <w:lang w:val="en-US" w:eastAsia="zh-CN"/>
              </w:rPr>
            </w:pPr>
            <w:r>
              <w:rPr>
                <w:lang w:val="en-US" w:eastAsia="zh-CN"/>
              </w:rPr>
              <w:t>拍摄节点</w:t>
            </w:r>
          </w:p>
        </w:tc>
        <w:tc>
          <w:tcPr>
            <w:tcW w:w="3773" w:type="dxa"/>
            <w:shd w:val="clear" w:color="auto" w:fill="auto"/>
            <w:vAlign w:val="center"/>
          </w:tcPr>
          <w:p w14:paraId="07A75FE4">
            <w:pPr>
              <w:pStyle w:val="37"/>
              <w:bidi w:val="0"/>
              <w:rPr>
                <w:lang w:val="en-US" w:eastAsia="zh-CN"/>
              </w:rPr>
            </w:pPr>
            <w:r>
              <w:rPr>
                <w:lang w:val="en-US" w:eastAsia="zh-CN"/>
              </w:rPr>
              <w:t>影像核心内容</w:t>
            </w:r>
          </w:p>
        </w:tc>
      </w:tr>
      <w:tr w14:paraId="75F5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2043982E">
            <w:pPr>
              <w:pStyle w:val="37"/>
              <w:bidi w:val="0"/>
              <w:rPr>
                <w:lang w:val="en-US" w:eastAsia="zh-CN"/>
              </w:rPr>
            </w:pPr>
            <w:r>
              <w:rPr>
                <w:lang w:val="en-US" w:eastAsia="zh-CN"/>
              </w:rPr>
              <w:t>苗木迁移</w:t>
            </w:r>
          </w:p>
        </w:tc>
        <w:tc>
          <w:tcPr>
            <w:tcW w:w="4116" w:type="dxa"/>
            <w:shd w:val="clear" w:color="auto" w:fill="auto"/>
            <w:vAlign w:val="center"/>
          </w:tcPr>
          <w:p w14:paraId="30D3FEE2">
            <w:pPr>
              <w:pStyle w:val="38"/>
              <w:bidi w:val="0"/>
              <w:jc w:val="center"/>
              <w:rPr>
                <w:lang w:val="en-US" w:eastAsia="zh-CN"/>
              </w:rPr>
            </w:pPr>
            <w:r>
              <w:rPr>
                <w:lang w:val="en-US" w:eastAsia="zh-CN"/>
              </w:rPr>
              <w:t>①迁移前原貌；②起苗土球；③吊装运输；④定植完成；⑤支撑安装</w:t>
            </w:r>
          </w:p>
        </w:tc>
        <w:tc>
          <w:tcPr>
            <w:tcW w:w="3773" w:type="dxa"/>
            <w:shd w:val="clear" w:color="auto" w:fill="auto"/>
            <w:vAlign w:val="center"/>
          </w:tcPr>
          <w:p w14:paraId="6FE6A69F">
            <w:pPr>
              <w:pStyle w:val="38"/>
              <w:bidi w:val="0"/>
              <w:jc w:val="center"/>
              <w:rPr>
                <w:lang w:val="en-US" w:eastAsia="zh-CN"/>
              </w:rPr>
            </w:pPr>
            <w:r>
              <w:rPr>
                <w:lang w:val="en-US" w:eastAsia="zh-CN"/>
              </w:rPr>
              <w:t>原貌全景、土球尺寸特写、苗木标识牌、支撑整体效果、验收人员同框</w:t>
            </w:r>
          </w:p>
        </w:tc>
      </w:tr>
      <w:tr w14:paraId="0C6D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5226D314">
            <w:pPr>
              <w:pStyle w:val="37"/>
              <w:bidi w:val="0"/>
              <w:rPr>
                <w:lang w:val="en-US" w:eastAsia="zh-CN"/>
              </w:rPr>
            </w:pPr>
            <w:r>
              <w:rPr>
                <w:lang w:val="en-US" w:eastAsia="zh-CN"/>
              </w:rPr>
              <w:t>行道树种植</w:t>
            </w:r>
          </w:p>
        </w:tc>
        <w:tc>
          <w:tcPr>
            <w:tcW w:w="4116" w:type="dxa"/>
            <w:shd w:val="clear" w:color="auto" w:fill="auto"/>
            <w:vAlign w:val="center"/>
          </w:tcPr>
          <w:p w14:paraId="06918363">
            <w:pPr>
              <w:pStyle w:val="38"/>
              <w:bidi w:val="0"/>
              <w:jc w:val="center"/>
              <w:rPr>
                <w:lang w:val="en-US" w:eastAsia="zh-CN"/>
              </w:rPr>
            </w:pPr>
            <w:r>
              <w:rPr>
                <w:lang w:val="en-US" w:eastAsia="zh-CN"/>
              </w:rPr>
              <w:t>①种植穴开挖；②种植土回填；③苗木进场验收；④栽植完成；⑤支撑涂白</w:t>
            </w:r>
          </w:p>
        </w:tc>
        <w:tc>
          <w:tcPr>
            <w:tcW w:w="3773" w:type="dxa"/>
            <w:shd w:val="clear" w:color="auto" w:fill="auto"/>
            <w:vAlign w:val="center"/>
          </w:tcPr>
          <w:p w14:paraId="49A1CEB4">
            <w:pPr>
              <w:pStyle w:val="38"/>
              <w:bidi w:val="0"/>
              <w:jc w:val="center"/>
              <w:rPr>
                <w:lang w:val="en-US" w:eastAsia="zh-CN"/>
              </w:rPr>
            </w:pPr>
            <w:r>
              <w:rPr>
                <w:lang w:val="en-US" w:eastAsia="zh-CN"/>
              </w:rPr>
              <w:t>穴尺寸量测、土球规格、苗木胸径量测、栽植深度控制、成品全景</w:t>
            </w:r>
          </w:p>
        </w:tc>
      </w:tr>
      <w:tr w14:paraId="6124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214E26AE">
            <w:pPr>
              <w:pStyle w:val="37"/>
              <w:bidi w:val="0"/>
              <w:rPr>
                <w:lang w:val="en-US" w:eastAsia="zh-CN"/>
              </w:rPr>
            </w:pPr>
            <w:r>
              <w:rPr>
                <w:lang w:val="en-US" w:eastAsia="zh-CN"/>
              </w:rPr>
              <w:t>草坪 / 草籽</w:t>
            </w:r>
          </w:p>
        </w:tc>
        <w:tc>
          <w:tcPr>
            <w:tcW w:w="4116" w:type="dxa"/>
            <w:shd w:val="clear" w:color="auto" w:fill="auto"/>
            <w:vAlign w:val="center"/>
          </w:tcPr>
          <w:p w14:paraId="5056D8F5">
            <w:pPr>
              <w:pStyle w:val="38"/>
              <w:bidi w:val="0"/>
              <w:jc w:val="center"/>
              <w:rPr>
                <w:lang w:val="en-US" w:eastAsia="zh-CN"/>
              </w:rPr>
            </w:pPr>
            <w:r>
              <w:rPr>
                <w:lang w:val="en-US" w:eastAsia="zh-CN"/>
              </w:rPr>
              <w:t>①场地整理完成；②铺植 / 播种过程；③成坪效果</w:t>
            </w:r>
          </w:p>
        </w:tc>
        <w:tc>
          <w:tcPr>
            <w:tcW w:w="3773" w:type="dxa"/>
            <w:shd w:val="clear" w:color="auto" w:fill="auto"/>
            <w:vAlign w:val="center"/>
          </w:tcPr>
          <w:p w14:paraId="1F33E1EB">
            <w:pPr>
              <w:pStyle w:val="38"/>
              <w:bidi w:val="0"/>
              <w:jc w:val="center"/>
              <w:rPr>
                <w:lang w:val="en-US" w:eastAsia="zh-CN"/>
              </w:rPr>
            </w:pPr>
            <w:r>
              <w:rPr>
                <w:lang w:val="en-US" w:eastAsia="zh-CN"/>
              </w:rPr>
              <w:t>场地平整度、草块接缝、出苗情况、覆盖率效果</w:t>
            </w:r>
          </w:p>
        </w:tc>
      </w:tr>
      <w:tr w14:paraId="4CAF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7BC292A0">
            <w:pPr>
              <w:pStyle w:val="37"/>
              <w:bidi w:val="0"/>
              <w:rPr>
                <w:lang w:val="en-US" w:eastAsia="zh-CN"/>
              </w:rPr>
            </w:pPr>
            <w:r>
              <w:rPr>
                <w:lang w:val="en-US" w:eastAsia="zh-CN"/>
              </w:rPr>
              <w:t>边坡喷播</w:t>
            </w:r>
          </w:p>
        </w:tc>
        <w:tc>
          <w:tcPr>
            <w:tcW w:w="4116" w:type="dxa"/>
            <w:shd w:val="clear" w:color="auto" w:fill="auto"/>
            <w:vAlign w:val="center"/>
          </w:tcPr>
          <w:p w14:paraId="454276A8">
            <w:pPr>
              <w:pStyle w:val="38"/>
              <w:bidi w:val="0"/>
              <w:jc w:val="center"/>
              <w:rPr>
                <w:lang w:val="en-US" w:eastAsia="zh-CN"/>
              </w:rPr>
            </w:pPr>
            <w:r>
              <w:rPr>
                <w:lang w:val="en-US" w:eastAsia="zh-CN"/>
              </w:rPr>
              <w:t>①坡面清理；②挂网固定；③喷播施工；④出苗效果</w:t>
            </w:r>
          </w:p>
        </w:tc>
        <w:tc>
          <w:tcPr>
            <w:tcW w:w="3773" w:type="dxa"/>
            <w:shd w:val="clear" w:color="auto" w:fill="auto"/>
            <w:vAlign w:val="center"/>
          </w:tcPr>
          <w:p w14:paraId="54830093">
            <w:pPr>
              <w:pStyle w:val="38"/>
              <w:bidi w:val="0"/>
              <w:jc w:val="center"/>
              <w:rPr>
                <w:lang w:val="en-US" w:eastAsia="zh-CN"/>
              </w:rPr>
            </w:pPr>
            <w:r>
              <w:rPr>
                <w:lang w:val="en-US" w:eastAsia="zh-CN"/>
              </w:rPr>
              <w:t>网片搭接、U 钉固定、喷播厚度、坡面绿化全景</w:t>
            </w:r>
          </w:p>
        </w:tc>
      </w:tr>
      <w:tr w14:paraId="6B10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22844BFF">
            <w:pPr>
              <w:pStyle w:val="37"/>
              <w:bidi w:val="0"/>
              <w:rPr>
                <w:lang w:val="en-US" w:eastAsia="zh-CN"/>
              </w:rPr>
            </w:pPr>
            <w:r>
              <w:rPr>
                <w:lang w:val="en-US" w:eastAsia="zh-CN"/>
              </w:rPr>
              <w:t>乔木清理</w:t>
            </w:r>
          </w:p>
        </w:tc>
        <w:tc>
          <w:tcPr>
            <w:tcW w:w="4116" w:type="dxa"/>
            <w:shd w:val="clear" w:color="auto" w:fill="auto"/>
            <w:vAlign w:val="center"/>
          </w:tcPr>
          <w:p w14:paraId="44230976">
            <w:pPr>
              <w:pStyle w:val="38"/>
              <w:bidi w:val="0"/>
              <w:jc w:val="center"/>
              <w:rPr>
                <w:lang w:val="en-US" w:eastAsia="zh-CN"/>
              </w:rPr>
            </w:pPr>
            <w:r>
              <w:rPr>
                <w:lang w:val="en-US" w:eastAsia="zh-CN"/>
              </w:rPr>
              <w:t>①清理前原貌；②伐除过程；③场地清理后</w:t>
            </w:r>
          </w:p>
        </w:tc>
        <w:tc>
          <w:tcPr>
            <w:tcW w:w="3773" w:type="dxa"/>
            <w:shd w:val="clear" w:color="auto" w:fill="auto"/>
            <w:vAlign w:val="center"/>
          </w:tcPr>
          <w:p w14:paraId="600860E5">
            <w:pPr>
              <w:pStyle w:val="38"/>
              <w:bidi w:val="0"/>
              <w:jc w:val="center"/>
              <w:rPr>
                <w:lang w:val="en-US" w:eastAsia="zh-CN"/>
              </w:rPr>
            </w:pPr>
            <w:r>
              <w:rPr>
                <w:lang w:val="en-US" w:eastAsia="zh-CN"/>
              </w:rPr>
              <w:t>原地貌全景、伐除作业、场地清空后全景</w:t>
            </w:r>
          </w:p>
        </w:tc>
      </w:tr>
      <w:tr w14:paraId="6D4A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vAlign w:val="center"/>
          </w:tcPr>
          <w:p w14:paraId="343940CC">
            <w:pPr>
              <w:pStyle w:val="37"/>
              <w:bidi w:val="0"/>
              <w:rPr>
                <w:lang w:val="en-US" w:eastAsia="zh-CN"/>
              </w:rPr>
            </w:pPr>
            <w:r>
              <w:rPr>
                <w:lang w:val="en-US" w:eastAsia="zh-CN"/>
              </w:rPr>
              <w:t>养护过程</w:t>
            </w:r>
          </w:p>
        </w:tc>
        <w:tc>
          <w:tcPr>
            <w:tcW w:w="4116" w:type="dxa"/>
            <w:shd w:val="clear" w:color="auto" w:fill="auto"/>
            <w:vAlign w:val="center"/>
          </w:tcPr>
          <w:p w14:paraId="358EF8FC">
            <w:pPr>
              <w:pStyle w:val="38"/>
              <w:bidi w:val="0"/>
              <w:jc w:val="center"/>
              <w:rPr>
                <w:lang w:val="en-US" w:eastAsia="zh-CN"/>
              </w:rPr>
            </w:pPr>
            <w:r>
              <w:rPr>
                <w:lang w:val="en-US" w:eastAsia="zh-CN"/>
              </w:rPr>
              <w:t>每月至少 1 次全景记录；病虫害防治、修剪、施肥、浇水等关键作业</w:t>
            </w:r>
          </w:p>
        </w:tc>
        <w:tc>
          <w:tcPr>
            <w:tcW w:w="3773" w:type="dxa"/>
            <w:shd w:val="clear" w:color="auto" w:fill="auto"/>
            <w:vAlign w:val="center"/>
          </w:tcPr>
          <w:p w14:paraId="0E153FC9">
            <w:pPr>
              <w:pStyle w:val="38"/>
              <w:bidi w:val="0"/>
              <w:jc w:val="center"/>
              <w:rPr>
                <w:lang w:val="en-US" w:eastAsia="zh-CN"/>
              </w:rPr>
            </w:pPr>
            <w:r>
              <w:rPr>
                <w:lang w:val="en-US" w:eastAsia="zh-CN"/>
              </w:rPr>
              <w:t>养护作业过程、苗木生长状态、补植前后对比</w:t>
            </w:r>
          </w:p>
        </w:tc>
      </w:tr>
    </w:tbl>
    <w:p w14:paraId="5E758877">
      <w:pPr>
        <w:bidi w:val="0"/>
        <w:rPr>
          <w:b/>
          <w:bCs/>
        </w:rPr>
      </w:pPr>
      <w:r>
        <w:rPr>
          <w:b/>
          <w:bCs/>
        </w:rPr>
        <w:t>（三）归档要求</w:t>
      </w:r>
    </w:p>
    <w:p w14:paraId="13471EA6">
      <w:pPr>
        <w:bidi w:val="0"/>
      </w:pPr>
      <w:r>
        <w:rPr>
          <w:lang w:val="en-US" w:eastAsia="zh-CN"/>
        </w:rPr>
        <w:t>影像资料须同时满足珠海市城建档案馆声像档案归档标准，竣工时随竣工资料一并移交电子版本及对应纸质说明目录，作为验收及移交城管局的必备资料珠海市住房和城乡建设局。</w:t>
      </w:r>
    </w:p>
    <w:p w14:paraId="12C38868">
      <w:pPr>
        <w:numPr>
          <w:ilvl w:val="0"/>
          <w:numId w:val="4"/>
        </w:numPr>
        <w:bidi w:val="0"/>
        <w:rPr>
          <w:b/>
          <w:bCs/>
        </w:rPr>
      </w:pPr>
      <w:r>
        <w:rPr>
          <w:b/>
          <w:bCs/>
        </w:rPr>
        <w:t>施工过程资料编制要求</w:t>
      </w:r>
    </w:p>
    <w:p w14:paraId="37840BD9">
      <w:pPr>
        <w:numPr>
          <w:ilvl w:val="0"/>
          <w:numId w:val="0"/>
        </w:numPr>
        <w:bidi w:val="0"/>
        <w:ind w:firstLine="241" w:firstLineChars="100"/>
        <w:rPr>
          <w:b/>
          <w:bCs/>
        </w:rPr>
      </w:pPr>
      <w:r>
        <w:rPr>
          <w:b/>
          <w:bCs/>
        </w:rPr>
        <w:t>（一）资料编制原则</w:t>
      </w:r>
    </w:p>
    <w:p w14:paraId="376B57C4">
      <w:pPr>
        <w:bidi w:val="0"/>
      </w:pPr>
      <w:r>
        <w:t>资料编制须符合《珠海市市政工程档案验收归档指南》及DB4404/T 75—2025《建设工程档案归档规范》要求，做到真实、完整、准确、可追溯珠海市住房和城乡建设局。</w:t>
      </w:r>
    </w:p>
    <w:p w14:paraId="08F934C9">
      <w:pPr>
        <w:bidi w:val="0"/>
      </w:pPr>
      <w:r>
        <w:t>所有资料随施工进度同步整理，签字盖章齐全；竣工后15个日历天内提交完整竣工资料两套（纸质 + 电子），配合总包完成归档及移交。</w:t>
      </w:r>
    </w:p>
    <w:p w14:paraId="11263EBD">
      <w:pPr>
        <w:bidi w:val="0"/>
        <w:rPr>
          <w:b/>
          <w:bCs/>
        </w:rPr>
      </w:pPr>
      <w:r>
        <w:rPr>
          <w:b/>
          <w:bCs/>
        </w:rPr>
        <w:t>（二）主要资料内容</w:t>
      </w:r>
    </w:p>
    <w:p w14:paraId="313A013F">
      <w:pPr>
        <w:bidi w:val="0"/>
      </w:pPr>
      <w:r>
        <w:t>施工管理资料：施工组织设计、专项方案、技术交底、开工报告、施工日志、人员资质证书、苗木进场验收记录、材料质量证明文件。</w:t>
      </w:r>
    </w:p>
    <w:p w14:paraId="748CBF0B">
      <w:pPr>
        <w:bidi w:val="0"/>
      </w:pPr>
      <w:r>
        <w:t>质量控制资料：种植土检测报告、苗木检疫证明、隐蔽工程验收记录（种植穴、基肥、排水层等）、各分项工程检验批验收记录、养护记录台账。</w:t>
      </w:r>
    </w:p>
    <w:p w14:paraId="5EEB6A13">
      <w:pPr>
        <w:bidi w:val="0"/>
      </w:pPr>
      <w:r>
        <w:t>验收及移交资料：分项/分部工程验收记录、竣工验收报告、养护期满移交验收记录、苗木成活率核查表、工程量确认单、设计变更及现场签证。</w:t>
      </w:r>
    </w:p>
    <w:p w14:paraId="32472AF1">
      <w:pPr>
        <w:bidi w:val="0"/>
      </w:pPr>
      <w:r>
        <w:t>竣工图：按实际施工情况绘制绿化竣工图，标注苗木品种、规格、数量、位置，加盖竣工图章，与现场一致。</w:t>
      </w:r>
    </w:p>
    <w:p w14:paraId="517B1758">
      <w:pPr>
        <w:bidi w:val="0"/>
      </w:pPr>
      <w:r>
        <w:t>影像资料：按前述要求整理成册，附拍摄说明目录。</w:t>
      </w:r>
    </w:p>
    <w:p w14:paraId="33F2F72B">
      <w:pPr>
        <w:bidi w:val="0"/>
        <w:rPr>
          <w:b/>
          <w:bCs/>
        </w:rPr>
      </w:pPr>
      <w:r>
        <w:rPr>
          <w:b/>
          <w:bCs/>
        </w:rPr>
        <w:t>（三）移交专项资料</w:t>
      </w:r>
    </w:p>
    <w:p w14:paraId="01585781">
      <w:pPr>
        <w:bidi w:val="0"/>
      </w:pPr>
      <w:r>
        <w:rPr>
          <w:lang w:val="en-US" w:eastAsia="zh-CN"/>
        </w:rPr>
        <w:t>最终移交香洲区城管局/园林中心时，须额外提交管养移交说明书、苗木清单（含品种、规格、数量、位置）、养护总结报告、病虫害防治记录等，满足管养单位接收标准。</w:t>
      </w:r>
    </w:p>
    <w:p w14:paraId="5BA1A731">
      <w:pPr>
        <w:bidi w:val="0"/>
        <w:rPr>
          <w:b/>
          <w:bCs/>
        </w:rPr>
      </w:pPr>
      <w:r>
        <w:rPr>
          <w:b/>
          <w:bCs/>
        </w:rPr>
        <w:t>八、人员及管理要求</w:t>
      </w:r>
    </w:p>
    <w:p w14:paraId="21FA9969">
      <w:pPr>
        <w:bidi w:val="0"/>
      </w:pPr>
      <w:r>
        <w:t>投标单位须配备至少1名绿化施工员、1名资料员、1名专职安全员，养护期配备固定养护班组。</w:t>
      </w:r>
    </w:p>
    <w:p w14:paraId="6A116F97">
      <w:pPr>
        <w:bidi w:val="0"/>
      </w:pPr>
      <w:r>
        <w:t>特种作业人员（</w:t>
      </w:r>
      <w:r>
        <w:rPr>
          <w:rFonts w:hint="eastAsia"/>
          <w:lang w:val="en-US" w:eastAsia="zh-CN"/>
        </w:rPr>
        <w:t>如</w:t>
      </w:r>
      <w:r>
        <w:t>起重工</w:t>
      </w:r>
      <w:r>
        <w:rPr>
          <w:rFonts w:hint="eastAsia"/>
          <w:lang w:eastAsia="zh-CN"/>
        </w:rPr>
        <w:t>、</w:t>
      </w:r>
      <w:r>
        <w:rPr>
          <w:rFonts w:hint="eastAsia"/>
          <w:lang w:val="en-US" w:eastAsia="zh-CN"/>
        </w:rPr>
        <w:t>焊工</w:t>
      </w:r>
      <w:r>
        <w:t>等）须持证上岗，证件在有效期内。</w:t>
      </w:r>
    </w:p>
    <w:p w14:paraId="464FAB65">
      <w:pPr>
        <w:bidi w:val="0"/>
      </w:pPr>
      <w:r>
        <w:t>所有人员进场前接受安全教育及技术交底，严格遵守施工现场各项管理规定。</w:t>
      </w:r>
    </w:p>
    <w:p w14:paraId="1492AEE9">
      <w:pPr>
        <w:bidi w:val="0"/>
        <w:rPr>
          <w:b/>
          <w:bCs/>
        </w:rPr>
      </w:pPr>
      <w:r>
        <w:rPr>
          <w:b/>
          <w:bCs/>
        </w:rPr>
        <w:t>九、其他要求</w:t>
      </w:r>
    </w:p>
    <w:p w14:paraId="744EA4D3">
      <w:pPr>
        <w:bidi w:val="0"/>
      </w:pPr>
      <w:r>
        <w:t>严格遵守珠海市及香洲区文明施工、扬尘防治相关规定，施工场地做到工完场清。</w:t>
      </w:r>
    </w:p>
    <w:p w14:paraId="2B907DCA">
      <w:pPr>
        <w:bidi w:val="0"/>
      </w:pPr>
      <w:r>
        <w:t>迁移及种植施工须避让现有管线、构筑物，造成损坏由投标单位无偿修复。</w:t>
      </w:r>
    </w:p>
    <w:p w14:paraId="3ED94054">
      <w:pPr>
        <w:bidi w:val="0"/>
      </w:pPr>
      <w:r>
        <w:t>养护期内如遇台风、暴雨等极端天气，须及时采取加固、排涝等防护措施，灾后及时扶整、补植。</w:t>
      </w:r>
    </w:p>
    <w:p w14:paraId="65D80724">
      <w:pPr>
        <w:bidi w:val="0"/>
      </w:pPr>
      <w:r>
        <w:t>苗木迁移成活率 100% 为硬性指标，未达标部分除无偿补植外，承担相应违约责任。</w:t>
      </w:r>
    </w:p>
    <w:p w14:paraId="5D7B1595">
      <w:pPr>
        <w:bidi w:val="0"/>
        <w:rPr>
          <w:rFonts w:hint="eastAsia"/>
          <w:lang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247" w:right="1247" w:bottom="1247" w:left="1247" w:header="680" w:footer="680" w:gutter="17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CA808">
    <w:pPr>
      <w:pStyle w:val="11"/>
      <w:spacing w:line="200" w:lineRule="exact"/>
      <w:ind w:firstLine="0" w:firstLineChars="0"/>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AC65F">
                          <w:pPr>
                            <w:pStyle w:val="11"/>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EAC65F">
                    <w:pPr>
                      <w:pStyle w:val="11"/>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FF77E">
    <w:pPr>
      <w:pStyle w:val="11"/>
      <w:ind w:firstLine="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B8B23">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FB8B23">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p w14:paraId="10F268CB">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4ECD2">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F977C">
    <w:pPr>
      <w:pStyle w:val="12"/>
      <w:rPr>
        <w:rFonts w:hint="default" w:eastAsia="宋体"/>
        <w:lang w:val="en-US" w:eastAsia="zh-CN"/>
      </w:rPr>
    </w:pPr>
    <w:r>
      <w:rPr>
        <w:rFonts w:hint="eastAsia"/>
        <w:b/>
        <w:bCs/>
        <w:sz w:val="44"/>
        <w:szCs w:val="52"/>
      </w:rPr>
      <w:drawing>
        <wp:inline distT="0" distB="0" distL="114300" distR="114300">
          <wp:extent cx="1126490" cy="256540"/>
          <wp:effectExtent l="0" t="0" r="1270" b="2540"/>
          <wp:docPr id="112" name="图片 2" descr="南粤建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descr="南粤建筑"/>
                  <pic:cNvPicPr>
                    <a:picLocks noChangeAspect="1"/>
                  </pic:cNvPicPr>
                </pic:nvPicPr>
                <pic:blipFill>
                  <a:blip r:embed="rId1"/>
                  <a:stretch>
                    <a:fillRect/>
                  </a:stretch>
                </pic:blipFill>
                <pic:spPr>
                  <a:xfrm>
                    <a:off x="0" y="0"/>
                    <a:ext cx="1126490" cy="256540"/>
                  </a:xfrm>
                  <a:prstGeom prst="rect">
                    <a:avLst/>
                  </a:prstGeom>
                  <a:noFill/>
                  <a:ln>
                    <a:noFill/>
                  </a:ln>
                </pic:spPr>
              </pic:pic>
            </a:graphicData>
          </a:graphic>
        </wp:inline>
      </w:drawing>
    </w:r>
    <w:r>
      <w:rPr>
        <w:rFonts w:hint="eastAsia"/>
        <w:lang w:val="en-US" w:eastAsia="zh-CN"/>
      </w:rPr>
      <w:t xml:space="preserve">                                             广昌保障房配套基础设施项目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CD513">
    <w:pPr>
      <w:pStyle w:val="12"/>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1C0D1">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15EA6"/>
    <w:multiLevelType w:val="singleLevel"/>
    <w:tmpl w:val="DCC15EA6"/>
    <w:lvl w:ilvl="0" w:tentative="0">
      <w:start w:val="7"/>
      <w:numFmt w:val="chineseCounting"/>
      <w:suff w:val="nothing"/>
      <w:lvlText w:val="%1、"/>
      <w:lvlJc w:val="left"/>
      <w:rPr>
        <w:rFonts w:hint="eastAsia"/>
      </w:rPr>
    </w:lvl>
  </w:abstractNum>
  <w:abstractNum w:abstractNumId="1">
    <w:nsid w:val="0A7AB26C"/>
    <w:multiLevelType w:val="singleLevel"/>
    <w:tmpl w:val="0A7AB26C"/>
    <w:lvl w:ilvl="0" w:tentative="0">
      <w:start w:val="4"/>
      <w:numFmt w:val="chineseCounting"/>
      <w:suff w:val="nothing"/>
      <w:lvlText w:val="（%1）"/>
      <w:lvlJc w:val="left"/>
      <w:rPr>
        <w:rFonts w:hint="eastAsia"/>
      </w:rPr>
    </w:lvl>
  </w:abstractNum>
  <w:abstractNum w:abstractNumId="2">
    <w:nsid w:val="24620CDA"/>
    <w:multiLevelType w:val="multilevel"/>
    <w:tmpl w:val="24620CDA"/>
    <w:lvl w:ilvl="0" w:tentative="0">
      <w:start w:val="1"/>
      <w:numFmt w:val="chineseCountingThousand"/>
      <w:pStyle w:val="3"/>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pStyle w:val="4"/>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5"/>
      <w:suff w:val="space"/>
      <w:lvlText w:val="%2.%3"/>
      <w:lvlJc w:val="left"/>
      <w:pPr>
        <w:ind w:left="0" w:firstLine="0"/>
      </w:pPr>
      <w:rPr>
        <w:rFonts w:hint="default" w:ascii="Times New Roman" w:hAnsi="Times New Roman" w:eastAsia="宋体"/>
        <w:b/>
        <w:i w:val="0"/>
        <w:sz w:val="28"/>
        <w:u w:val="none"/>
      </w:rPr>
    </w:lvl>
    <w:lvl w:ilvl="3" w:tentative="0">
      <w:start w:val="1"/>
      <w:numFmt w:val="decimal"/>
      <w:pStyle w:val="6"/>
      <w:suff w:val="space"/>
      <w:lvlText w:val="%2.%3.%4"/>
      <w:lvlJc w:val="left"/>
      <w:pPr>
        <w:ind w:left="0" w:firstLine="0"/>
      </w:pPr>
      <w:rPr>
        <w:rFonts w:hint="default" w:ascii="Times New Roman" w:hAnsi="Times New Roman" w:eastAsia="宋体"/>
        <w:b w:val="0"/>
        <w:i w:val="0"/>
        <w:sz w:val="24"/>
        <w:u w:val="none"/>
      </w:rPr>
    </w:lvl>
    <w:lvl w:ilvl="4" w:tentative="0">
      <w:start w:val="1"/>
      <w:numFmt w:val="decimal"/>
      <w:pStyle w:val="7"/>
      <w:suff w:val="space"/>
      <w:lvlText w:val="%2.%3.%4.%5"/>
      <w:lvlJc w:val="left"/>
      <w:pPr>
        <w:ind w:left="0" w:firstLine="0"/>
      </w:pPr>
      <w:rPr>
        <w:rFonts w:hint="default" w:ascii="Times New Roman" w:hAnsi="Times New Roman" w:eastAsia="宋体"/>
        <w:b w:val="0"/>
        <w:i w:val="0"/>
        <w:sz w:val="24"/>
        <w:u w:val="none"/>
      </w:rPr>
    </w:lvl>
    <w:lvl w:ilvl="5" w:tentative="0">
      <w:start w:val="1"/>
      <w:numFmt w:val="decimal"/>
      <w:pStyle w:val="24"/>
      <w:suff w:val="space"/>
      <w:lvlText w:val="(%6)"/>
      <w:lvlJc w:val="left"/>
      <w:pPr>
        <w:ind w:left="0" w:firstLine="284"/>
      </w:pPr>
      <w:rPr>
        <w:rFonts w:hint="default" w:ascii="Times New Roman" w:hAnsi="Times New Roman" w:eastAsia="宋体"/>
        <w:b w:val="0"/>
        <w:i w:val="0"/>
        <w:sz w:val="24"/>
        <w:u w:val="none"/>
      </w:rPr>
    </w:lvl>
    <w:lvl w:ilvl="6" w:tentative="0">
      <w:start w:val="1"/>
      <w:numFmt w:val="decimal"/>
      <w:pStyle w:val="35"/>
      <w:suff w:val="space"/>
      <w:lvlText w:val="%7)"/>
      <w:lvlJc w:val="left"/>
      <w:pPr>
        <w:ind w:left="0" w:firstLine="454"/>
      </w:pPr>
      <w:rPr>
        <w:rFonts w:hint="default" w:ascii="Times New Roman" w:hAnsi="Times New Roman" w:eastAsia="宋体"/>
        <w:b w:val="0"/>
        <w:i w:val="0"/>
        <w:sz w:val="24"/>
        <w:u w:val="none"/>
      </w:rPr>
    </w:lvl>
    <w:lvl w:ilvl="7" w:tentative="0">
      <w:start w:val="1"/>
      <w:numFmt w:val="decimal"/>
      <w:lvlRestart w:val="5"/>
      <w:pStyle w:val="31"/>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pStyle w:val="34"/>
      <w:suff w:val="space"/>
      <w:lvlText w:val="图%1.%2.%3.%4-%9"/>
      <w:lvlJc w:val="left"/>
      <w:pPr>
        <w:ind w:left="0" w:firstLine="0"/>
      </w:pPr>
      <w:rPr>
        <w:rFonts w:hint="default" w:ascii="Times New Roman" w:hAnsi="Times New Roman" w:eastAsia="黑体"/>
        <w:b w:val="0"/>
        <w:i w:val="0"/>
        <w:sz w:val="24"/>
        <w:u w:val="none"/>
      </w:rPr>
    </w:lvl>
  </w:abstractNum>
  <w:abstractNum w:abstractNumId="3">
    <w:nsid w:val="7A9E6053"/>
    <w:multiLevelType w:val="singleLevel"/>
    <w:tmpl w:val="7A9E6053"/>
    <w:lvl w:ilvl="0" w:tentative="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A6"/>
    <w:rsid w:val="00062C39"/>
    <w:rsid w:val="000F7EFD"/>
    <w:rsid w:val="002A31A6"/>
    <w:rsid w:val="003659BD"/>
    <w:rsid w:val="003875B7"/>
    <w:rsid w:val="0039587D"/>
    <w:rsid w:val="00475311"/>
    <w:rsid w:val="00491F62"/>
    <w:rsid w:val="004A37ED"/>
    <w:rsid w:val="004D3401"/>
    <w:rsid w:val="004E4275"/>
    <w:rsid w:val="00573F18"/>
    <w:rsid w:val="00596E56"/>
    <w:rsid w:val="00631A7F"/>
    <w:rsid w:val="006F7098"/>
    <w:rsid w:val="00706778"/>
    <w:rsid w:val="00766659"/>
    <w:rsid w:val="007A447F"/>
    <w:rsid w:val="007E76A6"/>
    <w:rsid w:val="00890361"/>
    <w:rsid w:val="008B5E37"/>
    <w:rsid w:val="009359BD"/>
    <w:rsid w:val="00A0634B"/>
    <w:rsid w:val="00A54DEB"/>
    <w:rsid w:val="00AA00B2"/>
    <w:rsid w:val="00AD18CF"/>
    <w:rsid w:val="00B2475E"/>
    <w:rsid w:val="00BE1CF5"/>
    <w:rsid w:val="00C90730"/>
    <w:rsid w:val="00CA6AD3"/>
    <w:rsid w:val="00CB371B"/>
    <w:rsid w:val="00EC5A47"/>
    <w:rsid w:val="00F16177"/>
    <w:rsid w:val="00F85266"/>
    <w:rsid w:val="289B0E0A"/>
    <w:rsid w:val="34633E5D"/>
    <w:rsid w:val="382B5936"/>
    <w:rsid w:val="4FDE3FE1"/>
    <w:rsid w:val="4FF333D1"/>
    <w:rsid w:val="67E005A7"/>
    <w:rsid w:val="7E486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eastAsia="宋体" w:asciiTheme="minorHAnsi" w:hAnsiTheme="minorHAnsi" w:cstheme="minorBidi"/>
      <w:kern w:val="2"/>
      <w:sz w:val="24"/>
      <w:szCs w:val="21"/>
      <w:lang w:val="en-US" w:eastAsia="zh-CN" w:bidi="ar-SA"/>
    </w:rPr>
  </w:style>
  <w:style w:type="paragraph" w:styleId="3">
    <w:name w:val="heading 1"/>
    <w:basedOn w:val="1"/>
    <w:next w:val="1"/>
    <w:link w:val="25"/>
    <w:qFormat/>
    <w:uiPriority w:val="9"/>
    <w:pPr>
      <w:keepNext/>
      <w:keepLines/>
      <w:numPr>
        <w:ilvl w:val="0"/>
        <w:numId w:val="1"/>
      </w:numPr>
      <w:suppressLineNumbers/>
      <w:ind w:firstLineChars="0"/>
      <w:jc w:val="center"/>
      <w:outlineLvl w:val="0"/>
    </w:pPr>
    <w:rPr>
      <w:rFonts w:ascii="Times New Roman" w:hAnsi="Times New Roman"/>
      <w:b/>
      <w:bCs/>
      <w:kern w:val="44"/>
      <w:sz w:val="32"/>
      <w:szCs w:val="44"/>
    </w:rPr>
  </w:style>
  <w:style w:type="paragraph" w:styleId="4">
    <w:name w:val="heading 2"/>
    <w:basedOn w:val="1"/>
    <w:next w:val="1"/>
    <w:link w:val="26"/>
    <w:unhideWhenUsed/>
    <w:qFormat/>
    <w:uiPriority w:val="9"/>
    <w:pPr>
      <w:keepNext/>
      <w:keepLines/>
      <w:numPr>
        <w:ilvl w:val="1"/>
        <w:numId w:val="1"/>
      </w:numPr>
      <w:ind w:firstLineChars="0"/>
      <w:jc w:val="center"/>
      <w:outlineLvl w:val="1"/>
    </w:pPr>
    <w:rPr>
      <w:rFonts w:ascii="Times New Roman" w:hAnsi="Times New Roman" w:cstheme="majorBidi"/>
      <w:b/>
      <w:bCs/>
      <w:sz w:val="30"/>
      <w:szCs w:val="32"/>
    </w:rPr>
  </w:style>
  <w:style w:type="paragraph" w:styleId="5">
    <w:name w:val="heading 3"/>
    <w:basedOn w:val="1"/>
    <w:next w:val="1"/>
    <w:link w:val="28"/>
    <w:unhideWhenUsed/>
    <w:qFormat/>
    <w:uiPriority w:val="9"/>
    <w:pPr>
      <w:keepNext/>
      <w:keepLines/>
      <w:numPr>
        <w:ilvl w:val="2"/>
        <w:numId w:val="1"/>
      </w:numPr>
      <w:ind w:firstLineChars="0"/>
      <w:outlineLvl w:val="2"/>
    </w:pPr>
    <w:rPr>
      <w:rFonts w:ascii="Times New Roman" w:hAnsi="Times New Roman"/>
      <w:b/>
      <w:bCs/>
      <w:sz w:val="28"/>
      <w:szCs w:val="32"/>
    </w:rPr>
  </w:style>
  <w:style w:type="paragraph" w:styleId="6">
    <w:name w:val="heading 4"/>
    <w:basedOn w:val="1"/>
    <w:next w:val="1"/>
    <w:link w:val="27"/>
    <w:unhideWhenUsed/>
    <w:qFormat/>
    <w:uiPriority w:val="9"/>
    <w:pPr>
      <w:keepNext/>
      <w:keepLines/>
      <w:numPr>
        <w:ilvl w:val="3"/>
        <w:numId w:val="1"/>
      </w:numPr>
      <w:ind w:firstLineChars="0"/>
      <w:outlineLvl w:val="3"/>
    </w:pPr>
    <w:rPr>
      <w:rFonts w:ascii="Times New Roman" w:hAnsi="Times New Roman" w:cstheme="majorBidi"/>
      <w:bCs/>
      <w:szCs w:val="28"/>
    </w:rPr>
  </w:style>
  <w:style w:type="paragraph" w:styleId="7">
    <w:name w:val="heading 5"/>
    <w:basedOn w:val="1"/>
    <w:next w:val="1"/>
    <w:link w:val="32"/>
    <w:unhideWhenUsed/>
    <w:qFormat/>
    <w:uiPriority w:val="9"/>
    <w:pPr>
      <w:keepNext/>
      <w:keepLines/>
      <w:numPr>
        <w:ilvl w:val="4"/>
        <w:numId w:val="1"/>
      </w:numPr>
      <w:ind w:firstLineChars="0"/>
      <w:outlineLvl w:val="4"/>
    </w:pPr>
    <w:rPr>
      <w:rFonts w:ascii="Times New Roman" w:hAnsi="Times New Roman"/>
      <w:bCs/>
      <w:szCs w:val="28"/>
    </w:rPr>
  </w:style>
  <w:style w:type="character" w:default="1" w:styleId="18">
    <w:name w:val="Default Paragraph Font"/>
    <w:link w:val="19"/>
    <w:semiHidden/>
    <w:unhideWhenUsed/>
    <w:qFormat/>
    <w:uiPriority w:val="1"/>
    <w:rPr>
      <w:rFonts w:ascii="Times New Roman"/>
      <w:sz w:val="21"/>
      <w:szCs w:val="24"/>
    </w:rPr>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仿宋_GB2312" w:eastAsia="仿宋_GB2312"/>
      <w:kern w:val="0"/>
      <w:szCs w:val="20"/>
    </w:rPr>
  </w:style>
  <w:style w:type="paragraph" w:styleId="8">
    <w:name w:val="Body Text 3"/>
    <w:basedOn w:val="1"/>
    <w:link w:val="33"/>
    <w:semiHidden/>
    <w:unhideWhenUsed/>
    <w:qFormat/>
    <w:uiPriority w:val="99"/>
    <w:pPr>
      <w:spacing w:after="120"/>
    </w:pPr>
    <w:rPr>
      <w:sz w:val="16"/>
      <w:szCs w:val="16"/>
    </w:rPr>
  </w:style>
  <w:style w:type="paragraph" w:styleId="9">
    <w:name w:val="Body Text Indent"/>
    <w:basedOn w:val="1"/>
    <w:link w:val="36"/>
    <w:semiHidden/>
    <w:unhideWhenUsed/>
    <w:qFormat/>
    <w:uiPriority w:val="99"/>
    <w:pPr>
      <w:spacing w:after="120"/>
      <w:ind w:left="420" w:leftChars="200"/>
    </w:pPr>
  </w:style>
  <w:style w:type="paragraph" w:styleId="10">
    <w:name w:val="Balloon Text"/>
    <w:basedOn w:val="1"/>
    <w:link w:val="41"/>
    <w:semiHidden/>
    <w:unhideWhenUsed/>
    <w:qFormat/>
    <w:uiPriority w:val="99"/>
    <w:pPr>
      <w:spacing w:line="240" w:lineRule="auto"/>
    </w:pPr>
    <w:rPr>
      <w:sz w:val="18"/>
      <w:szCs w:val="18"/>
    </w:rPr>
  </w:style>
  <w:style w:type="paragraph" w:styleId="11">
    <w:name w:val="footer"/>
    <w:basedOn w:val="1"/>
    <w:link w:val="23"/>
    <w:unhideWhenUsed/>
    <w:qFormat/>
    <w:uiPriority w:val="99"/>
    <w:pPr>
      <w:tabs>
        <w:tab w:val="center" w:pos="4153"/>
        <w:tab w:val="right" w:pos="8306"/>
      </w:tabs>
      <w:snapToGrid w:val="0"/>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link w:val="30"/>
    <w:semiHidden/>
    <w:unhideWhenUsed/>
    <w:qFormat/>
    <w:uiPriority w:val="99"/>
    <w:pPr>
      <w:spacing w:after="120" w:line="480" w:lineRule="auto"/>
    </w:pPr>
  </w:style>
  <w:style w:type="paragraph" w:styleId="14">
    <w:name w:val="Title"/>
    <w:basedOn w:val="1"/>
    <w:next w:val="1"/>
    <w:link w:val="29"/>
    <w:qFormat/>
    <w:uiPriority w:val="10"/>
    <w:pPr>
      <w:spacing w:before="240" w:after="60"/>
      <w:jc w:val="center"/>
      <w:outlineLvl w:val="0"/>
    </w:pPr>
    <w:rPr>
      <w:rFonts w:asciiTheme="majorHAnsi" w:hAnsiTheme="majorHAnsi" w:cstheme="majorBidi"/>
      <w:b/>
      <w:bCs/>
      <w:sz w:val="32"/>
      <w:szCs w:val="32"/>
    </w:rPr>
  </w:style>
  <w:style w:type="table" w:styleId="16">
    <w:name w:val="Table Grid"/>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styleId="17">
    <w:name w:val="Colorful List Accent 6"/>
    <w:basedOn w:val="15"/>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paragraph" w:customStyle="1" w:styleId="19">
    <w:name w:val="默认段落字体 Para Char Char Char Char Char Char Char Char Char Char Char Char Char"/>
    <w:basedOn w:val="1"/>
    <w:link w:val="18"/>
    <w:qFormat/>
    <w:uiPriority w:val="0"/>
    <w:rPr>
      <w:rFonts w:ascii="Times New Roman"/>
      <w:sz w:val="21"/>
      <w:szCs w:val="24"/>
    </w:rPr>
  </w:style>
  <w:style w:type="character" w:styleId="20">
    <w:name w:val="Strong"/>
    <w:basedOn w:val="18"/>
    <w:qFormat/>
    <w:uiPriority w:val="22"/>
    <w:rPr>
      <w:b/>
    </w:rPr>
  </w:style>
  <w:style w:type="character" w:styleId="21">
    <w:name w:val="page number"/>
    <w:basedOn w:val="18"/>
    <w:qFormat/>
    <w:uiPriority w:val="0"/>
  </w:style>
  <w:style w:type="character" w:customStyle="1" w:styleId="22">
    <w:name w:val="页眉 Char"/>
    <w:basedOn w:val="18"/>
    <w:link w:val="12"/>
    <w:qFormat/>
    <w:uiPriority w:val="99"/>
    <w:rPr>
      <w:sz w:val="18"/>
      <w:szCs w:val="18"/>
    </w:rPr>
  </w:style>
  <w:style w:type="character" w:customStyle="1" w:styleId="23">
    <w:name w:val="页脚 Char"/>
    <w:basedOn w:val="18"/>
    <w:link w:val="11"/>
    <w:qFormat/>
    <w:uiPriority w:val="99"/>
    <w:rPr>
      <w:sz w:val="18"/>
      <w:szCs w:val="18"/>
    </w:rPr>
  </w:style>
  <w:style w:type="paragraph" w:customStyle="1" w:styleId="24">
    <w:name w:val="正文1(1)"/>
    <w:basedOn w:val="1"/>
    <w:qFormat/>
    <w:uiPriority w:val="0"/>
    <w:pPr>
      <w:numPr>
        <w:ilvl w:val="5"/>
        <w:numId w:val="1"/>
      </w:numPr>
      <w:ind w:firstLineChars="0"/>
    </w:pPr>
    <w:rPr>
      <w:rFonts w:ascii="Times New Roman" w:hAnsi="Times New Roman"/>
    </w:rPr>
  </w:style>
  <w:style w:type="character" w:customStyle="1" w:styleId="25">
    <w:name w:val="标题 1 Char"/>
    <w:basedOn w:val="18"/>
    <w:link w:val="3"/>
    <w:qFormat/>
    <w:uiPriority w:val="9"/>
    <w:rPr>
      <w:rFonts w:ascii="Times New Roman" w:hAnsi="Times New Roman" w:eastAsia="宋体"/>
      <w:b/>
      <w:bCs/>
      <w:kern w:val="44"/>
      <w:sz w:val="32"/>
      <w:szCs w:val="44"/>
    </w:rPr>
  </w:style>
  <w:style w:type="character" w:customStyle="1" w:styleId="26">
    <w:name w:val="标题 2 Char"/>
    <w:basedOn w:val="18"/>
    <w:link w:val="4"/>
    <w:qFormat/>
    <w:uiPriority w:val="9"/>
    <w:rPr>
      <w:rFonts w:ascii="Times New Roman" w:hAnsi="Times New Roman" w:eastAsia="宋体" w:cstheme="majorBidi"/>
      <w:b/>
      <w:bCs/>
      <w:sz w:val="30"/>
      <w:szCs w:val="32"/>
    </w:rPr>
  </w:style>
  <w:style w:type="character" w:customStyle="1" w:styleId="27">
    <w:name w:val="标题 4 Char"/>
    <w:basedOn w:val="18"/>
    <w:link w:val="6"/>
    <w:qFormat/>
    <w:uiPriority w:val="9"/>
    <w:rPr>
      <w:rFonts w:ascii="Times New Roman" w:hAnsi="Times New Roman" w:eastAsia="宋体" w:cstheme="majorBidi"/>
      <w:bCs/>
      <w:sz w:val="24"/>
      <w:szCs w:val="28"/>
    </w:rPr>
  </w:style>
  <w:style w:type="character" w:customStyle="1" w:styleId="28">
    <w:name w:val="标题 3 Char"/>
    <w:basedOn w:val="18"/>
    <w:link w:val="5"/>
    <w:qFormat/>
    <w:uiPriority w:val="9"/>
    <w:rPr>
      <w:rFonts w:ascii="Times New Roman" w:hAnsi="Times New Roman" w:eastAsia="宋体"/>
      <w:b/>
      <w:bCs/>
      <w:sz w:val="28"/>
      <w:szCs w:val="32"/>
    </w:rPr>
  </w:style>
  <w:style w:type="character" w:customStyle="1" w:styleId="29">
    <w:name w:val="标题 Char"/>
    <w:basedOn w:val="18"/>
    <w:link w:val="14"/>
    <w:qFormat/>
    <w:uiPriority w:val="10"/>
    <w:rPr>
      <w:rFonts w:eastAsia="宋体" w:asciiTheme="majorHAnsi" w:hAnsiTheme="majorHAnsi" w:cstheme="majorBidi"/>
      <w:b/>
      <w:bCs/>
      <w:sz w:val="32"/>
      <w:szCs w:val="32"/>
    </w:rPr>
  </w:style>
  <w:style w:type="character" w:customStyle="1" w:styleId="30">
    <w:name w:val="正文文本 2 Char"/>
    <w:basedOn w:val="18"/>
    <w:link w:val="13"/>
    <w:semiHidden/>
    <w:qFormat/>
    <w:uiPriority w:val="99"/>
  </w:style>
  <w:style w:type="paragraph" w:customStyle="1" w:styleId="31">
    <w:name w:val="(表格)"/>
    <w:basedOn w:val="1"/>
    <w:qFormat/>
    <w:uiPriority w:val="0"/>
    <w:pPr>
      <w:numPr>
        <w:ilvl w:val="7"/>
        <w:numId w:val="1"/>
      </w:numPr>
      <w:spacing w:line="240" w:lineRule="auto"/>
      <w:ind w:firstLineChars="0"/>
      <w:jc w:val="center"/>
    </w:pPr>
    <w:rPr>
      <w:rFonts w:ascii="Times New Roman" w:hAnsi="Times New Roman" w:eastAsia="黑体"/>
    </w:rPr>
  </w:style>
  <w:style w:type="character" w:customStyle="1" w:styleId="32">
    <w:name w:val="标题 5 Char"/>
    <w:basedOn w:val="18"/>
    <w:link w:val="7"/>
    <w:qFormat/>
    <w:uiPriority w:val="9"/>
    <w:rPr>
      <w:rFonts w:ascii="Times New Roman" w:hAnsi="Times New Roman" w:eastAsia="宋体"/>
      <w:bCs/>
      <w:sz w:val="24"/>
      <w:szCs w:val="28"/>
    </w:rPr>
  </w:style>
  <w:style w:type="character" w:customStyle="1" w:styleId="33">
    <w:name w:val="正文文本 3 Char"/>
    <w:basedOn w:val="18"/>
    <w:link w:val="8"/>
    <w:semiHidden/>
    <w:qFormat/>
    <w:uiPriority w:val="99"/>
    <w:rPr>
      <w:sz w:val="16"/>
      <w:szCs w:val="16"/>
    </w:rPr>
  </w:style>
  <w:style w:type="paragraph" w:customStyle="1" w:styleId="34">
    <w:name w:val="（图片）"/>
    <w:basedOn w:val="1"/>
    <w:qFormat/>
    <w:uiPriority w:val="0"/>
    <w:pPr>
      <w:numPr>
        <w:ilvl w:val="8"/>
        <w:numId w:val="1"/>
      </w:numPr>
      <w:spacing w:line="240" w:lineRule="auto"/>
      <w:ind w:firstLineChars="0"/>
      <w:jc w:val="center"/>
    </w:pPr>
    <w:rPr>
      <w:rFonts w:eastAsia="黑体"/>
    </w:rPr>
  </w:style>
  <w:style w:type="paragraph" w:customStyle="1" w:styleId="35">
    <w:name w:val="正文 1)"/>
    <w:basedOn w:val="1"/>
    <w:qFormat/>
    <w:uiPriority w:val="0"/>
    <w:pPr>
      <w:numPr>
        <w:ilvl w:val="6"/>
        <w:numId w:val="1"/>
      </w:numPr>
      <w:ind w:firstLineChars="0"/>
    </w:pPr>
  </w:style>
  <w:style w:type="character" w:customStyle="1" w:styleId="36">
    <w:name w:val="正文文本缩进 Char"/>
    <w:basedOn w:val="18"/>
    <w:link w:val="9"/>
    <w:semiHidden/>
    <w:qFormat/>
    <w:uiPriority w:val="99"/>
    <w:rPr>
      <w:rFonts w:eastAsia="宋体"/>
      <w:sz w:val="24"/>
    </w:rPr>
  </w:style>
  <w:style w:type="paragraph" w:customStyle="1" w:styleId="37">
    <w:name w:val="表格内容居中"/>
    <w:basedOn w:val="1"/>
    <w:link w:val="39"/>
    <w:qFormat/>
    <w:uiPriority w:val="0"/>
    <w:pPr>
      <w:spacing w:line="360" w:lineRule="exact"/>
      <w:ind w:firstLine="0" w:firstLineChars="0"/>
      <w:jc w:val="center"/>
    </w:pPr>
    <w:rPr>
      <w:rFonts w:ascii="Times New Roman" w:hAnsi="Times New Roman"/>
      <w:sz w:val="21"/>
    </w:rPr>
  </w:style>
  <w:style w:type="paragraph" w:customStyle="1" w:styleId="38">
    <w:name w:val="表格内容左对齐"/>
    <w:basedOn w:val="1"/>
    <w:next w:val="1"/>
    <w:link w:val="40"/>
    <w:qFormat/>
    <w:uiPriority w:val="0"/>
    <w:pPr>
      <w:spacing w:line="240" w:lineRule="auto"/>
    </w:pPr>
    <w:rPr>
      <w:sz w:val="21"/>
    </w:rPr>
  </w:style>
  <w:style w:type="character" w:customStyle="1" w:styleId="39">
    <w:name w:val="表格内容居中 Char"/>
    <w:basedOn w:val="18"/>
    <w:link w:val="37"/>
    <w:qFormat/>
    <w:uiPriority w:val="0"/>
    <w:rPr>
      <w:rFonts w:ascii="Times New Roman" w:hAnsi="Times New Roman" w:eastAsia="宋体"/>
    </w:rPr>
  </w:style>
  <w:style w:type="character" w:customStyle="1" w:styleId="40">
    <w:name w:val="表格内容左对齐 Char"/>
    <w:basedOn w:val="18"/>
    <w:link w:val="38"/>
    <w:qFormat/>
    <w:uiPriority w:val="0"/>
    <w:rPr>
      <w:rFonts w:eastAsia="宋体"/>
    </w:rPr>
  </w:style>
  <w:style w:type="character" w:customStyle="1" w:styleId="41">
    <w:name w:val="批注框文本 Char"/>
    <w:basedOn w:val="18"/>
    <w:link w:val="10"/>
    <w:semiHidden/>
    <w:qFormat/>
    <w:uiPriority w:val="99"/>
    <w:rPr>
      <w:rFonts w:eastAsia="宋体"/>
      <w:sz w:val="18"/>
      <w:szCs w:val="18"/>
    </w:rPr>
  </w:style>
  <w:style w:type="paragraph" w:customStyle="1" w:styleId="42">
    <w:name w:val="11111111111"/>
    <w:basedOn w:val="1"/>
    <w:qFormat/>
    <w:uiPriority w:val="0"/>
    <w:pPr>
      <w:spacing w:line="500" w:lineRule="exact"/>
      <w:ind w:firstLine="540" w:firstLineChars="225"/>
    </w:pPr>
    <w:rPr>
      <w:rFonts w:eastAsia="宋体"/>
      <w:kern w:val="2"/>
      <w:sz w:val="24"/>
      <w:szCs w:val="24"/>
      <w:lang w:val="en-US" w:eastAsia="zh-CN" w:bidi="ar-SA"/>
    </w:rPr>
  </w:style>
  <w:style w:type="paragraph" w:styleId="4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556391-113F-4FE2-B94C-ECABF5482DD1}">
  <ds:schemaRefs/>
</ds:datastoreItem>
</file>

<file path=docProps/app.xml><?xml version="1.0" encoding="utf-8"?>
<Properties xmlns="http://schemas.openxmlformats.org/officeDocument/2006/extended-properties" xmlns:vt="http://schemas.openxmlformats.org/officeDocument/2006/docPropsVTypes">
  <Template>Normal</Template>
  <Pages>6</Pages>
  <Words>4335</Words>
  <Characters>4582</Characters>
  <Lines>1</Lines>
  <Paragraphs>1</Paragraphs>
  <TotalTime>1</TotalTime>
  <ScaleCrop>false</ScaleCrop>
  <LinksUpToDate>false</LinksUpToDate>
  <CharactersWithSpaces>4625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2020-03-31T01:27:00Z</dcterms:created>
  <dc:creator>坤</dc:creator>
  <cp:lastModifiedBy>'</cp:lastModifiedBy>
  <dcterms:modified xsi:type="dcterms:W3CDTF">2026-06-29T01:25:58Z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eyJoZGlkIjoiNDk5ZDYzMDBkZmNkMjNlN2YzZjg2ZGVjNmE0NmVkNWYiLCJ1c2VySWQiOiIzNzk5NzExMjMifQ==</vt:lpwstr>
  </property>
  <property fmtid="{D5CDD505-2E9C-101B-9397-08002B2CF9AE}" pid="4" name="ICV">
    <vt:lpwstr>6BFCE68A27114D209AED3C4E57E548C4_13</vt:lpwstr>
  </property>
</Properties>
</file>