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吉大仓库空调安装（第二次）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3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公共运营吉大总仓计划于本月月中启动搬迁工作，现需采购空调安装服务。本次作业包含安装空调5台、拆卸空调2台，作业涉及户外高空操作，空调安装需抽真空、加注雪种等，确保设备正常运行。</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壹万壹仟捌佰元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11800.00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壹万壹仟捌佰元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11800.00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吉大仓库空调安装（第二次）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7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吉大仓库空调安装（第二次）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3</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819878"/>
      <w:bookmarkStart w:id="8" w:name="_Toc202254105"/>
      <w:bookmarkStart w:id="9" w:name="_Toc259090982"/>
      <w:bookmarkStart w:id="10" w:name="_Toc276645579"/>
      <w:bookmarkStart w:id="11" w:name="_Toc202251075"/>
      <w:bookmarkStart w:id="12" w:name="_Toc202820351"/>
      <w:bookmarkStart w:id="13" w:name="_Toc15317"/>
      <w:bookmarkStart w:id="14" w:name="_Toc698"/>
      <w:bookmarkStart w:id="15" w:name="_Toc17685"/>
      <w:bookmarkStart w:id="16" w:name="_Toc202816996"/>
      <w:bookmarkStart w:id="17" w:name="_Toc202252034"/>
      <w:bookmarkStart w:id="18" w:name="_Toc16107"/>
      <w:bookmarkStart w:id="19" w:name="_Toc503427710"/>
      <w:bookmarkStart w:id="20" w:name="_Toc20225170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0366"/>
      <w:bookmarkStart w:id="22" w:name="_Toc276645580"/>
      <w:bookmarkStart w:id="23" w:name="_Toc503427711"/>
      <w:bookmarkStart w:id="24" w:name="_Toc259090983"/>
      <w:bookmarkStart w:id="25" w:name="_Toc24181"/>
      <w:bookmarkStart w:id="26" w:name="_Toc13089"/>
      <w:bookmarkStart w:id="27" w:name="_Toc3266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吉大仓库空调安装（第二次）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27591"/>
      <w:bookmarkStart w:id="30" w:name="_Toc19171"/>
      <w:bookmarkStart w:id="31" w:name="_Toc17080"/>
      <w:bookmarkStart w:id="32" w:name="_Toc528"/>
      <w:bookmarkStart w:id="33" w:name="_Toc503427713"/>
      <w:bookmarkStart w:id="34" w:name="_Toc19817"/>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吉大仓库空调安装（第二次）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0559"/>
      <w:bookmarkStart w:id="36" w:name="_Toc13922"/>
      <w:bookmarkStart w:id="37" w:name="_Toc5048"/>
      <w:bookmarkStart w:id="38" w:name="_Toc24969"/>
      <w:bookmarkStart w:id="39" w:name="_Toc19796"/>
      <w:bookmarkStart w:id="40" w:name="_Toc6220"/>
      <w:bookmarkStart w:id="41" w:name="_Toc15464"/>
      <w:bookmarkStart w:id="42" w:name="_Toc31767"/>
      <w:bookmarkStart w:id="43" w:name="_Toc32141"/>
      <w:bookmarkStart w:id="44" w:name="_Toc24356"/>
      <w:bookmarkStart w:id="45" w:name="_Toc10585"/>
      <w:bookmarkStart w:id="46" w:name="_Toc26971"/>
      <w:bookmarkStart w:id="47" w:name="_Toc14285"/>
      <w:bookmarkStart w:id="48" w:name="_Toc9476"/>
      <w:bookmarkStart w:id="49" w:name="_Toc19969"/>
      <w:bookmarkStart w:id="50" w:name="_Toc31877"/>
      <w:bookmarkStart w:id="51" w:name="_Toc264628882"/>
      <w:bookmarkStart w:id="52" w:name="_Toc6275"/>
      <w:bookmarkStart w:id="53" w:name="_Toc27468"/>
      <w:bookmarkStart w:id="54" w:name="_Toc503427714"/>
      <w:bookmarkStart w:id="55" w:name="_Toc4726"/>
      <w:bookmarkStart w:id="56" w:name="_Toc32498"/>
      <w:bookmarkStart w:id="57" w:name="_Toc4427"/>
      <w:bookmarkStart w:id="58" w:name="_Toc276645583"/>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4108"/>
      <w:bookmarkStart w:id="61" w:name="_Toc202817000"/>
      <w:bookmarkStart w:id="62" w:name="_Toc21572"/>
      <w:bookmarkStart w:id="63" w:name="_Toc259090996"/>
      <w:bookmarkStart w:id="64" w:name="_Toc24253"/>
      <w:bookmarkStart w:id="65" w:name="_Toc202251703"/>
      <w:bookmarkStart w:id="66" w:name="_Toc503427721"/>
      <w:bookmarkStart w:id="67" w:name="_Toc276645592"/>
      <w:bookmarkStart w:id="68" w:name="_Toc12992"/>
      <w:bookmarkStart w:id="69" w:name="_Toc202819882"/>
      <w:bookmarkStart w:id="70" w:name="_Toc202820355"/>
      <w:bookmarkStart w:id="71" w:name="_Toc202252037"/>
      <w:bookmarkStart w:id="72" w:name="_Toc3330"/>
      <w:bookmarkStart w:id="73" w:name="_Toc29543"/>
      <w:bookmarkStart w:id="74" w:name="_Toc202251078"/>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22499"/>
      <w:bookmarkStart w:id="79" w:name="_Toc32145"/>
      <w:bookmarkStart w:id="80" w:name="_Toc3193"/>
      <w:bookmarkStart w:id="81" w:name="_Toc5278"/>
      <w:bookmarkStart w:id="82" w:name="_Toc29470"/>
      <w:bookmarkStart w:id="83" w:name="_Toc2576"/>
      <w:bookmarkStart w:id="84" w:name="_Toc24446"/>
      <w:bookmarkStart w:id="85" w:name="_Toc500"/>
      <w:bookmarkStart w:id="86" w:name="_Toc113"/>
      <w:bookmarkStart w:id="87" w:name="_Toc30192"/>
      <w:bookmarkStart w:id="88" w:name="_Toc9094"/>
      <w:bookmarkStart w:id="89" w:name="_Toc6669"/>
      <w:bookmarkStart w:id="90" w:name="_Toc16860"/>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吉大仓库空调安装（第二次）</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val="en-US" w:eastAsia="zh-CN"/>
        </w:rPr>
        <w:t xml:space="preserve"> </w:t>
      </w:r>
      <w:r>
        <w:rPr>
          <w:rFonts w:hint="eastAsia" w:cs="Times New Roman"/>
          <w:color w:val="auto"/>
          <w:sz w:val="28"/>
          <w:szCs w:val="28"/>
          <w:u w:val="single"/>
          <w:lang w:val="en-US" w:eastAsia="zh-CN"/>
        </w:rPr>
        <w:t>吉大仓库空调安装（第二次）</w:t>
      </w:r>
      <w:permEnd w:id="11"/>
      <w:r>
        <w:rPr>
          <w:rFonts w:hint="default" w:ascii="Times New Roman" w:hAnsi="Times New Roman" w:eastAsia="宋体" w:cs="Times New Roman"/>
          <w:color w:val="auto"/>
          <w:sz w:val="28"/>
          <w:szCs w:val="28"/>
        </w:rPr>
        <w:t xml:space="preserve">的询价文件，根据有关法律、法规、规章规定，我单位经研究上述询价文件和其他相关文件后，愿意接受询价文件的全部内容和条件，并承诺按总价人民币大写：  </w:t>
      </w:r>
      <w:r>
        <w:rPr>
          <w:rFonts w:hint="eastAsia" w:cs="Times New Roman"/>
          <w:color w:val="auto"/>
          <w:sz w:val="28"/>
          <w:szCs w:val="28"/>
          <w:lang w:val="en-US" w:eastAsia="zh-CN"/>
        </w:rPr>
        <w:t xml:space="preserve">    </w:t>
      </w:r>
      <w:r>
        <w:rPr>
          <w:rFonts w:hint="default" w:ascii="Times New Roman" w:hAnsi="Times New Roman" w:eastAsia="宋体" w:cs="Times New Roman"/>
          <w:color w:val="auto"/>
          <w:sz w:val="28"/>
          <w:szCs w:val="28"/>
        </w:rPr>
        <w:t xml:space="preserve">  </w:t>
      </w:r>
      <w:r>
        <w:rPr>
          <w:rFonts w:hint="eastAsia" w:cs="Times New Roman"/>
          <w:color w:val="auto"/>
          <w:sz w:val="28"/>
          <w:szCs w:val="28"/>
          <w:lang w:val="en-US" w:eastAsia="zh-CN"/>
        </w:rPr>
        <w:t xml:space="preserve">  </w:t>
      </w:r>
      <w:r>
        <w:rPr>
          <w:rFonts w:hint="default" w:ascii="Times New Roman" w:hAnsi="Times New Roman" w:eastAsia="宋体" w:cs="Times New Roman"/>
          <w:color w:val="auto"/>
          <w:sz w:val="28"/>
          <w:szCs w:val="28"/>
        </w:rPr>
        <w:t>元（¥      元）承接</w:t>
      </w:r>
      <w:permStart w:id="12" w:edGrp="everyone"/>
      <w:r>
        <w:rPr>
          <w:rFonts w:hint="eastAsia" w:cs="Times New Roman"/>
          <w:color w:val="auto"/>
          <w:sz w:val="28"/>
          <w:szCs w:val="28"/>
          <w:lang w:val="en-US" w:eastAsia="zh-CN"/>
        </w:rPr>
        <w:t xml:space="preserve"> </w:t>
      </w:r>
      <w:r>
        <w:rPr>
          <w:rFonts w:hint="eastAsia" w:cs="Times New Roman"/>
          <w:color w:val="auto"/>
          <w:sz w:val="28"/>
          <w:szCs w:val="28"/>
          <w:u w:val="single"/>
          <w:lang w:val="en-US" w:eastAsia="zh-CN"/>
        </w:rPr>
        <w:t>吉大仓库空调安装（第二次）</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531"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8"/>
        <w:gridCol w:w="1040"/>
        <w:gridCol w:w="817"/>
        <w:gridCol w:w="2133"/>
        <w:gridCol w:w="700"/>
        <w:gridCol w:w="717"/>
        <w:gridCol w:w="983"/>
        <w:gridCol w:w="1119"/>
        <w:gridCol w:w="1"/>
        <w:gridCol w:w="14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817"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cs="宋体"/>
                <w:b/>
                <w:i w:val="0"/>
                <w:color w:val="000000"/>
                <w:kern w:val="0"/>
                <w:sz w:val="24"/>
                <w:szCs w:val="24"/>
                <w:u w:val="none"/>
                <w:lang w:val="en-US" w:eastAsia="zh-CN" w:bidi="ar"/>
              </w:rPr>
              <w:t>楼层</w:t>
            </w:r>
          </w:p>
        </w:tc>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464" w:type="dxa"/>
            <w:gridSpan w:val="2"/>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5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4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17"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13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17"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83"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119"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464" w:type="dxa"/>
            <w:gridSpan w:val="2"/>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3"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六楼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空调清洗</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主机加冷煤雪种</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铜管加长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保温材料</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空调支架</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电源线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空调排水</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drawing>
                <wp:inline distT="0" distB="0" distL="114300" distR="114300">
                  <wp:extent cx="795020" cy="720090"/>
                  <wp:effectExtent l="0" t="0" r="508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795020"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3"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六楼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空调清洗</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主机加冷煤雪种</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铜管加长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保温材料</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空调支架</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电源线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空调排水</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726440" cy="720090"/>
                  <wp:effectExtent l="0" t="0" r="16510" b="381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726440"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3"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六楼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空调清洗</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主机加冷煤雪种</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铜管加长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保温材料</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空调支架</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电源线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空调排水</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800735" cy="720090"/>
                  <wp:effectExtent l="0" t="0" r="18415"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800735"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3"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4</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六楼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空调清洗</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主机加冷煤雪种</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铜管加长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保温材料</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空调支架</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电源线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空调排水</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960120" cy="1080135"/>
                  <wp:effectExtent l="0" t="0" r="11430" b="571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a:stretch>
                            <a:fillRect/>
                          </a:stretch>
                        </pic:blipFill>
                        <pic:spPr>
                          <a:xfrm>
                            <a:off x="0" y="0"/>
                            <a:ext cx="960120" cy="108013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3"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六楼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空调清洗</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主机加冷煤雪种</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铜管加长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保温材料</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空调支架</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电源线</w:t>
            </w:r>
            <w:r>
              <w:rPr>
                <w:rFonts w:hint="eastAsia" w:ascii="宋体" w:hAnsi="宋体" w:eastAsia="宋体" w:cs="宋体"/>
                <w:i w:val="0"/>
                <w:color w:val="000000"/>
                <w:sz w:val="22"/>
                <w:szCs w:val="22"/>
                <w:u w:val="none"/>
                <w:lang w:val="en-US" w:eastAsia="zh-CN"/>
              </w:rPr>
              <w:br w:type="textWrapping"/>
            </w:r>
            <w:r>
              <w:rPr>
                <w:rFonts w:hint="eastAsia" w:ascii="宋体" w:hAnsi="宋体" w:eastAsia="宋体" w:cs="宋体"/>
                <w:i w:val="0"/>
                <w:color w:val="000000"/>
                <w:sz w:val="22"/>
                <w:szCs w:val="22"/>
                <w:u w:val="none"/>
                <w:lang w:val="en-US" w:eastAsia="zh-CN"/>
              </w:rPr>
              <w:t>空调排水</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591820" cy="720090"/>
                  <wp:effectExtent l="0" t="0" r="17780" b="381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a:stretch>
                            <a:fillRect/>
                          </a:stretch>
                        </pic:blipFill>
                        <pic:spPr>
                          <a:xfrm>
                            <a:off x="0" y="0"/>
                            <a:ext cx="591820"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五楼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空调拆卸，含外机</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819785" cy="720090"/>
                  <wp:effectExtent l="0" t="0" r="18415" b="381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819785"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w:t>
            </w:r>
          </w:p>
        </w:tc>
        <w:tc>
          <w:tcPr>
            <w:tcW w:w="10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服务</w:t>
            </w:r>
          </w:p>
        </w:tc>
        <w:tc>
          <w:tcPr>
            <w:tcW w:w="81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五楼</w:t>
            </w:r>
          </w:p>
        </w:tc>
        <w:tc>
          <w:tcPr>
            <w:tcW w:w="213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空调拆卸，含外机</w:t>
            </w:r>
          </w:p>
        </w:tc>
        <w:tc>
          <w:tcPr>
            <w:tcW w:w="7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sz w:val="22"/>
                <w:szCs w:val="22"/>
                <w:u w:val="none"/>
                <w:lang w:val="en-US" w:eastAsia="zh-CN"/>
              </w:rPr>
              <w:t>台</w:t>
            </w:r>
          </w:p>
        </w:tc>
        <w:tc>
          <w:tcPr>
            <w:tcW w:w="717"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4" w:type="dxa"/>
            <w:gridSpan w:val="2"/>
            <w:tcBorders>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drawing>
                <wp:inline distT="0" distB="0" distL="114300" distR="114300">
                  <wp:extent cx="817245" cy="720090"/>
                  <wp:effectExtent l="0" t="0" r="1905" b="381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5"/>
                          <a:stretch>
                            <a:fillRect/>
                          </a:stretch>
                        </pic:blipFill>
                        <pic:spPr>
                          <a:xfrm>
                            <a:off x="0" y="0"/>
                            <a:ext cx="817245" cy="72009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55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w:t>
            </w:r>
          </w:p>
        </w:tc>
        <w:tc>
          <w:tcPr>
            <w:tcW w:w="5407"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98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cs="宋体"/>
                <w:b/>
                <w:bCs/>
                <w:i w:val="0"/>
                <w:color w:val="000000"/>
                <w:sz w:val="22"/>
                <w:szCs w:val="22"/>
                <w:u w:val="none"/>
                <w:lang w:val="en-US" w:eastAsia="zh-CN"/>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6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531" w:type="dxa"/>
            <w:gridSpan w:val="10"/>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w:t>
            </w:r>
            <w:r>
              <w:rPr>
                <w:rFonts w:hint="eastAsia" w:ascii="宋体" w:hAnsi="宋体" w:cs="宋体"/>
                <w:color w:val="auto"/>
                <w:sz w:val="22"/>
                <w:szCs w:val="22"/>
                <w:lang w:eastAsia="zh-CN"/>
              </w:rPr>
              <w:t>、高空专项雇主责任险、第三者责任险</w:t>
            </w:r>
            <w:r>
              <w:rPr>
                <w:rFonts w:hint="eastAsia" w:ascii="宋体" w:hAnsi="宋体" w:eastAsia="宋体" w:cs="宋体"/>
                <w:color w:val="auto"/>
                <w:sz w:val="22"/>
                <w:szCs w:val="22"/>
              </w:rPr>
              <w:t>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w:t>
            </w:r>
            <w:r>
              <w:rPr>
                <w:rFonts w:hint="eastAsia" w:ascii="宋体" w:hAnsi="宋体" w:eastAsia="宋体" w:cs="宋体"/>
                <w:color w:val="auto"/>
                <w:kern w:val="0"/>
                <w:sz w:val="22"/>
                <w:szCs w:val="22"/>
                <w:lang w:val="en-US" w:eastAsia="zh-CN" w:bidi="ar-SA"/>
              </w:rPr>
              <w:t>如因国家政策变化导致增值税税率发生变化的，本项目项下不含增值税的价款金额不变，对应增值税金额按照新税率计算，价款总额作对应调整；</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lang w:val="en-US" w:eastAsia="zh-CN"/>
              </w:rPr>
            </w:pPr>
            <w:r>
              <w:rPr>
                <w:rFonts w:hint="eastAsia" w:ascii="宋体" w:hAnsi="宋体" w:eastAsia="宋体" w:cs="宋体"/>
                <w:color w:val="auto"/>
                <w:kern w:val="0"/>
                <w:sz w:val="22"/>
                <w:szCs w:val="22"/>
                <w:lang w:val="en-US" w:eastAsia="zh-CN" w:bidi="ar-SA"/>
              </w:rPr>
              <w:t>3.质量标准：合格，符合相关要求及规定；作业人员具有高空作业</w:t>
            </w:r>
            <w:r>
              <w:rPr>
                <w:rFonts w:hint="eastAsia" w:ascii="宋体" w:hAnsi="宋体" w:cs="宋体"/>
                <w:color w:val="auto"/>
                <w:kern w:val="0"/>
                <w:sz w:val="22"/>
                <w:szCs w:val="22"/>
                <w:lang w:val="en-US" w:eastAsia="zh-CN" w:bidi="ar-SA"/>
              </w:rPr>
              <w:t>证书</w:t>
            </w:r>
            <w:r>
              <w:rPr>
                <w:rFonts w:hint="eastAsia" w:ascii="宋体" w:hAnsi="宋体" w:eastAsia="宋体" w:cs="宋体"/>
                <w:color w:val="auto"/>
                <w:kern w:val="0"/>
                <w:sz w:val="22"/>
                <w:szCs w:val="22"/>
                <w:lang w:val="en-US" w:eastAsia="zh-CN" w:bidi="ar-SA"/>
              </w:rPr>
              <w:t>，</w:t>
            </w:r>
            <w:r>
              <w:rPr>
                <w:rFonts w:hint="eastAsia" w:ascii="宋体" w:hAnsi="宋体" w:cs="宋体"/>
                <w:color w:val="auto"/>
                <w:kern w:val="0"/>
                <w:sz w:val="22"/>
                <w:szCs w:val="22"/>
                <w:lang w:val="en-US" w:eastAsia="zh-CN" w:bidi="ar-SA"/>
              </w:rPr>
              <w:t>作业风险由供应商全部承担；</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投标人自行进行现场踏勘，投标人参与报价即视为已踏勘现场、充分了解全部现场条件与项目需求，本次报价为固定全包闭口价，包含所有履约费用及现场风险，后续不予任何增费、调价及补差。空调仅需原地拆卸或安装，无需转运，拆卸空调地址：吉大景园路汇景工业大厦五楼，安装空调地址：香洲区石花三巷20号六楼，联系</w:t>
            </w:r>
            <w:r>
              <w:rPr>
                <w:rFonts w:hint="eastAsia" w:ascii="宋体" w:hAnsi="宋体" w:eastAsia="宋体" w:cs="宋体"/>
                <w:color w:val="auto"/>
                <w:sz w:val="22"/>
                <w:szCs w:val="22"/>
                <w:lang w:val="en-US" w:eastAsia="zh-CN"/>
              </w:rPr>
              <w:t>人：冉维江13750045805。</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2E27B23"/>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37E3F66"/>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0D740E1"/>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8817FFA"/>
    <w:rsid w:val="4B0F1E17"/>
    <w:rsid w:val="4C032E3E"/>
    <w:rsid w:val="4C8E76F1"/>
    <w:rsid w:val="4D1202BB"/>
    <w:rsid w:val="4E8C1884"/>
    <w:rsid w:val="4F971260"/>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C9B7A98"/>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5</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2026-07-03T01:44:13Z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