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1FEEE5">
      <w:pPr>
        <w:pStyle w:val="14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附件6.1室外运动场面层工程技术任务书</w:t>
      </w:r>
    </w:p>
    <w:p w14:paraId="0230E57C">
      <w:pPr>
        <w:pStyle w:val="2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工程概况</w:t>
      </w:r>
    </w:p>
    <w:p w14:paraId="06DAD4F2">
      <w:pPr>
        <w:pStyle w:val="4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工程基本信息</w:t>
      </w:r>
    </w:p>
    <w:p w14:paraId="7F838856">
      <w:pPr>
        <w:keepNext w:val="0"/>
        <w:keepLines w:val="0"/>
        <w:widowControl/>
        <w:suppressLineNumbers w:val="0"/>
        <w:jc w:val="left"/>
        <w:rPr>
          <w:rFonts w:hint="default"/>
          <w:color w:val="auto"/>
          <w:highlight w:val="none"/>
          <w:lang w:val="en-US" w:eastAsia="zh-CN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珠海市香洲区中小学、幼儿园办学场所及停车场改造提升工程项目施工总承包-学校室外跑道、草皮、丙烯酸工程专业分包</w:t>
      </w:r>
      <w:r>
        <w:rPr>
          <w:rFonts w:hint="default"/>
          <w:color w:val="auto"/>
          <w:highlight w:val="none"/>
          <w:lang w:val="en-US" w:eastAsia="zh-CN"/>
        </w:rPr>
        <w:t>。</w:t>
      </w:r>
    </w:p>
    <w:p w14:paraId="30BDF6BD">
      <w:pPr>
        <w:pStyle w:val="4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项目地点</w:t>
      </w:r>
    </w:p>
    <w:p w14:paraId="233584BC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珠海市香洲区</w:t>
      </w:r>
      <w:r>
        <w:rPr>
          <w:rFonts w:hint="eastAsia"/>
          <w:lang w:val="en-US" w:eastAsia="zh-CN"/>
        </w:rPr>
        <w:t>分散于各校区内</w:t>
      </w:r>
    </w:p>
    <w:p w14:paraId="6034A767">
      <w:pPr>
        <w:pStyle w:val="4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项目建设内容</w:t>
      </w:r>
    </w:p>
    <w:p w14:paraId="36AEB2D4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跑道工程：13mm厚预制型橡胶卷材跑道铺设</w:t>
      </w:r>
    </w:p>
    <w:p w14:paraId="79ACC549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球场工程：丙烯酸面层篮球场、排球场等</w:t>
      </w:r>
    </w:p>
    <w:p w14:paraId="6542FAB1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足球场工程：人造草坪足球场铺设</w:t>
      </w:r>
    </w:p>
    <w:p w14:paraId="5E5043FF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运动地板工程：聚氯乙烯（PVC）运动地板铺设</w:t>
      </w:r>
    </w:p>
    <w:p w14:paraId="0A2CC1A8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原有面层处理：原丙烯酸面层铲除打磨等</w:t>
      </w:r>
      <w:bookmarkStart w:id="0" w:name="_GoBack"/>
      <w:bookmarkEnd w:id="0"/>
    </w:p>
    <w:p w14:paraId="1D58A429">
      <w:pPr>
        <w:pStyle w:val="4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施工场地管理要求</w:t>
      </w:r>
    </w:p>
    <w:p w14:paraId="1B33B872">
      <w:pPr>
        <w:pStyle w:val="22"/>
        <w:bidi w:val="0"/>
      </w:pPr>
      <w:r>
        <w:t>投标人须踏勘熟悉校园场地现状、施工边界、管控及教学时段、机械进出条件，明确出入口、道路限高限宽及承载力；所有机械、材料运输车辆须按校方审批路线、时段通行，不得擅自改道、占用非施工道路、碾压绿化带及消防通道</w:t>
      </w:r>
      <w:r>
        <w:rPr>
          <w:rFonts w:hint="eastAsia"/>
          <w:lang w:eastAsia="zh-CN"/>
        </w:rPr>
        <w:t>；</w:t>
      </w:r>
    </w:p>
    <w:p w14:paraId="35BEC4AB">
      <w:pPr>
        <w:pStyle w:val="22"/>
        <w:bidi w:val="0"/>
      </w:pPr>
      <w:r>
        <w:t>机械车辆进出避开学生上下学高峰，确需通行须提前1个工作日报校方书面审批，并专人全程交通引导</w:t>
      </w:r>
      <w:r>
        <w:rPr>
          <w:rFonts w:hint="eastAsia"/>
          <w:lang w:eastAsia="zh-CN"/>
        </w:rPr>
        <w:t>；</w:t>
      </w:r>
    </w:p>
    <w:p w14:paraId="18C7AD0D">
      <w:pPr>
        <w:pStyle w:val="22"/>
        <w:bidi w:val="0"/>
      </w:pPr>
      <w:r>
        <w:t>校内车辆限速5km/h，禁止鸣笛、超速抢行；运输车辆出场须冲洗干净，严禁带泥上路、沿途撒漏，遵守珠海城市道路运输规定</w:t>
      </w:r>
      <w:r>
        <w:rPr>
          <w:rFonts w:hint="eastAsia"/>
          <w:lang w:eastAsia="zh-CN"/>
        </w:rPr>
        <w:t>；</w:t>
      </w:r>
    </w:p>
    <w:p w14:paraId="7119ADCB">
      <w:pPr>
        <w:pStyle w:val="22"/>
        <w:bidi w:val="0"/>
      </w:pPr>
      <w:r>
        <w:t>施工机械仅限划定封闭区域停放，不得随意停放、擅自转场；转场须封闭围挡、专人引导并避让学生区域。进场机械须验收合格、证件齐全，报监理备案后方可使用，禁用报废、无证、带病设备</w:t>
      </w:r>
      <w:r>
        <w:rPr>
          <w:rFonts w:hint="eastAsia"/>
          <w:lang w:eastAsia="zh-CN"/>
        </w:rPr>
        <w:t>；</w:t>
      </w:r>
    </w:p>
    <w:p w14:paraId="3EDE6389">
      <w:pPr>
        <w:pStyle w:val="22"/>
        <w:bidi w:val="0"/>
      </w:pPr>
      <w:r>
        <w:t>施工废水、废料及垃圾严格按校方指定路线处置清运</w:t>
      </w:r>
      <w:r>
        <w:rPr>
          <w:rFonts w:hint="eastAsia"/>
          <w:lang w:eastAsia="zh-CN"/>
        </w:rPr>
        <w:t>；</w:t>
      </w:r>
    </w:p>
    <w:p w14:paraId="6816147A">
      <w:pPr>
        <w:pStyle w:val="22"/>
        <w:bidi w:val="0"/>
      </w:pPr>
      <w:r>
        <w:t>施工全程服从校方管理，维护教学秩序，按要求在校园临时活动、考试期间停工。</w:t>
      </w:r>
    </w:p>
    <w:p w14:paraId="7B59AF3C">
      <w:pPr>
        <w:pStyle w:val="4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工期要求</w:t>
      </w:r>
    </w:p>
    <w:p w14:paraId="5368EED0"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总工期：120日历天（暂定），中标单位须严格按照招标人下达工期及各校区节点计划组织施工，确保按期完工</w:t>
      </w:r>
      <w:r>
        <w:rPr>
          <w:rFonts w:hint="eastAsia"/>
          <w:lang w:val="en-US" w:eastAsia="zh-CN"/>
        </w:rPr>
        <w:t>；</w:t>
      </w:r>
    </w:p>
    <w:p w14:paraId="7E68C482"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招标人有权根据校方实际需求调整各校区施工先后顺序。</w:t>
      </w:r>
    </w:p>
    <w:p w14:paraId="39B1BC08">
      <w:pPr>
        <w:pStyle w:val="2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编制依据</w:t>
      </w:r>
    </w:p>
    <w:p w14:paraId="4477D87D">
      <w:pPr>
        <w:pStyle w:val="27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编制依据一览表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5933"/>
        <w:gridCol w:w="2390"/>
      </w:tblGrid>
      <w:tr w14:paraId="42362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135" w:type="dxa"/>
            <w:tcBorders>
              <w:top w:val="single" w:color="000000" w:themeColor="dark1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497D1D5B">
            <w:pPr>
              <w:pStyle w:val="32"/>
              <w:bidi w:val="0"/>
              <w:jc w:val="center"/>
              <w:rPr>
                <w:rFonts w:hint="default"/>
                <w:b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b/>
                <w:i w:val="0"/>
                <w:color w:val="auto"/>
                <w:highlight w:val="none"/>
                <w:lang w:val="en-US" w:eastAsia="zh-CN"/>
              </w:rPr>
              <w:t>序号</w:t>
            </w:r>
          </w:p>
        </w:tc>
        <w:tc>
          <w:tcPr>
            <w:tcW w:w="5933" w:type="dxa"/>
            <w:tcBorders>
              <w:top w:val="single" w:color="000000" w:themeColor="dark1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3D9051DB">
            <w:pPr>
              <w:pStyle w:val="32"/>
              <w:bidi w:val="0"/>
              <w:jc w:val="center"/>
              <w:rPr>
                <w:rFonts w:hint="default"/>
                <w:b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b/>
                <w:i w:val="0"/>
                <w:color w:val="auto"/>
                <w:highlight w:val="none"/>
                <w:lang w:val="en-US" w:eastAsia="zh-CN"/>
              </w:rPr>
              <w:t>资料/规范名称</w:t>
            </w:r>
          </w:p>
        </w:tc>
        <w:tc>
          <w:tcPr>
            <w:tcW w:w="2390" w:type="dxa"/>
            <w:tcBorders>
              <w:top w:val="single" w:color="000000" w:themeColor="dark1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61958271">
            <w:pPr>
              <w:pStyle w:val="32"/>
              <w:bidi w:val="0"/>
              <w:jc w:val="center"/>
              <w:rPr>
                <w:rFonts w:hint="default"/>
                <w:b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b/>
                <w:i w:val="0"/>
                <w:color w:val="auto"/>
                <w:highlight w:val="none"/>
                <w:lang w:val="en-US" w:eastAsia="zh-CN"/>
              </w:rPr>
              <w:t>规范编号</w:t>
            </w:r>
          </w:p>
        </w:tc>
      </w:tr>
      <w:tr w14:paraId="3F38C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424E6897">
            <w:pPr>
              <w:pStyle w:val="32"/>
              <w:bidi w:val="0"/>
              <w:jc w:val="center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1</w:t>
            </w:r>
          </w:p>
        </w:tc>
        <w:tc>
          <w:tcPr>
            <w:tcW w:w="5933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6502D996">
            <w:pPr>
              <w:pStyle w:val="32"/>
              <w:bidi w:val="0"/>
              <w:jc w:val="center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本项目设计</w:t>
            </w: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图纸、</w:t>
            </w: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设计相关技术资料</w:t>
            </w:r>
          </w:p>
        </w:tc>
        <w:tc>
          <w:tcPr>
            <w:tcW w:w="2390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650D1DBB">
            <w:pPr>
              <w:pStyle w:val="32"/>
              <w:bidi w:val="0"/>
              <w:jc w:val="center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/</w:t>
            </w:r>
          </w:p>
        </w:tc>
      </w:tr>
      <w:tr w14:paraId="0A194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19528A64">
            <w:pPr>
              <w:pStyle w:val="32"/>
              <w:bidi w:val="0"/>
              <w:jc w:val="center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2</w:t>
            </w:r>
          </w:p>
        </w:tc>
        <w:tc>
          <w:tcPr>
            <w:tcW w:w="5933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4671AF3D">
            <w:pPr>
              <w:pStyle w:val="32"/>
              <w:bidi w:val="0"/>
              <w:ind w:firstLine="0" w:firstLineChars="0"/>
              <w:jc w:val="center"/>
              <w:rPr>
                <w:rFonts w:hint="default" w:ascii="Times New Roman" w:hAnsi="Times New Roman" w:eastAsia="宋体" w:cstheme="minorBidi"/>
                <w:b w:val="0"/>
                <w:i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中小学合成材料面层运动场地</w:t>
            </w:r>
          </w:p>
        </w:tc>
        <w:tc>
          <w:tcPr>
            <w:tcW w:w="2390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36CCB2CE">
            <w:pPr>
              <w:pStyle w:val="32"/>
              <w:bidi w:val="0"/>
              <w:ind w:firstLine="0" w:firstLineChars="0"/>
              <w:jc w:val="center"/>
              <w:rPr>
                <w:rFonts w:hint="default" w:ascii="Times New Roman" w:hAnsi="Times New Roman" w:eastAsia="宋体" w:cstheme="minorBidi"/>
                <w:b w:val="0"/>
                <w:i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GB36246-2018</w:t>
            </w:r>
          </w:p>
        </w:tc>
      </w:tr>
      <w:tr w14:paraId="08012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5D7DFB33">
            <w:pPr>
              <w:pStyle w:val="32"/>
              <w:bidi w:val="0"/>
              <w:jc w:val="center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3</w:t>
            </w:r>
          </w:p>
        </w:tc>
        <w:tc>
          <w:tcPr>
            <w:tcW w:w="5933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00013D9A">
            <w:pPr>
              <w:pStyle w:val="32"/>
              <w:bidi w:val="0"/>
              <w:ind w:firstLine="0" w:firstLineChars="0"/>
              <w:jc w:val="center"/>
              <w:rPr>
                <w:rFonts w:hint="default" w:ascii="Times New Roman" w:hAnsi="Times New Roman" w:eastAsia="宋体" w:cstheme="minorBidi"/>
                <w:b w:val="0"/>
                <w:i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合成材料运动场地面层</w:t>
            </w:r>
          </w:p>
        </w:tc>
        <w:tc>
          <w:tcPr>
            <w:tcW w:w="2390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23D2D50A">
            <w:pPr>
              <w:pStyle w:val="32"/>
              <w:bidi w:val="0"/>
              <w:ind w:firstLine="0" w:firstLineChars="0"/>
              <w:jc w:val="center"/>
              <w:rPr>
                <w:rFonts w:hint="default" w:ascii="Times New Roman" w:hAnsi="Times New Roman" w:eastAsia="宋体" w:cstheme="minorBidi"/>
                <w:b w:val="0"/>
                <w:i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GB/T14833-2020</w:t>
            </w:r>
          </w:p>
        </w:tc>
      </w:tr>
      <w:tr w14:paraId="39192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248EDDD6">
            <w:pPr>
              <w:pStyle w:val="32"/>
              <w:bidi w:val="0"/>
              <w:jc w:val="center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4</w:t>
            </w:r>
          </w:p>
        </w:tc>
        <w:tc>
          <w:tcPr>
            <w:tcW w:w="5933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77371E54">
            <w:pPr>
              <w:pStyle w:val="32"/>
              <w:bidi w:val="0"/>
              <w:ind w:firstLine="0" w:firstLineChars="0"/>
              <w:jc w:val="center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中小学校体育设施技术规程</w:t>
            </w:r>
          </w:p>
        </w:tc>
        <w:tc>
          <w:tcPr>
            <w:tcW w:w="2390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0F746FB1">
            <w:pPr>
              <w:pStyle w:val="32"/>
              <w:bidi w:val="0"/>
              <w:ind w:firstLine="0" w:firstLineChars="0"/>
              <w:jc w:val="center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JGJ/T280-2012</w:t>
            </w:r>
          </w:p>
        </w:tc>
      </w:tr>
      <w:tr w14:paraId="686CE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000000" w:themeColor="dark1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154BFE65">
            <w:pPr>
              <w:pStyle w:val="32"/>
              <w:bidi w:val="0"/>
              <w:jc w:val="center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5933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000000" w:themeColor="dark1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65F35BA9">
            <w:pPr>
              <w:pStyle w:val="32"/>
              <w:bidi w:val="0"/>
              <w:ind w:firstLine="0" w:firstLineChars="0"/>
              <w:jc w:val="center"/>
              <w:rPr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涂料中有害物质限量第1部分：建筑涂料</w:t>
            </w:r>
          </w:p>
        </w:tc>
        <w:tc>
          <w:tcPr>
            <w:tcW w:w="2390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000000" w:themeColor="dark1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2206E5DC">
            <w:pPr>
              <w:pStyle w:val="32"/>
              <w:bidi w:val="0"/>
              <w:ind w:firstLine="0" w:firstLineChars="0"/>
              <w:jc w:val="center"/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GB30981.1-2025</w:t>
            </w:r>
          </w:p>
        </w:tc>
      </w:tr>
      <w:tr w14:paraId="1E3CA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000000" w:themeColor="dark1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5912568F">
            <w:pPr>
              <w:pStyle w:val="32"/>
              <w:bidi w:val="0"/>
              <w:jc w:val="center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6</w:t>
            </w:r>
          </w:p>
        </w:tc>
        <w:tc>
          <w:tcPr>
            <w:tcW w:w="5933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000000" w:themeColor="dark1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7C509339">
            <w:pPr>
              <w:pStyle w:val="32"/>
              <w:bidi w:val="0"/>
              <w:ind w:firstLine="0" w:firstLineChars="0"/>
              <w:jc w:val="center"/>
              <w:rPr>
                <w:rFonts w:hint="default" w:ascii="Times New Roman" w:hAnsi="Times New Roman" w:eastAsia="宋体" w:cstheme="minorBidi"/>
                <w:b w:val="0"/>
                <w:i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国家、广东省、珠海市现行的安全生产、文明施工、环境保护、校园安全管理、中小学教学秩序保障相关法律法规及规范标准</w:t>
            </w:r>
          </w:p>
        </w:tc>
        <w:tc>
          <w:tcPr>
            <w:tcW w:w="2390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000000" w:themeColor="dark1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48B4CA93">
            <w:pPr>
              <w:pStyle w:val="32"/>
              <w:bidi w:val="0"/>
              <w:ind w:firstLine="0" w:firstLineChars="0"/>
              <w:jc w:val="center"/>
              <w:rPr>
                <w:rFonts w:hint="default" w:ascii="Times New Roman" w:hAnsi="Times New Roman" w:eastAsia="宋体" w:cstheme="minorBidi"/>
                <w:b w:val="0"/>
                <w:i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/</w:t>
            </w:r>
          </w:p>
        </w:tc>
      </w:tr>
    </w:tbl>
    <w:p w14:paraId="1CC53AAA">
      <w:pPr>
        <w:pStyle w:val="2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材料技术要求</w:t>
      </w:r>
    </w:p>
    <w:p w14:paraId="1C8BB172">
      <w:pPr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所有材料物理性能、化学环保指标必须满足设计图纸及现行国家、行业规范要求；投标阶段须提供CMA、CNAS双资质第三方检测报告；预制型橡胶跑道卷材须同时持有世界田联、中国田径协会有效产品审定认证证书。</w:t>
      </w:r>
    </w:p>
    <w:p w14:paraId="4BA0A547">
      <w:pPr>
        <w:pStyle w:val="4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现浇/预制型橡胶跑道面层</w:t>
      </w:r>
    </w:p>
    <w:p w14:paraId="05CCC800">
      <w:pPr>
        <w:pStyle w:val="5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物理性能要求</w:t>
      </w:r>
    </w:p>
    <w:p w14:paraId="5902022D">
      <w:pPr>
        <w:pStyle w:val="27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color w:val="auto"/>
          <w:highlight w:val="none"/>
        </w:rPr>
        <w:t>现浇型和预制型面层物理机械性能</w:t>
      </w:r>
      <w:r>
        <w:rPr>
          <w:rFonts w:hint="eastAsia"/>
          <w:color w:val="auto"/>
          <w:highlight w:val="none"/>
          <w:lang w:val="en-US" w:eastAsia="zh-CN"/>
        </w:rPr>
        <w:t>设计</w:t>
      </w:r>
      <w:r>
        <w:rPr>
          <w:color w:val="auto"/>
          <w:highlight w:val="none"/>
        </w:rPr>
        <w:t>要求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29"/>
        <w:gridCol w:w="4729"/>
      </w:tblGrid>
      <w:tr w14:paraId="23172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blHeader/>
        </w:trPr>
        <w:tc>
          <w:tcPr>
            <w:tcW w:w="4729" w:type="dxa"/>
            <w:tcBorders>
              <w:top w:val="single" w:color="000000" w:themeColor="dark1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00E144EC">
            <w:pPr>
              <w:pStyle w:val="32"/>
              <w:bidi w:val="0"/>
              <w:ind w:firstLine="0" w:firstLineChars="0"/>
              <w:rPr>
                <w:rFonts w:hint="default"/>
                <w:b/>
                <w:i w:val="0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b/>
                <w:i w:val="0"/>
                <w:color w:val="auto"/>
                <w:highlight w:val="none"/>
                <w:lang w:val="en-US" w:eastAsia="zh-CN"/>
              </w:rPr>
              <w:t>项目名称</w:t>
            </w:r>
          </w:p>
        </w:tc>
        <w:tc>
          <w:tcPr>
            <w:tcW w:w="4729" w:type="dxa"/>
            <w:tcBorders>
              <w:top w:val="single" w:color="000000" w:themeColor="dark1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5F99036A">
            <w:pPr>
              <w:pStyle w:val="32"/>
              <w:bidi w:val="0"/>
              <w:ind w:firstLine="0" w:firstLineChars="0"/>
              <w:rPr>
                <w:rFonts w:hint="default"/>
                <w:b/>
                <w:i w:val="0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b/>
                <w:i w:val="0"/>
                <w:color w:val="auto"/>
                <w:highlight w:val="none"/>
                <w:lang w:val="en-US" w:eastAsia="zh-CN"/>
              </w:rPr>
              <w:t>规格</w:t>
            </w:r>
          </w:p>
        </w:tc>
      </w:tr>
      <w:tr w14:paraId="41927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9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040967C3">
            <w:pPr>
              <w:pStyle w:val="32"/>
              <w:bidi w:val="0"/>
              <w:ind w:firstLine="0" w:firstLineChars="0"/>
              <w:rPr>
                <w:rFonts w:hint="default"/>
                <w:b w:val="0"/>
                <w:i w:val="0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拉伸强度MPa</w:t>
            </w:r>
          </w:p>
        </w:tc>
        <w:tc>
          <w:tcPr>
            <w:tcW w:w="4729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4B47138C">
            <w:pPr>
              <w:pStyle w:val="32"/>
              <w:bidi w:val="0"/>
              <w:ind w:firstLine="0" w:firstLineChars="0"/>
              <w:rPr>
                <w:rFonts w:hint="default"/>
                <w:b w:val="0"/>
                <w:i w:val="0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≥0.5</w:t>
            </w:r>
          </w:p>
        </w:tc>
      </w:tr>
      <w:tr w14:paraId="7EE9C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9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61D7193C">
            <w:pPr>
              <w:pStyle w:val="32"/>
              <w:bidi w:val="0"/>
              <w:ind w:firstLine="0" w:firstLineChars="0"/>
              <w:rPr>
                <w:rFonts w:hint="default"/>
                <w:b w:val="0"/>
                <w:i w:val="0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拉断伸长率%</w:t>
            </w:r>
          </w:p>
        </w:tc>
        <w:tc>
          <w:tcPr>
            <w:tcW w:w="4729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3F7211E7">
            <w:pPr>
              <w:pStyle w:val="32"/>
              <w:bidi w:val="0"/>
              <w:ind w:firstLine="0" w:firstLineChars="0"/>
              <w:rPr>
                <w:rFonts w:hint="default"/>
                <w:b w:val="0"/>
                <w:i w:val="0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≥40</w:t>
            </w:r>
          </w:p>
        </w:tc>
      </w:tr>
      <w:tr w14:paraId="75BBC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9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466F692F">
            <w:pPr>
              <w:pStyle w:val="32"/>
              <w:bidi w:val="0"/>
              <w:ind w:firstLine="0" w:firstLineChars="0"/>
              <w:rPr>
                <w:rFonts w:hint="default"/>
                <w:b w:val="0"/>
                <w:i w:val="0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冲击吸收%</w:t>
            </w:r>
          </w:p>
        </w:tc>
        <w:tc>
          <w:tcPr>
            <w:tcW w:w="4729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73273336">
            <w:pPr>
              <w:pStyle w:val="32"/>
              <w:bidi w:val="0"/>
              <w:ind w:firstLine="0" w:firstLineChars="0"/>
              <w:rPr>
                <w:rFonts w:hint="default"/>
                <w:b w:val="0"/>
                <w:i w:val="0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35-50</w:t>
            </w:r>
          </w:p>
        </w:tc>
      </w:tr>
      <w:tr w14:paraId="40BD6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9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1C19AE26">
            <w:pPr>
              <w:pStyle w:val="32"/>
              <w:bidi w:val="0"/>
              <w:ind w:firstLine="0" w:firstLineChars="0"/>
              <w:rPr>
                <w:rFonts w:hint="default"/>
                <w:b w:val="0"/>
                <w:i w:val="0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垂直变形mm</w:t>
            </w:r>
          </w:p>
        </w:tc>
        <w:tc>
          <w:tcPr>
            <w:tcW w:w="4729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7051B479">
            <w:pPr>
              <w:pStyle w:val="32"/>
              <w:bidi w:val="0"/>
              <w:ind w:firstLine="0" w:firstLineChars="0"/>
              <w:rPr>
                <w:rFonts w:hint="default"/>
                <w:b w:val="0"/>
                <w:i w:val="0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0.6-2.5</w:t>
            </w:r>
          </w:p>
        </w:tc>
      </w:tr>
      <w:tr w14:paraId="0D4A0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9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62CE9F22">
            <w:pPr>
              <w:pStyle w:val="32"/>
              <w:bidi w:val="0"/>
              <w:ind w:firstLine="0" w:firstLineChars="0"/>
              <w:rPr>
                <w:rFonts w:hint="default"/>
                <w:b w:val="0"/>
                <w:i w:val="0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抗滑值PN20℃</w:t>
            </w:r>
          </w:p>
        </w:tc>
        <w:tc>
          <w:tcPr>
            <w:tcW w:w="4729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3AE6E8C8">
            <w:pPr>
              <w:pStyle w:val="32"/>
              <w:bidi w:val="0"/>
              <w:ind w:firstLine="0" w:firstLineChars="0"/>
              <w:rPr>
                <w:rFonts w:hint="default"/>
                <w:b w:val="0"/>
                <w:i w:val="0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≥47</w:t>
            </w:r>
          </w:p>
        </w:tc>
      </w:tr>
      <w:tr w14:paraId="26CC2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9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000000" w:themeColor="dark1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262357D9">
            <w:pPr>
              <w:pStyle w:val="32"/>
              <w:bidi w:val="0"/>
              <w:ind w:firstLine="0" w:firstLineChars="0"/>
              <w:rPr>
                <w:rFonts w:hint="default"/>
                <w:b w:val="0"/>
                <w:i w:val="0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阻燃性/级</w:t>
            </w:r>
          </w:p>
        </w:tc>
        <w:tc>
          <w:tcPr>
            <w:tcW w:w="4729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000000" w:themeColor="dark1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0032DC27">
            <w:pPr>
              <w:pStyle w:val="32"/>
              <w:bidi w:val="0"/>
              <w:ind w:firstLine="0" w:firstLineChars="0"/>
              <w:rPr>
                <w:rFonts w:hint="default"/>
                <w:b w:val="0"/>
                <w:i w:val="0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Ⅰ级，燃斑直径≤50</w:t>
            </w:r>
          </w:p>
        </w:tc>
      </w:tr>
    </w:tbl>
    <w:p w14:paraId="52942AC5">
      <w:pPr>
        <w:pStyle w:val="27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耐磨性能以及抗紫外线老化性能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29"/>
        <w:gridCol w:w="4729"/>
      </w:tblGrid>
      <w:tr w14:paraId="6C20A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4729" w:type="dxa"/>
            <w:tcBorders>
              <w:top w:val="single" w:color="000000" w:themeColor="dark1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369D38C3">
            <w:pPr>
              <w:pStyle w:val="32"/>
              <w:bidi w:val="0"/>
              <w:jc w:val="center"/>
              <w:rPr>
                <w:rFonts w:hint="default"/>
                <w:b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/>
                <w:i w:val="0"/>
                <w:color w:val="auto"/>
                <w:highlight w:val="none"/>
                <w:lang w:val="en-US" w:eastAsia="zh-CN"/>
              </w:rPr>
              <w:t>项目</w:t>
            </w:r>
          </w:p>
        </w:tc>
        <w:tc>
          <w:tcPr>
            <w:tcW w:w="4729" w:type="dxa"/>
            <w:tcBorders>
              <w:top w:val="single" w:color="000000" w:themeColor="dark1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7E34B381">
            <w:pPr>
              <w:pStyle w:val="32"/>
              <w:bidi w:val="0"/>
              <w:jc w:val="center"/>
              <w:rPr>
                <w:rFonts w:hint="default"/>
                <w:b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/>
                <w:i w:val="0"/>
                <w:color w:val="auto"/>
                <w:highlight w:val="none"/>
                <w:lang w:val="en-US" w:eastAsia="zh-CN"/>
              </w:rPr>
              <w:t>技术参数与标准要求</w:t>
            </w:r>
          </w:p>
        </w:tc>
      </w:tr>
      <w:tr w14:paraId="4AA64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9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1DC41000">
            <w:pPr>
              <w:pStyle w:val="32"/>
              <w:bidi w:val="0"/>
              <w:jc w:val="center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耐磨性能</w:t>
            </w: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​</w:t>
            </w:r>
          </w:p>
        </w:tc>
        <w:tc>
          <w:tcPr>
            <w:tcW w:w="4729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7A35A0B9">
            <w:pPr>
              <w:pStyle w:val="32"/>
              <w:bidi w:val="0"/>
              <w:jc w:val="center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在500转至1500转范围内，磨损质量≤4.0克</w:t>
            </w:r>
          </w:p>
        </w:tc>
      </w:tr>
      <w:tr w14:paraId="2788A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9" w:type="dxa"/>
            <w:vMerge w:val="restart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3D44A7C5">
            <w:pPr>
              <w:pStyle w:val="32"/>
              <w:bidi w:val="0"/>
              <w:jc w:val="center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加速老化性能</w:t>
            </w: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​</w:t>
            </w:r>
          </w:p>
        </w:tc>
        <w:tc>
          <w:tcPr>
            <w:tcW w:w="4729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65AFD5AA">
            <w:pPr>
              <w:pStyle w:val="32"/>
              <w:bidi w:val="0"/>
              <w:jc w:val="center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经800小时加速老化后：</w:t>
            </w:r>
          </w:p>
        </w:tc>
      </w:tr>
      <w:tr w14:paraId="6750A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9" w:type="dxa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4A721803">
            <w:pPr>
              <w:pStyle w:val="32"/>
              <w:bidi w:val="0"/>
              <w:jc w:val="center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4729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6CC0249C">
            <w:pPr>
              <w:pStyle w:val="32"/>
              <w:bidi w:val="0"/>
              <w:jc w:val="center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1.拉伸强度≥0.55MPa</w:t>
            </w:r>
          </w:p>
        </w:tc>
      </w:tr>
      <w:tr w14:paraId="1D746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9" w:type="dxa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47D60ED6">
            <w:pPr>
              <w:pStyle w:val="32"/>
              <w:bidi w:val="0"/>
              <w:jc w:val="center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4729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0A022377">
            <w:pPr>
              <w:pStyle w:val="32"/>
              <w:bidi w:val="0"/>
              <w:jc w:val="center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2.扯断伸长率≥55%</w:t>
            </w:r>
          </w:p>
        </w:tc>
      </w:tr>
      <w:tr w14:paraId="1546D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9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07E4ED2D">
            <w:pPr>
              <w:pStyle w:val="32"/>
              <w:bidi w:val="0"/>
              <w:jc w:val="center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耐UVA老化色牢度</w:t>
            </w: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​</w:t>
            </w:r>
          </w:p>
        </w:tc>
        <w:tc>
          <w:tcPr>
            <w:tcW w:w="4729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2C15B384">
            <w:pPr>
              <w:pStyle w:val="32"/>
              <w:bidi w:val="0"/>
              <w:jc w:val="center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经2000小时加速UVA老化后，色差灰阶值≥3</w:t>
            </w:r>
          </w:p>
        </w:tc>
      </w:tr>
      <w:tr w14:paraId="487CE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9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000000" w:themeColor="dark1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4503C7FE">
            <w:pPr>
              <w:pStyle w:val="32"/>
              <w:bidi w:val="0"/>
              <w:jc w:val="center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老化后耐磨性能</w:t>
            </w: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​</w:t>
            </w:r>
          </w:p>
        </w:tc>
        <w:tc>
          <w:tcPr>
            <w:tcW w:w="4729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000000" w:themeColor="dark1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4B7E214D">
            <w:pPr>
              <w:pStyle w:val="32"/>
              <w:bidi w:val="0"/>
              <w:jc w:val="center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经2000小时加速UVA老化后，在500转至1500转范围内，磨损质量≤4.0克</w:t>
            </w:r>
          </w:p>
        </w:tc>
      </w:tr>
    </w:tbl>
    <w:p w14:paraId="187CB0C7">
      <w:pPr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注：</w:t>
      </w:r>
      <w:r>
        <w:rPr>
          <w:rFonts w:ascii="宋体" w:hAnsi="宋体" w:eastAsia="宋体" w:cs="宋体"/>
          <w:color w:val="auto"/>
          <w:sz w:val="24"/>
          <w:szCs w:val="24"/>
          <w:highlight w:val="none"/>
        </w:rPr>
        <w:t>投标人投标时若暂无法提供全部性能检测报告，须在投标文件中出具书面承诺，承诺中标后、合同签订及材料进场前，限期补齐符合标准的全套检测报告与相关认证资料。</w:t>
      </w:r>
    </w:p>
    <w:p w14:paraId="242C9B7D">
      <w:pPr>
        <w:pStyle w:val="5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有害物质及限量</w:t>
      </w:r>
    </w:p>
    <w:p w14:paraId="7E5A0B1C">
      <w:pPr>
        <w:pStyle w:val="27"/>
        <w:bidi w:val="0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现浇橡胶面层及预制橡胶卷材有害物质</w:t>
      </w:r>
    </w:p>
    <w:tbl>
      <w:tblPr>
        <w:tblStyle w:val="15"/>
        <w:tblW w:w="92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5"/>
        <w:gridCol w:w="6336"/>
        <w:gridCol w:w="919"/>
      </w:tblGrid>
      <w:tr w14:paraId="05EC7D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  <w:tblHeader/>
          <w:jc w:val="center"/>
        </w:trPr>
        <w:tc>
          <w:tcPr>
            <w:tcW w:w="8301" w:type="dxa"/>
            <w:gridSpan w:val="2"/>
            <w:tcBorders>
              <w:top w:val="single" w:color="000000" w:themeColor="dark1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10FFB5CE">
            <w:pPr>
              <w:pStyle w:val="32"/>
              <w:bidi w:val="0"/>
              <w:rPr>
                <w:b/>
                <w:i w:val="0"/>
                <w:color w:val="auto"/>
                <w:highlight w:val="none"/>
              </w:rPr>
            </w:pPr>
            <w:r>
              <w:rPr>
                <w:rFonts w:hint="eastAsia"/>
                <w:b/>
                <w:i w:val="0"/>
                <w:color w:val="auto"/>
                <w:highlight w:val="none"/>
              </w:rPr>
              <w:t>项目</w:t>
            </w:r>
          </w:p>
        </w:tc>
        <w:tc>
          <w:tcPr>
            <w:tcW w:w="919" w:type="dxa"/>
            <w:tcBorders>
              <w:top w:val="single" w:color="000000" w:themeColor="dark1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4367463C">
            <w:pPr>
              <w:pStyle w:val="32"/>
              <w:bidi w:val="0"/>
              <w:rPr>
                <w:b/>
                <w:i w:val="0"/>
                <w:color w:val="auto"/>
                <w:highlight w:val="none"/>
              </w:rPr>
            </w:pPr>
            <w:r>
              <w:rPr>
                <w:b/>
                <w:i w:val="0"/>
                <w:color w:val="auto"/>
                <w:highlight w:val="none"/>
              </w:rPr>
              <w:t>要求</w:t>
            </w:r>
          </w:p>
        </w:tc>
      </w:tr>
      <w:tr w14:paraId="410F30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exact"/>
          <w:jc w:val="center"/>
        </w:trPr>
        <w:tc>
          <w:tcPr>
            <w:tcW w:w="1965" w:type="dxa"/>
            <w:vMerge w:val="restart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04CE6181"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  <w:r>
              <w:rPr>
                <w:b w:val="0"/>
                <w:i w:val="0"/>
                <w:color w:val="auto"/>
                <w:highlight w:val="none"/>
              </w:rPr>
              <w:t>有害物质含量</w:t>
            </w:r>
          </w:p>
        </w:tc>
        <w:tc>
          <w:tcPr>
            <w:tcW w:w="6336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599D774D"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  <w:r>
              <w:rPr>
                <w:b w:val="0"/>
                <w:i w:val="0"/>
                <w:color w:val="auto"/>
                <w:highlight w:val="none"/>
              </w:rPr>
              <w:t>3种邻苯二甲酸酯类化合物（DBP、BBP、DEHP）总和/(g/kg)</w:t>
            </w:r>
          </w:p>
        </w:tc>
        <w:tc>
          <w:tcPr>
            <w:tcW w:w="919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39533574"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  <w:r>
              <w:rPr>
                <w:b w:val="0"/>
                <w:i w:val="0"/>
                <w:color w:val="auto"/>
                <w:highlight w:val="none"/>
              </w:rPr>
              <w:t>≤1.0</w:t>
            </w:r>
          </w:p>
        </w:tc>
      </w:tr>
      <w:tr w14:paraId="34D0BD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exact"/>
          <w:jc w:val="center"/>
        </w:trPr>
        <w:tc>
          <w:tcPr>
            <w:tcW w:w="1965" w:type="dxa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2C364022"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</w:p>
        </w:tc>
        <w:tc>
          <w:tcPr>
            <w:tcW w:w="6336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4C68E0AE"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  <w:r>
              <w:rPr>
                <w:b w:val="0"/>
                <w:i w:val="0"/>
                <w:color w:val="auto"/>
                <w:highlight w:val="none"/>
              </w:rPr>
              <w:t>3种邻苯二甲酸酯类化合物（DNOP、DINP、DIDP）总和/(g/kg)</w:t>
            </w:r>
          </w:p>
        </w:tc>
        <w:tc>
          <w:tcPr>
            <w:tcW w:w="919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61980D0B"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  <w:r>
              <w:rPr>
                <w:b w:val="0"/>
                <w:i w:val="0"/>
                <w:color w:val="auto"/>
                <w:highlight w:val="none"/>
              </w:rPr>
              <w:t>≤1.0</w:t>
            </w:r>
          </w:p>
        </w:tc>
      </w:tr>
      <w:tr w14:paraId="72ED7C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exact"/>
          <w:jc w:val="center"/>
        </w:trPr>
        <w:tc>
          <w:tcPr>
            <w:tcW w:w="1965" w:type="dxa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68829C24"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</w:p>
        </w:tc>
        <w:tc>
          <w:tcPr>
            <w:tcW w:w="6336" w:type="dxa"/>
            <w:vMerge w:val="restart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455525F7"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  <w:r>
              <w:rPr>
                <w:b w:val="0"/>
                <w:i w:val="0"/>
                <w:color w:val="auto"/>
                <w:highlight w:val="none"/>
              </w:rPr>
              <w:t>18种多环芳烃总和/(mg/kg)</w:t>
            </w:r>
          </w:p>
        </w:tc>
        <w:tc>
          <w:tcPr>
            <w:tcW w:w="919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1CC75C2B"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  <w:r>
              <w:rPr>
                <w:b w:val="0"/>
                <w:i w:val="0"/>
                <w:color w:val="auto"/>
                <w:highlight w:val="none"/>
              </w:rPr>
              <w:t>≤50</w:t>
            </w:r>
          </w:p>
        </w:tc>
      </w:tr>
      <w:tr w14:paraId="192D64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exact"/>
          <w:jc w:val="center"/>
        </w:trPr>
        <w:tc>
          <w:tcPr>
            <w:tcW w:w="1965" w:type="dxa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0DBBE8DE"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</w:p>
        </w:tc>
        <w:tc>
          <w:tcPr>
            <w:tcW w:w="6336" w:type="dxa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3B4D7407"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</w:p>
        </w:tc>
        <w:tc>
          <w:tcPr>
            <w:tcW w:w="919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299021EF"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  <w:r>
              <w:rPr>
                <w:b w:val="0"/>
                <w:i w:val="0"/>
                <w:color w:val="auto"/>
                <w:highlight w:val="none"/>
              </w:rPr>
              <w:t>≤20</w:t>
            </w:r>
            <w:r>
              <w:rPr>
                <w:rFonts w:hint="eastAsia"/>
                <w:b w:val="0"/>
                <w:i w:val="0"/>
                <w:color w:val="auto"/>
                <w:highlight w:val="none"/>
              </w:rPr>
              <w:t>c</w:t>
            </w:r>
          </w:p>
        </w:tc>
      </w:tr>
      <w:tr w14:paraId="518618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965" w:type="dxa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64A44816"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</w:p>
        </w:tc>
        <w:tc>
          <w:tcPr>
            <w:tcW w:w="6336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0155693B"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  <w:r>
              <w:rPr>
                <w:b w:val="0"/>
                <w:i w:val="0"/>
                <w:color w:val="auto"/>
                <w:highlight w:val="none"/>
              </w:rPr>
              <w:t>苯并【a】芘/(mg/kg)</w:t>
            </w:r>
          </w:p>
        </w:tc>
        <w:tc>
          <w:tcPr>
            <w:tcW w:w="919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606BC7F0"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  <w:r>
              <w:rPr>
                <w:b w:val="0"/>
                <w:i w:val="0"/>
                <w:color w:val="auto"/>
                <w:highlight w:val="none"/>
              </w:rPr>
              <w:t>≤1.0</w:t>
            </w:r>
          </w:p>
        </w:tc>
      </w:tr>
      <w:tr w14:paraId="12FB6D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exact"/>
          <w:jc w:val="center"/>
        </w:trPr>
        <w:tc>
          <w:tcPr>
            <w:tcW w:w="1965" w:type="dxa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23F23A89"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</w:p>
        </w:tc>
        <w:tc>
          <w:tcPr>
            <w:tcW w:w="6336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7AE8FC38"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  <w:r>
              <w:rPr>
                <w:b w:val="0"/>
                <w:i w:val="0"/>
                <w:color w:val="auto"/>
                <w:highlight w:val="none"/>
              </w:rPr>
              <w:t>短链氯化石蜡（C10-C13）/(g/kg)</w:t>
            </w:r>
          </w:p>
        </w:tc>
        <w:tc>
          <w:tcPr>
            <w:tcW w:w="919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43393642"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  <w:r>
              <w:rPr>
                <w:b w:val="0"/>
                <w:i w:val="0"/>
                <w:color w:val="auto"/>
                <w:highlight w:val="none"/>
              </w:rPr>
              <w:t>≤1.5</w:t>
            </w:r>
          </w:p>
        </w:tc>
      </w:tr>
      <w:tr w14:paraId="563C02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exact"/>
          <w:jc w:val="center"/>
        </w:trPr>
        <w:tc>
          <w:tcPr>
            <w:tcW w:w="1965" w:type="dxa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128BD831"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</w:p>
        </w:tc>
        <w:tc>
          <w:tcPr>
            <w:tcW w:w="6336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19D871BD"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  <w:r>
              <w:rPr>
                <w:b w:val="0"/>
                <w:i w:val="0"/>
                <w:color w:val="auto"/>
                <w:highlight w:val="none"/>
              </w:rPr>
              <w:t>4,4’-二氨基-3,3’-二氯二苯甲烷（MOCA）(g/kg)</w:t>
            </w:r>
          </w:p>
        </w:tc>
        <w:tc>
          <w:tcPr>
            <w:tcW w:w="919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6F45E38C"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  <w:r>
              <w:rPr>
                <w:b w:val="0"/>
                <w:i w:val="0"/>
                <w:color w:val="auto"/>
                <w:highlight w:val="none"/>
              </w:rPr>
              <w:t>≤1.0</w:t>
            </w:r>
          </w:p>
        </w:tc>
      </w:tr>
      <w:tr w14:paraId="6E1946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exact"/>
          <w:jc w:val="center"/>
        </w:trPr>
        <w:tc>
          <w:tcPr>
            <w:tcW w:w="1965" w:type="dxa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40877547"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</w:p>
        </w:tc>
        <w:tc>
          <w:tcPr>
            <w:tcW w:w="6336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7B36A425"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  <w:r>
              <w:rPr>
                <w:b w:val="0"/>
                <w:i w:val="0"/>
                <w:color w:val="auto"/>
                <w:highlight w:val="none"/>
              </w:rPr>
              <w:t>游离甲苯二异氰酸酯（TDI）和游离六亚甲基二异氰酸酯（HDI）总和(g/kg)</w:t>
            </w:r>
          </w:p>
        </w:tc>
        <w:tc>
          <w:tcPr>
            <w:tcW w:w="919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02DE437D"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  <w:r>
              <w:rPr>
                <w:b w:val="0"/>
                <w:i w:val="0"/>
                <w:color w:val="auto"/>
                <w:highlight w:val="none"/>
              </w:rPr>
              <w:t>≤0.2</w:t>
            </w:r>
          </w:p>
        </w:tc>
      </w:tr>
      <w:tr w14:paraId="03571F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exact"/>
          <w:jc w:val="center"/>
        </w:trPr>
        <w:tc>
          <w:tcPr>
            <w:tcW w:w="1965" w:type="dxa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5E5D55D2"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</w:p>
        </w:tc>
        <w:tc>
          <w:tcPr>
            <w:tcW w:w="6336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07769365"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  <w:r>
              <w:rPr>
                <w:b w:val="0"/>
                <w:i w:val="0"/>
                <w:color w:val="auto"/>
                <w:highlight w:val="none"/>
              </w:rPr>
              <w:t>游离二苯基甲烷二异氰酸酯（MDI）(g/kg)</w:t>
            </w:r>
          </w:p>
        </w:tc>
        <w:tc>
          <w:tcPr>
            <w:tcW w:w="919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24DB3120"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  <w:r>
              <w:rPr>
                <w:b w:val="0"/>
                <w:i w:val="0"/>
                <w:color w:val="auto"/>
                <w:highlight w:val="none"/>
              </w:rPr>
              <w:t>≤1.0</w:t>
            </w:r>
          </w:p>
        </w:tc>
      </w:tr>
      <w:tr w14:paraId="43E35B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exact"/>
          <w:jc w:val="center"/>
        </w:trPr>
        <w:tc>
          <w:tcPr>
            <w:tcW w:w="1965" w:type="dxa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1A8101C3"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</w:p>
        </w:tc>
        <w:tc>
          <w:tcPr>
            <w:tcW w:w="6336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606C79B6"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  <w:r>
              <w:rPr>
                <w:b w:val="0"/>
                <w:i w:val="0"/>
                <w:color w:val="auto"/>
                <w:highlight w:val="none"/>
              </w:rPr>
              <w:t>可溶性铅(mg/kg)</w:t>
            </w:r>
          </w:p>
        </w:tc>
        <w:tc>
          <w:tcPr>
            <w:tcW w:w="919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4E375DCD"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  <w:r>
              <w:rPr>
                <w:b w:val="0"/>
                <w:i w:val="0"/>
                <w:color w:val="auto"/>
                <w:highlight w:val="none"/>
              </w:rPr>
              <w:t>≤50</w:t>
            </w:r>
          </w:p>
        </w:tc>
      </w:tr>
      <w:tr w14:paraId="177569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exact"/>
          <w:jc w:val="center"/>
        </w:trPr>
        <w:tc>
          <w:tcPr>
            <w:tcW w:w="1965" w:type="dxa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24DEF89E"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</w:p>
        </w:tc>
        <w:tc>
          <w:tcPr>
            <w:tcW w:w="6336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5F1168BE"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  <w:r>
              <w:rPr>
                <w:b w:val="0"/>
                <w:i w:val="0"/>
                <w:color w:val="auto"/>
                <w:highlight w:val="none"/>
              </w:rPr>
              <w:t>可溶性镉(mg/kg)</w:t>
            </w:r>
          </w:p>
        </w:tc>
        <w:tc>
          <w:tcPr>
            <w:tcW w:w="919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4648005B"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  <w:r>
              <w:rPr>
                <w:b w:val="0"/>
                <w:i w:val="0"/>
                <w:color w:val="auto"/>
                <w:highlight w:val="none"/>
              </w:rPr>
              <w:t>≤10</w:t>
            </w:r>
          </w:p>
        </w:tc>
      </w:tr>
      <w:tr w14:paraId="409298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exact"/>
          <w:jc w:val="center"/>
        </w:trPr>
        <w:tc>
          <w:tcPr>
            <w:tcW w:w="1965" w:type="dxa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7E7C5AB3"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</w:p>
        </w:tc>
        <w:tc>
          <w:tcPr>
            <w:tcW w:w="6336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6E98F09A"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  <w:r>
              <w:rPr>
                <w:b w:val="0"/>
                <w:i w:val="0"/>
                <w:color w:val="auto"/>
                <w:highlight w:val="none"/>
              </w:rPr>
              <w:t>可溶性铬(mg/kg)</w:t>
            </w:r>
          </w:p>
        </w:tc>
        <w:tc>
          <w:tcPr>
            <w:tcW w:w="919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42A7066A"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  <w:r>
              <w:rPr>
                <w:b w:val="0"/>
                <w:i w:val="0"/>
                <w:color w:val="auto"/>
                <w:highlight w:val="none"/>
              </w:rPr>
              <w:t>≤10</w:t>
            </w:r>
          </w:p>
        </w:tc>
      </w:tr>
      <w:tr w14:paraId="7E1A3B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exact"/>
          <w:jc w:val="center"/>
        </w:trPr>
        <w:tc>
          <w:tcPr>
            <w:tcW w:w="1965" w:type="dxa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7CDBCF30"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</w:p>
        </w:tc>
        <w:tc>
          <w:tcPr>
            <w:tcW w:w="6336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674CA7D3"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  <w:r>
              <w:rPr>
                <w:b w:val="0"/>
                <w:i w:val="0"/>
                <w:color w:val="auto"/>
                <w:highlight w:val="none"/>
              </w:rPr>
              <w:t>可溶性汞(mg/kg)</w:t>
            </w:r>
          </w:p>
        </w:tc>
        <w:tc>
          <w:tcPr>
            <w:tcW w:w="919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44FA6C22"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  <w:r>
              <w:rPr>
                <w:b w:val="0"/>
                <w:i w:val="0"/>
                <w:color w:val="auto"/>
                <w:highlight w:val="none"/>
              </w:rPr>
              <w:t>≤2</w:t>
            </w:r>
          </w:p>
        </w:tc>
      </w:tr>
      <w:tr w14:paraId="117647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965" w:type="dxa"/>
            <w:vMerge w:val="restart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57FC9DC8"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  <w:r>
              <w:rPr>
                <w:b w:val="0"/>
                <w:i w:val="0"/>
                <w:color w:val="auto"/>
                <w:highlight w:val="none"/>
              </w:rPr>
              <w:t>有害物质释放量</w:t>
            </w:r>
          </w:p>
        </w:tc>
        <w:tc>
          <w:tcPr>
            <w:tcW w:w="6336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20CA2180"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  <w:r>
              <w:rPr>
                <w:b w:val="0"/>
                <w:i w:val="0"/>
                <w:color w:val="auto"/>
                <w:highlight w:val="none"/>
              </w:rPr>
              <w:t>总挥发性有机化合物（TVOC）/【mg/(㎡·h)】</w:t>
            </w:r>
          </w:p>
        </w:tc>
        <w:tc>
          <w:tcPr>
            <w:tcW w:w="919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302F7457"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  <w:r>
              <w:rPr>
                <w:b w:val="0"/>
                <w:i w:val="0"/>
                <w:color w:val="auto"/>
                <w:highlight w:val="none"/>
              </w:rPr>
              <w:t>≤5.0</w:t>
            </w:r>
          </w:p>
        </w:tc>
      </w:tr>
      <w:tr w14:paraId="75D0C1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  <w:jc w:val="center"/>
        </w:trPr>
        <w:tc>
          <w:tcPr>
            <w:tcW w:w="1965" w:type="dxa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58526CF2"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</w:p>
        </w:tc>
        <w:tc>
          <w:tcPr>
            <w:tcW w:w="6336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5541EE55"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  <w:r>
              <w:rPr>
                <w:b w:val="0"/>
                <w:i w:val="0"/>
                <w:color w:val="auto"/>
                <w:highlight w:val="none"/>
              </w:rPr>
              <w:t>甲醛/【mg/(㎡·h)】</w:t>
            </w:r>
          </w:p>
        </w:tc>
        <w:tc>
          <w:tcPr>
            <w:tcW w:w="919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091326F5"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  <w:r>
              <w:rPr>
                <w:b w:val="0"/>
                <w:i w:val="0"/>
                <w:color w:val="auto"/>
                <w:highlight w:val="none"/>
              </w:rPr>
              <w:t>≤0.4</w:t>
            </w:r>
          </w:p>
        </w:tc>
      </w:tr>
      <w:tr w14:paraId="64A72A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exact"/>
          <w:jc w:val="center"/>
        </w:trPr>
        <w:tc>
          <w:tcPr>
            <w:tcW w:w="1965" w:type="dxa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69F4AE1B"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</w:p>
        </w:tc>
        <w:tc>
          <w:tcPr>
            <w:tcW w:w="6336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2233E555"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  <w:r>
              <w:rPr>
                <w:b w:val="0"/>
                <w:i w:val="0"/>
                <w:color w:val="auto"/>
                <w:highlight w:val="none"/>
              </w:rPr>
              <w:t>苯/【mg/(㎡·h)】</w:t>
            </w:r>
          </w:p>
        </w:tc>
        <w:tc>
          <w:tcPr>
            <w:tcW w:w="919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56298EC3"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  <w:r>
              <w:rPr>
                <w:b w:val="0"/>
                <w:i w:val="0"/>
                <w:color w:val="auto"/>
                <w:highlight w:val="none"/>
              </w:rPr>
              <w:t>≤0.1</w:t>
            </w:r>
          </w:p>
        </w:tc>
      </w:tr>
      <w:tr w14:paraId="2AD85A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exact"/>
          <w:jc w:val="center"/>
        </w:trPr>
        <w:tc>
          <w:tcPr>
            <w:tcW w:w="1965" w:type="dxa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361FE94C"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</w:p>
        </w:tc>
        <w:tc>
          <w:tcPr>
            <w:tcW w:w="6336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3506C452"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  <w:r>
              <w:rPr>
                <w:b w:val="0"/>
                <w:i w:val="0"/>
                <w:color w:val="auto"/>
                <w:highlight w:val="none"/>
              </w:rPr>
              <w:t>甲苯、二甲苯和乙苯总和/【mg/(㎡·h)】</w:t>
            </w:r>
          </w:p>
        </w:tc>
        <w:tc>
          <w:tcPr>
            <w:tcW w:w="919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303C0716"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  <w:r>
              <w:rPr>
                <w:b w:val="0"/>
                <w:i w:val="0"/>
                <w:color w:val="auto"/>
                <w:highlight w:val="none"/>
              </w:rPr>
              <w:t>≤1.0</w:t>
            </w:r>
          </w:p>
        </w:tc>
      </w:tr>
      <w:tr w14:paraId="14CF18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exact"/>
          <w:jc w:val="center"/>
        </w:trPr>
        <w:tc>
          <w:tcPr>
            <w:tcW w:w="1965" w:type="dxa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4E854962"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</w:p>
        </w:tc>
        <w:tc>
          <w:tcPr>
            <w:tcW w:w="6336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53493079"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  <w:r>
              <w:rPr>
                <w:b w:val="0"/>
                <w:i w:val="0"/>
                <w:color w:val="auto"/>
                <w:highlight w:val="none"/>
              </w:rPr>
              <w:t>二硫化碳/【mg/(㎡·h)】</w:t>
            </w:r>
          </w:p>
        </w:tc>
        <w:tc>
          <w:tcPr>
            <w:tcW w:w="919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5DC46255"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  <w:r>
              <w:rPr>
                <w:b w:val="0"/>
                <w:i w:val="0"/>
                <w:color w:val="auto"/>
                <w:highlight w:val="none"/>
              </w:rPr>
              <w:t>≤7.0</w:t>
            </w:r>
          </w:p>
        </w:tc>
      </w:tr>
      <w:tr w14:paraId="5F3FEF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exact"/>
          <w:jc w:val="center"/>
        </w:trPr>
        <w:tc>
          <w:tcPr>
            <w:tcW w:w="1965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428F8937"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  <w:r>
              <w:rPr>
                <w:b w:val="0"/>
                <w:i w:val="0"/>
                <w:color w:val="auto"/>
                <w:highlight w:val="none"/>
              </w:rPr>
              <w:t>气味</w:t>
            </w:r>
          </w:p>
        </w:tc>
        <w:tc>
          <w:tcPr>
            <w:tcW w:w="6336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3BC93BE5"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  <w:r>
              <w:rPr>
                <w:b w:val="0"/>
                <w:i w:val="0"/>
                <w:color w:val="auto"/>
                <w:highlight w:val="none"/>
              </w:rPr>
              <w:t>气味等级/级</w:t>
            </w:r>
          </w:p>
        </w:tc>
        <w:tc>
          <w:tcPr>
            <w:tcW w:w="919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321F15CE"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  <w:r>
              <w:rPr>
                <w:b w:val="0"/>
                <w:i w:val="0"/>
                <w:color w:val="auto"/>
                <w:highlight w:val="none"/>
              </w:rPr>
              <w:t>≤3</w:t>
            </w:r>
          </w:p>
        </w:tc>
      </w:tr>
      <w:tr w14:paraId="3AAEAE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2" w:hRule="exact"/>
          <w:jc w:val="center"/>
        </w:trPr>
        <w:tc>
          <w:tcPr>
            <w:tcW w:w="9220" w:type="dxa"/>
            <w:gridSpan w:val="3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000000" w:themeColor="dark1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1851B40C">
            <w:pPr>
              <w:pStyle w:val="36"/>
              <w:bidi w:val="0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a邻苯二甲酸酯类化合物的具体名称见《中小学合成材料面层运动场地》GB36246-2018附录A。</w:t>
            </w:r>
          </w:p>
          <w:p w14:paraId="3B3AC9A6">
            <w:pPr>
              <w:pStyle w:val="36"/>
              <w:bidi w:val="0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b18种多环芳烃的具体名称见《中小学合成材料面层运动场地》GB36246-2018附录B。</w:t>
            </w:r>
          </w:p>
          <w:p w14:paraId="5BBC6D61">
            <w:pPr>
              <w:pStyle w:val="36"/>
              <w:bidi w:val="0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c取距合成材料面层上表面5mm以内的部分进行测试。</w:t>
            </w:r>
          </w:p>
        </w:tc>
      </w:tr>
    </w:tbl>
    <w:p w14:paraId="331C964F">
      <w:pPr>
        <w:pStyle w:val="5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其他要求</w:t>
      </w:r>
    </w:p>
    <w:p w14:paraId="65F6C121">
      <w:pPr>
        <w:pStyle w:val="22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预制型卷材采用双层复合结构，面层天然橡胶，底层高弹橡胶，弯折不开裂、不分层</w:t>
      </w:r>
      <w:r>
        <w:rPr>
          <w:rFonts w:hint="eastAsia"/>
          <w:color w:val="auto"/>
          <w:highlight w:val="none"/>
          <w:lang w:val="en-US" w:eastAsia="zh-CN"/>
        </w:rPr>
        <w:t>；</w:t>
      </w:r>
    </w:p>
    <w:p w14:paraId="549117FA">
      <w:pPr>
        <w:pStyle w:val="22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跑道分道线、起止线采用水性白色涂料，线宽50mm</w:t>
      </w:r>
      <w:r>
        <w:rPr>
          <w:rFonts w:hint="eastAsia"/>
          <w:color w:val="auto"/>
          <w:highlight w:val="none"/>
          <w:lang w:val="en-US" w:eastAsia="zh-CN"/>
        </w:rPr>
        <w:t>；</w:t>
      </w:r>
    </w:p>
    <w:p w14:paraId="505C22F9">
      <w:pPr>
        <w:pStyle w:val="22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无机填料含量≤65%，填充颗粒高聚物总量≥20%</w:t>
      </w:r>
      <w:r>
        <w:rPr>
          <w:rFonts w:hint="eastAsia"/>
          <w:color w:val="auto"/>
          <w:highlight w:val="none"/>
          <w:lang w:val="en-US" w:eastAsia="zh-CN"/>
        </w:rPr>
        <w:t>。</w:t>
      </w:r>
    </w:p>
    <w:p w14:paraId="572D620D">
      <w:pPr>
        <w:pStyle w:val="4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人造草坪</w:t>
      </w:r>
    </w:p>
    <w:p w14:paraId="6942C219">
      <w:pPr>
        <w:pStyle w:val="5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设计参数</w:t>
      </w:r>
    </w:p>
    <w:p w14:paraId="5D65A039">
      <w:pPr>
        <w:pStyle w:val="27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人造草</w:t>
      </w:r>
      <w:r>
        <w:rPr>
          <w:rFonts w:hint="default"/>
          <w:color w:val="auto"/>
          <w:highlight w:val="none"/>
          <w:lang w:val="en-US" w:eastAsia="zh-CN"/>
        </w:rPr>
        <w:t>参数</w:t>
      </w:r>
      <w:r>
        <w:rPr>
          <w:rFonts w:hint="eastAsia"/>
          <w:color w:val="auto"/>
          <w:highlight w:val="none"/>
          <w:lang w:val="en-US" w:eastAsia="zh-CN"/>
        </w:rPr>
        <w:t>设计</w:t>
      </w:r>
      <w:r>
        <w:rPr>
          <w:rFonts w:hint="default"/>
          <w:color w:val="auto"/>
          <w:highlight w:val="none"/>
          <w:lang w:val="en-US" w:eastAsia="zh-CN"/>
        </w:rPr>
        <w:t>标准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5"/>
        <w:gridCol w:w="6938"/>
      </w:tblGrid>
      <w:tr w14:paraId="3FC3D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2515" w:type="dxa"/>
            <w:tcBorders>
              <w:top w:val="single" w:color="000000" w:themeColor="dark1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21A65337">
            <w:pPr>
              <w:pStyle w:val="32"/>
              <w:bidi w:val="0"/>
              <w:rPr>
                <w:rFonts w:hint="default"/>
                <w:b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b/>
                <w:i w:val="0"/>
                <w:color w:val="auto"/>
                <w:highlight w:val="none"/>
                <w:lang w:val="en-US" w:eastAsia="zh-CN"/>
              </w:rPr>
              <w:t>项目</w:t>
            </w:r>
          </w:p>
        </w:tc>
        <w:tc>
          <w:tcPr>
            <w:tcW w:w="6938" w:type="dxa"/>
            <w:tcBorders>
              <w:top w:val="single" w:color="000000" w:themeColor="dark1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4C39E9EC">
            <w:pPr>
              <w:pStyle w:val="32"/>
              <w:bidi w:val="0"/>
              <w:rPr>
                <w:rFonts w:hint="default"/>
                <w:b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b/>
                <w:i w:val="0"/>
                <w:color w:val="auto"/>
                <w:highlight w:val="none"/>
                <w:lang w:val="en-US" w:eastAsia="zh-CN"/>
              </w:rPr>
              <w:t>内容及要求</w:t>
            </w:r>
          </w:p>
        </w:tc>
      </w:tr>
      <w:tr w14:paraId="1B26D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5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00D06EC3"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生产工艺</w:t>
            </w:r>
          </w:p>
        </w:tc>
        <w:tc>
          <w:tcPr>
            <w:tcW w:w="6938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0C334707"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簇绒法Z型走针机械编织涂胶</w:t>
            </w:r>
          </w:p>
        </w:tc>
      </w:tr>
      <w:tr w14:paraId="721D4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5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62B17FB0"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草纤维</w:t>
            </w:r>
          </w:p>
        </w:tc>
        <w:tc>
          <w:tcPr>
            <w:tcW w:w="6938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5CE08FA1"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采用耐磨加筋PE单丝（每簇草丝不少于4股8根）</w:t>
            </w:r>
          </w:p>
        </w:tc>
      </w:tr>
      <w:tr w14:paraId="71155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5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612779C8"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草纤维DTEX</w:t>
            </w:r>
          </w:p>
        </w:tc>
        <w:tc>
          <w:tcPr>
            <w:tcW w:w="6938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3FAFA9F7"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≥8800</w:t>
            </w:r>
          </w:p>
        </w:tc>
      </w:tr>
      <w:tr w14:paraId="05C51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5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3DFC8C62"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草纤维宽度和厚度</w:t>
            </w:r>
          </w:p>
        </w:tc>
        <w:tc>
          <w:tcPr>
            <w:tcW w:w="6938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2C7CCFE5"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宽度：1.3-1.5mm，厚度：200-240μm</w:t>
            </w:r>
          </w:p>
        </w:tc>
      </w:tr>
      <w:tr w14:paraId="1E1A0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5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794578E2"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基布</w:t>
            </w:r>
          </w:p>
        </w:tc>
        <w:tc>
          <w:tcPr>
            <w:tcW w:w="6938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2B356BA7"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高强度双层基布</w:t>
            </w:r>
          </w:p>
        </w:tc>
      </w:tr>
      <w:tr w14:paraId="0A17D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5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7BC33BF7"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背胶</w:t>
            </w:r>
          </w:p>
        </w:tc>
        <w:tc>
          <w:tcPr>
            <w:tcW w:w="6938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1867A21B"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黑色环保发亮PU背胶</w:t>
            </w:r>
          </w:p>
        </w:tc>
      </w:tr>
      <w:tr w14:paraId="322CE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5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17FAF98A"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植草高度</w:t>
            </w:r>
          </w:p>
        </w:tc>
        <w:tc>
          <w:tcPr>
            <w:tcW w:w="6938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747434C7"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5/8英寸</w:t>
            </w:r>
          </w:p>
        </w:tc>
      </w:tr>
      <w:tr w14:paraId="7A6C3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5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47FB940A"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行距</w:t>
            </w:r>
          </w:p>
        </w:tc>
        <w:tc>
          <w:tcPr>
            <w:tcW w:w="6938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02062C58"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≤2</w:t>
            </w:r>
          </w:p>
        </w:tc>
      </w:tr>
      <w:tr w14:paraId="58488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5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7A894ED9"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植草密度</w:t>
            </w:r>
          </w:p>
        </w:tc>
        <w:tc>
          <w:tcPr>
            <w:tcW w:w="6938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2E392ECE"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≥8505针/平米</w:t>
            </w:r>
          </w:p>
        </w:tc>
      </w:tr>
      <w:tr w14:paraId="72E12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5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04D76661"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颜色</w:t>
            </w:r>
          </w:p>
        </w:tc>
        <w:tc>
          <w:tcPr>
            <w:tcW w:w="6938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6A2AEB26"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翠绿、橄榄绿、柠檬黄/白色标志线</w:t>
            </w:r>
          </w:p>
        </w:tc>
      </w:tr>
      <w:tr w14:paraId="73474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5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7210E680"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填充石英砂</w:t>
            </w:r>
          </w:p>
        </w:tc>
        <w:tc>
          <w:tcPr>
            <w:tcW w:w="6938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7739BC41"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40目，表面圆润，每平方草坪不低于25KG</w:t>
            </w:r>
          </w:p>
        </w:tc>
      </w:tr>
      <w:tr w14:paraId="45565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5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000000" w:themeColor="dark1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06376504"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填充颗粒</w:t>
            </w:r>
          </w:p>
        </w:tc>
        <w:tc>
          <w:tcPr>
            <w:tcW w:w="6938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000000" w:themeColor="dark1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0BED2D3D"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环保PE颗粒，每平方草坪不低于5KG</w:t>
            </w:r>
          </w:p>
        </w:tc>
      </w:tr>
    </w:tbl>
    <w:p w14:paraId="3029BFD7">
      <w:pPr>
        <w:pStyle w:val="5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物理性能要求</w:t>
      </w:r>
    </w:p>
    <w:p w14:paraId="4DC55910">
      <w:pPr>
        <w:pStyle w:val="27"/>
        <w:bidi w:val="0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人造草面层成品及草丝的物理机械性能要求</w:t>
      </w:r>
    </w:p>
    <w:tbl>
      <w:tblPr>
        <w:tblStyle w:val="15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73"/>
        <w:gridCol w:w="3532"/>
        <w:gridCol w:w="1551"/>
      </w:tblGrid>
      <w:tr w14:paraId="6EB649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tblHeader/>
        </w:trPr>
        <w:tc>
          <w:tcPr>
            <w:tcW w:w="4179" w:type="pct"/>
            <w:gridSpan w:val="2"/>
            <w:tcBorders>
              <w:top w:val="single" w:color="000000" w:themeColor="dark1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17B4246E">
            <w:pPr>
              <w:pStyle w:val="32"/>
              <w:bidi w:val="0"/>
              <w:rPr>
                <w:b/>
                <w:i w:val="0"/>
                <w:color w:val="auto"/>
                <w:highlight w:val="none"/>
              </w:rPr>
            </w:pPr>
            <w:r>
              <w:rPr>
                <w:rFonts w:hint="default"/>
                <w:b/>
                <w:i w:val="0"/>
                <w:color w:val="auto"/>
                <w:highlight w:val="none"/>
                <w:lang w:val="en-US" w:eastAsia="zh-CN"/>
              </w:rPr>
              <w:t>项目</w:t>
            </w:r>
          </w:p>
        </w:tc>
        <w:tc>
          <w:tcPr>
            <w:tcW w:w="820" w:type="pct"/>
            <w:tcBorders>
              <w:top w:val="single" w:color="000000" w:themeColor="dark1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noWrap/>
            <w:vAlign w:val="center"/>
          </w:tcPr>
          <w:p w14:paraId="69386522">
            <w:pPr>
              <w:pStyle w:val="32"/>
              <w:bidi w:val="0"/>
              <w:rPr>
                <w:rFonts w:hint="default"/>
                <w:b/>
                <w:i w:val="0"/>
                <w:color w:val="auto"/>
                <w:highlight w:val="none"/>
              </w:rPr>
            </w:pPr>
            <w:r>
              <w:rPr>
                <w:rFonts w:hint="default"/>
                <w:b/>
                <w:i w:val="0"/>
                <w:color w:val="auto"/>
                <w:highlight w:val="none"/>
                <w:lang w:val="en-US" w:eastAsia="zh-CN"/>
              </w:rPr>
              <w:t>要求</w:t>
            </w:r>
          </w:p>
        </w:tc>
      </w:tr>
      <w:tr w14:paraId="24C6A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179" w:type="pct"/>
            <w:gridSpan w:val="2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71202150"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</w:rPr>
            </w:pPr>
            <w:r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  <w:t>冲击吸收/%</w:t>
            </w:r>
          </w:p>
        </w:tc>
        <w:tc>
          <w:tcPr>
            <w:tcW w:w="820" w:type="pct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50520C37"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</w:rPr>
            </w:pPr>
            <w:r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  <w:t>45～70</w:t>
            </w:r>
          </w:p>
        </w:tc>
      </w:tr>
      <w:tr w14:paraId="0B8612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179" w:type="pct"/>
            <w:gridSpan w:val="2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56DDADC0"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</w:rPr>
            </w:pPr>
            <w:r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  <w:t>垂直变形/mm</w:t>
            </w:r>
          </w:p>
        </w:tc>
        <w:tc>
          <w:tcPr>
            <w:tcW w:w="820" w:type="pct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67BD4034"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</w:rPr>
            </w:pPr>
            <w:r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  <w:t>4～11</w:t>
            </w:r>
          </w:p>
        </w:tc>
      </w:tr>
      <w:tr w14:paraId="592EB1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312" w:type="pct"/>
            <w:vMerge w:val="restart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7CC4B752"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</w:rPr>
            </w:pPr>
            <w:r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  <w:t>草丝拉断力/N</w:t>
            </w:r>
          </w:p>
        </w:tc>
        <w:tc>
          <w:tcPr>
            <w:tcW w:w="1867" w:type="pct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305ED564"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</w:rPr>
            </w:pPr>
            <w:r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  <w:t>开网丝</w:t>
            </w:r>
          </w:p>
        </w:tc>
        <w:tc>
          <w:tcPr>
            <w:tcW w:w="820" w:type="pct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4545CBF0"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</w:rPr>
            </w:pPr>
            <w:r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  <w:t>≥60</w:t>
            </w:r>
          </w:p>
        </w:tc>
      </w:tr>
      <w:tr w14:paraId="366F12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312" w:type="pct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7708BDCE"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</w:rPr>
            </w:pPr>
          </w:p>
        </w:tc>
        <w:tc>
          <w:tcPr>
            <w:tcW w:w="1867" w:type="pct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0394FD82"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</w:rPr>
            </w:pPr>
            <w:r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  <w:t>单丝</w:t>
            </w:r>
          </w:p>
        </w:tc>
        <w:tc>
          <w:tcPr>
            <w:tcW w:w="820" w:type="pct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326692EF"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</w:rPr>
            </w:pPr>
            <w:r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  <w:t>≥10</w:t>
            </w:r>
          </w:p>
        </w:tc>
      </w:tr>
      <w:tr w14:paraId="2042B2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179" w:type="pct"/>
            <w:gridSpan w:val="2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000000" w:themeColor="dark1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38050028"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</w:rPr>
            </w:pPr>
            <w:r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  <w:t>单簇草丝拔出力/N</w:t>
            </w:r>
          </w:p>
        </w:tc>
        <w:tc>
          <w:tcPr>
            <w:tcW w:w="820" w:type="pct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000000" w:themeColor="dark1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449DB4DD"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</w:rPr>
            </w:pPr>
            <w:r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  <w:t>≥20</w:t>
            </w:r>
          </w:p>
        </w:tc>
      </w:tr>
    </w:tbl>
    <w:p w14:paraId="261ED52D">
      <w:pPr>
        <w:pStyle w:val="27"/>
        <w:bidi w:val="0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人造草有害物质</w:t>
      </w:r>
    </w:p>
    <w:tbl>
      <w:tblPr>
        <w:tblStyle w:val="1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6"/>
        <w:gridCol w:w="6435"/>
        <w:gridCol w:w="1211"/>
      </w:tblGrid>
      <w:tr w14:paraId="53293E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</w:trPr>
        <w:tc>
          <w:tcPr>
            <w:tcW w:w="0" w:type="auto"/>
            <w:gridSpan w:val="2"/>
            <w:tcBorders>
              <w:top w:val="single" w:color="000000" w:themeColor="dark1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311B658D">
            <w:pPr>
              <w:pStyle w:val="32"/>
              <w:bidi w:val="0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项目</w:t>
            </w:r>
          </w:p>
        </w:tc>
        <w:tc>
          <w:tcPr>
            <w:tcW w:w="1211" w:type="dxa"/>
            <w:tcBorders>
              <w:top w:val="single" w:color="000000" w:themeColor="dark1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71721879">
            <w:pPr>
              <w:pStyle w:val="32"/>
              <w:bidi w:val="0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要求</w:t>
            </w:r>
          </w:p>
        </w:tc>
      </w:tr>
      <w:tr w14:paraId="09062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0" w:type="auto"/>
            <w:vMerge w:val="restart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504D19BA">
            <w:pPr>
              <w:pStyle w:val="32"/>
              <w:bidi w:val="0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有害物质含量</w:t>
            </w: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31949946">
            <w:pPr>
              <w:pStyle w:val="32"/>
              <w:bidi w:val="0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3种邻苯二甲酸酯类化合物（</w:t>
            </w:r>
            <w:r>
              <w:rPr>
                <w:color w:val="auto"/>
                <w:highlight w:val="none"/>
                <w:lang w:val="en-US" w:eastAsia="zh-CN"/>
              </w:rPr>
              <w:t>DBP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、</w:t>
            </w:r>
            <w:r>
              <w:rPr>
                <w:color w:val="auto"/>
                <w:highlight w:val="none"/>
                <w:lang w:val="en-US" w:eastAsia="zh-CN"/>
              </w:rPr>
              <w:t>BBP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、</w:t>
            </w:r>
            <w:r>
              <w:rPr>
                <w:color w:val="auto"/>
                <w:highlight w:val="none"/>
                <w:lang w:val="en-US" w:eastAsia="zh-CN"/>
              </w:rPr>
              <w:t>DEHP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）总和</w:t>
            </w:r>
            <w:r>
              <w:rPr>
                <w:color w:val="auto"/>
                <w:highlight w:val="none"/>
                <w:lang w:val="en-US" w:eastAsia="zh-CN"/>
              </w:rPr>
              <w:t>a（g/kg）</w:t>
            </w:r>
          </w:p>
        </w:tc>
        <w:tc>
          <w:tcPr>
            <w:tcW w:w="1211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noWrap/>
            <w:vAlign w:val="center"/>
          </w:tcPr>
          <w:p w14:paraId="20E5BCD0">
            <w:pPr>
              <w:pStyle w:val="32"/>
              <w:bidi w:val="0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≤1.0</w:t>
            </w:r>
          </w:p>
        </w:tc>
      </w:tr>
      <w:tr w14:paraId="048D4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555E0101">
            <w:pPr>
              <w:pStyle w:val="32"/>
              <w:bidi w:val="0"/>
              <w:rPr>
                <w:rFonts w:hint="eastAsia"/>
                <w:color w:val="auto"/>
                <w:highlight w:val="none"/>
              </w:rPr>
            </w:pP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55A8BD92">
            <w:pPr>
              <w:pStyle w:val="32"/>
              <w:bidi w:val="0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3种邻苯二甲酸酯类化合物（DNOP、DINP、DIDP）总和a（g/kg）</w:t>
            </w:r>
          </w:p>
        </w:tc>
        <w:tc>
          <w:tcPr>
            <w:tcW w:w="1211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noWrap/>
            <w:vAlign w:val="center"/>
          </w:tcPr>
          <w:p w14:paraId="6A10F69F">
            <w:pPr>
              <w:pStyle w:val="32"/>
              <w:bidi w:val="0"/>
              <w:rPr>
                <w:rFonts w:hint="default"/>
                <w:color w:val="auto"/>
                <w:highlight w:val="none"/>
              </w:rPr>
            </w:pPr>
            <w:r>
              <w:rPr>
                <w:rFonts w:hint="default"/>
                <w:color w:val="auto"/>
                <w:highlight w:val="none"/>
                <w:lang w:val="en-US" w:eastAsia="zh-CN"/>
              </w:rPr>
              <w:t>≤1.0</w:t>
            </w:r>
          </w:p>
        </w:tc>
      </w:tr>
      <w:tr w14:paraId="7B9E1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2574A5B0">
            <w:pPr>
              <w:pStyle w:val="32"/>
              <w:bidi w:val="0"/>
              <w:rPr>
                <w:rFonts w:hint="eastAsia"/>
                <w:color w:val="auto"/>
                <w:highlight w:val="none"/>
              </w:rPr>
            </w:pP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21E259A2">
            <w:pPr>
              <w:pStyle w:val="32"/>
              <w:bidi w:val="0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18种多环芳烃总和b（mg/kg）</w:t>
            </w:r>
          </w:p>
        </w:tc>
        <w:tc>
          <w:tcPr>
            <w:tcW w:w="1211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noWrap/>
            <w:vAlign w:val="center"/>
          </w:tcPr>
          <w:p w14:paraId="0EB78023">
            <w:pPr>
              <w:pStyle w:val="32"/>
              <w:bidi w:val="0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≤50</w:t>
            </w:r>
          </w:p>
        </w:tc>
      </w:tr>
      <w:tr w14:paraId="3A830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3A66916D">
            <w:pPr>
              <w:pStyle w:val="32"/>
              <w:bidi w:val="0"/>
              <w:rPr>
                <w:rFonts w:hint="eastAsia"/>
                <w:color w:val="auto"/>
                <w:highlight w:val="none"/>
              </w:rPr>
            </w:pP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7EDA327A">
            <w:pPr>
              <w:pStyle w:val="32"/>
              <w:bidi w:val="0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苯并[a|(mg/kg)</w:t>
            </w:r>
          </w:p>
        </w:tc>
        <w:tc>
          <w:tcPr>
            <w:tcW w:w="1211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noWrap/>
            <w:vAlign w:val="center"/>
          </w:tcPr>
          <w:p w14:paraId="13A50604">
            <w:pPr>
              <w:pStyle w:val="32"/>
              <w:bidi w:val="0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≤1.0</w:t>
            </w:r>
          </w:p>
        </w:tc>
      </w:tr>
      <w:tr w14:paraId="53804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7A833146">
            <w:pPr>
              <w:pStyle w:val="32"/>
              <w:bidi w:val="0"/>
              <w:rPr>
                <w:rFonts w:hint="eastAsia"/>
                <w:color w:val="auto"/>
                <w:highlight w:val="none"/>
              </w:rPr>
            </w:pP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1B7E64C2">
            <w:pPr>
              <w:pStyle w:val="32"/>
              <w:bidi w:val="0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可溶性铅(mg/kg)</w:t>
            </w:r>
          </w:p>
        </w:tc>
        <w:tc>
          <w:tcPr>
            <w:tcW w:w="1211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noWrap/>
            <w:vAlign w:val="center"/>
          </w:tcPr>
          <w:p w14:paraId="1E5BE4CE">
            <w:pPr>
              <w:pStyle w:val="32"/>
              <w:bidi w:val="0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≤50</w:t>
            </w:r>
          </w:p>
        </w:tc>
      </w:tr>
      <w:tr w14:paraId="2818FF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3083E53B">
            <w:pPr>
              <w:pStyle w:val="32"/>
              <w:bidi w:val="0"/>
              <w:rPr>
                <w:rFonts w:hint="eastAsia"/>
                <w:color w:val="auto"/>
                <w:highlight w:val="none"/>
              </w:rPr>
            </w:pP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38547F13">
            <w:pPr>
              <w:pStyle w:val="32"/>
              <w:bidi w:val="0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可溶性镉(mg/kg)</w:t>
            </w:r>
          </w:p>
        </w:tc>
        <w:tc>
          <w:tcPr>
            <w:tcW w:w="1211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noWrap/>
            <w:vAlign w:val="center"/>
          </w:tcPr>
          <w:p w14:paraId="0693695D">
            <w:pPr>
              <w:pStyle w:val="32"/>
              <w:bidi w:val="0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≤10</w:t>
            </w:r>
          </w:p>
        </w:tc>
      </w:tr>
      <w:tr w14:paraId="5C8BF5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5A37340F">
            <w:pPr>
              <w:pStyle w:val="32"/>
              <w:bidi w:val="0"/>
              <w:rPr>
                <w:rFonts w:hint="eastAsia"/>
                <w:color w:val="auto"/>
                <w:highlight w:val="none"/>
              </w:rPr>
            </w:pP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4831AFE5">
            <w:pPr>
              <w:pStyle w:val="32"/>
              <w:bidi w:val="0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可溶性铬(mg/kg)</w:t>
            </w:r>
          </w:p>
        </w:tc>
        <w:tc>
          <w:tcPr>
            <w:tcW w:w="1211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noWrap/>
            <w:vAlign w:val="center"/>
          </w:tcPr>
          <w:p w14:paraId="220F4B8B">
            <w:pPr>
              <w:pStyle w:val="32"/>
              <w:bidi w:val="0"/>
              <w:rPr>
                <w:rFonts w:hint="default"/>
                <w:color w:val="auto"/>
                <w:highlight w:val="none"/>
              </w:rPr>
            </w:pPr>
            <w:r>
              <w:rPr>
                <w:rFonts w:hint="default"/>
                <w:color w:val="auto"/>
                <w:highlight w:val="none"/>
                <w:lang w:val="en-US" w:eastAsia="zh-CN"/>
              </w:rPr>
              <w:t>≤10</w:t>
            </w:r>
          </w:p>
        </w:tc>
      </w:tr>
      <w:tr w14:paraId="35975B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7C46DC3E">
            <w:pPr>
              <w:pStyle w:val="32"/>
              <w:bidi w:val="0"/>
              <w:rPr>
                <w:rFonts w:hint="eastAsia"/>
                <w:color w:val="auto"/>
                <w:highlight w:val="none"/>
              </w:rPr>
            </w:pP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5A5BEE08">
            <w:pPr>
              <w:pStyle w:val="32"/>
              <w:bidi w:val="0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可溶性汞(mg/kg)</w:t>
            </w:r>
          </w:p>
        </w:tc>
        <w:tc>
          <w:tcPr>
            <w:tcW w:w="1211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noWrap/>
            <w:vAlign w:val="center"/>
          </w:tcPr>
          <w:p w14:paraId="6A34B9DB">
            <w:pPr>
              <w:pStyle w:val="32"/>
              <w:bidi w:val="0"/>
              <w:rPr>
                <w:rFonts w:hint="default"/>
                <w:color w:val="auto"/>
                <w:highlight w:val="none"/>
              </w:rPr>
            </w:pPr>
            <w:r>
              <w:rPr>
                <w:rFonts w:hint="default"/>
                <w:color w:val="auto"/>
                <w:highlight w:val="none"/>
                <w:lang w:val="en-US" w:eastAsia="zh-CN"/>
              </w:rPr>
              <w:t>≤2</w:t>
            </w:r>
          </w:p>
        </w:tc>
      </w:tr>
      <w:tr w14:paraId="20F46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vMerge w:val="restart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353E821B">
            <w:pPr>
              <w:pStyle w:val="32"/>
              <w:bidi w:val="0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有害物质释放量</w:t>
            </w: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3C935DD3">
            <w:pPr>
              <w:pStyle w:val="32"/>
              <w:bidi w:val="0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总挥发性有机化合物(TVOC)[mg/(m2.h)</w:t>
            </w:r>
          </w:p>
        </w:tc>
        <w:tc>
          <w:tcPr>
            <w:tcW w:w="1211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noWrap/>
            <w:vAlign w:val="center"/>
          </w:tcPr>
          <w:p w14:paraId="3AE47D96">
            <w:pPr>
              <w:pStyle w:val="32"/>
              <w:bidi w:val="0"/>
              <w:rPr>
                <w:rFonts w:hint="default"/>
                <w:color w:val="auto"/>
                <w:highlight w:val="none"/>
              </w:rPr>
            </w:pPr>
            <w:r>
              <w:rPr>
                <w:rFonts w:hint="default"/>
                <w:color w:val="auto"/>
                <w:highlight w:val="none"/>
                <w:lang w:val="en-US" w:eastAsia="zh-CN"/>
              </w:rPr>
              <w:t>≤5.0</w:t>
            </w:r>
          </w:p>
        </w:tc>
      </w:tr>
      <w:tr w14:paraId="1C32D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6B52275D">
            <w:pPr>
              <w:pStyle w:val="32"/>
              <w:bidi w:val="0"/>
              <w:rPr>
                <w:rFonts w:hint="eastAsia"/>
                <w:color w:val="auto"/>
                <w:highlight w:val="none"/>
              </w:rPr>
            </w:pP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6B4FE863">
            <w:pPr>
              <w:pStyle w:val="32"/>
              <w:bidi w:val="0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甲醛[mg/(m2.h)]</w:t>
            </w:r>
          </w:p>
        </w:tc>
        <w:tc>
          <w:tcPr>
            <w:tcW w:w="1211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noWrap/>
            <w:vAlign w:val="center"/>
          </w:tcPr>
          <w:p w14:paraId="68356DF9">
            <w:pPr>
              <w:pStyle w:val="32"/>
              <w:bidi w:val="0"/>
              <w:rPr>
                <w:rFonts w:hint="default"/>
                <w:color w:val="auto"/>
                <w:highlight w:val="none"/>
              </w:rPr>
            </w:pPr>
            <w:r>
              <w:rPr>
                <w:rFonts w:hint="default"/>
                <w:color w:val="auto"/>
                <w:highlight w:val="none"/>
                <w:lang w:val="en-US" w:eastAsia="zh-CN"/>
              </w:rPr>
              <w:t>≤0.4</w:t>
            </w:r>
          </w:p>
        </w:tc>
      </w:tr>
      <w:tr w14:paraId="059567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66DD30DA">
            <w:pPr>
              <w:pStyle w:val="32"/>
              <w:bidi w:val="0"/>
              <w:rPr>
                <w:rFonts w:hint="eastAsia"/>
                <w:color w:val="auto"/>
                <w:highlight w:val="none"/>
              </w:rPr>
            </w:pP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764D6E8C">
            <w:pPr>
              <w:pStyle w:val="32"/>
              <w:bidi w:val="0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苯(mg/(m2.h)]</w:t>
            </w:r>
          </w:p>
        </w:tc>
        <w:tc>
          <w:tcPr>
            <w:tcW w:w="1211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noWrap/>
            <w:vAlign w:val="center"/>
          </w:tcPr>
          <w:p w14:paraId="6E13B2B2">
            <w:pPr>
              <w:pStyle w:val="32"/>
              <w:bidi w:val="0"/>
              <w:rPr>
                <w:rFonts w:hint="default"/>
                <w:color w:val="auto"/>
                <w:highlight w:val="none"/>
              </w:rPr>
            </w:pPr>
            <w:r>
              <w:rPr>
                <w:rFonts w:hint="default"/>
                <w:color w:val="auto"/>
                <w:highlight w:val="none"/>
                <w:lang w:val="en-US" w:eastAsia="zh-CN"/>
              </w:rPr>
              <w:t>≤0.1</w:t>
            </w:r>
          </w:p>
        </w:tc>
      </w:tr>
      <w:tr w14:paraId="671A49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4965AD3B">
            <w:pPr>
              <w:pStyle w:val="32"/>
              <w:bidi w:val="0"/>
              <w:rPr>
                <w:rFonts w:hint="eastAsia"/>
                <w:color w:val="auto"/>
                <w:highlight w:val="none"/>
              </w:rPr>
            </w:pP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45A57F21">
            <w:pPr>
              <w:pStyle w:val="32"/>
              <w:bidi w:val="0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甲苯、二甲苯和乙苯总和[mg/(m2.h)]</w:t>
            </w:r>
          </w:p>
        </w:tc>
        <w:tc>
          <w:tcPr>
            <w:tcW w:w="1211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noWrap/>
            <w:vAlign w:val="center"/>
          </w:tcPr>
          <w:p w14:paraId="0D1683FC">
            <w:pPr>
              <w:pStyle w:val="32"/>
              <w:bidi w:val="0"/>
              <w:rPr>
                <w:rFonts w:hint="default"/>
                <w:color w:val="auto"/>
                <w:highlight w:val="none"/>
              </w:rPr>
            </w:pPr>
            <w:r>
              <w:rPr>
                <w:rFonts w:hint="default"/>
                <w:color w:val="auto"/>
                <w:highlight w:val="none"/>
                <w:lang w:val="en-US" w:eastAsia="zh-CN"/>
              </w:rPr>
              <w:t>≤1.0</w:t>
            </w:r>
          </w:p>
        </w:tc>
      </w:tr>
      <w:tr w14:paraId="42DB15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</w:trPr>
        <w:tc>
          <w:tcPr>
            <w:tcW w:w="9332" w:type="dxa"/>
            <w:gridSpan w:val="3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000000" w:themeColor="dark1" w:sz="6" w:space="0"/>
              <w:right w:val="single" w:color="000000" w:themeColor="dark1" w:sz="6" w:space="0"/>
            </w:tcBorders>
            <w:shd w:val="clear" w:color="auto" w:fill="FFFFFF"/>
            <w:noWrap/>
            <w:vAlign w:val="center"/>
          </w:tcPr>
          <w:p w14:paraId="61E2A603">
            <w:pPr>
              <w:pStyle w:val="36"/>
              <w:bidi w:val="0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default"/>
                <w:color w:val="auto"/>
                <w:highlight w:val="none"/>
                <w:lang w:val="en-US" w:eastAsia="zh-CN"/>
              </w:rPr>
              <w:t>a邻苯二甲酸酯类化合物的具体名称见《中小学合成材料面层运动场地》GB36246-2018附录A。</w:t>
            </w:r>
          </w:p>
          <w:p w14:paraId="769B369A">
            <w:pPr>
              <w:pStyle w:val="36"/>
              <w:bidi w:val="0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default"/>
                <w:color w:val="auto"/>
                <w:highlight w:val="none"/>
                <w:lang w:val="en-US" w:eastAsia="zh-CN"/>
              </w:rPr>
              <w:t>b18种多环芳烃的具体名称见《中小学合成材料面层运动场地》GB36246-2018附录B。</w:t>
            </w:r>
          </w:p>
        </w:tc>
      </w:tr>
    </w:tbl>
    <w:p w14:paraId="73C8D7F3">
      <w:pPr>
        <w:pStyle w:val="27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颗粒等固体原料有害物质</w:t>
      </w:r>
    </w:p>
    <w:tbl>
      <w:tblPr>
        <w:tblStyle w:val="15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7"/>
        <w:gridCol w:w="4941"/>
        <w:gridCol w:w="1706"/>
      </w:tblGrid>
      <w:tr w14:paraId="47140C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</w:trPr>
        <w:tc>
          <w:tcPr>
            <w:tcW w:w="4098" w:type="pct"/>
            <w:gridSpan w:val="2"/>
            <w:tcBorders>
              <w:top w:val="single" w:color="000000" w:themeColor="dark1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013BD618">
            <w:pPr>
              <w:pStyle w:val="32"/>
              <w:bidi w:val="0"/>
              <w:rPr>
                <w:rFonts w:hint="eastAsia"/>
                <w:b/>
                <w:i w:val="0"/>
                <w:color w:val="auto"/>
                <w:highlight w:val="none"/>
              </w:rPr>
            </w:pPr>
            <w:r>
              <w:rPr>
                <w:rFonts w:hint="eastAsia"/>
                <w:b/>
                <w:i w:val="0"/>
                <w:color w:val="auto"/>
                <w:highlight w:val="none"/>
                <w:lang w:val="en-US" w:eastAsia="zh-CN"/>
              </w:rPr>
              <w:t>项目</w:t>
            </w:r>
          </w:p>
        </w:tc>
        <w:tc>
          <w:tcPr>
            <w:tcW w:w="901" w:type="pct"/>
            <w:tcBorders>
              <w:top w:val="single" w:color="000000" w:themeColor="dark1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167CDD53">
            <w:pPr>
              <w:pStyle w:val="32"/>
              <w:bidi w:val="0"/>
              <w:rPr>
                <w:rFonts w:hint="eastAsia"/>
                <w:b/>
                <w:i w:val="0"/>
                <w:color w:val="auto"/>
                <w:highlight w:val="none"/>
              </w:rPr>
            </w:pPr>
            <w:r>
              <w:rPr>
                <w:rFonts w:hint="eastAsia"/>
                <w:b/>
                <w:i w:val="0"/>
                <w:color w:val="auto"/>
                <w:highlight w:val="none"/>
                <w:lang w:val="en-US" w:eastAsia="zh-CN"/>
              </w:rPr>
              <w:t>要求</w:t>
            </w:r>
          </w:p>
        </w:tc>
      </w:tr>
      <w:tr w14:paraId="623C5E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85" w:type="pct"/>
            <w:vMerge w:val="restart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48363473"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有害物质含量</w:t>
            </w:r>
          </w:p>
        </w:tc>
        <w:tc>
          <w:tcPr>
            <w:tcW w:w="2613" w:type="pct"/>
            <w:vMerge w:val="restart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56E5F197"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18种多环芳烃总和*/(mg/kg)</w:t>
            </w:r>
          </w:p>
        </w:tc>
        <w:tc>
          <w:tcPr>
            <w:tcW w:w="901" w:type="pct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noWrap/>
            <w:vAlign w:val="center"/>
          </w:tcPr>
          <w:p w14:paraId="02E1FF78"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50</w:t>
            </w:r>
          </w:p>
        </w:tc>
      </w:tr>
      <w:tr w14:paraId="098329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485" w:type="pct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52C21579"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</w:p>
        </w:tc>
        <w:tc>
          <w:tcPr>
            <w:tcW w:w="2613" w:type="pct"/>
            <w:vMerge w:val="continue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5C02AA4F"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</w:p>
        </w:tc>
        <w:tc>
          <w:tcPr>
            <w:tcW w:w="901" w:type="pct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noWrap/>
            <w:vAlign w:val="center"/>
          </w:tcPr>
          <w:p w14:paraId="560999C2"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≤20</w:t>
            </w:r>
          </w:p>
        </w:tc>
      </w:tr>
      <w:tr w14:paraId="5E03CC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85" w:type="pct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0E4544B4"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</w:p>
        </w:tc>
        <w:tc>
          <w:tcPr>
            <w:tcW w:w="2613" w:type="pct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1DCC22EE"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苯并[a]芘/(mg/kg)</w:t>
            </w:r>
          </w:p>
        </w:tc>
        <w:tc>
          <w:tcPr>
            <w:tcW w:w="901" w:type="pct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noWrap/>
            <w:vAlign w:val="center"/>
          </w:tcPr>
          <w:p w14:paraId="35B212DE"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≤1.0</w:t>
            </w:r>
          </w:p>
        </w:tc>
      </w:tr>
      <w:tr w14:paraId="7C24B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85" w:type="pct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3C02661B"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</w:p>
        </w:tc>
        <w:tc>
          <w:tcPr>
            <w:tcW w:w="2613" w:type="pct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206572B4"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可溶性铅/(mg/kg)</w:t>
            </w:r>
          </w:p>
        </w:tc>
        <w:tc>
          <w:tcPr>
            <w:tcW w:w="901" w:type="pct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noWrap/>
            <w:vAlign w:val="center"/>
          </w:tcPr>
          <w:p w14:paraId="1F699145"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50</w:t>
            </w:r>
          </w:p>
        </w:tc>
      </w:tr>
      <w:tr w14:paraId="343B7E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85" w:type="pct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2C59CD7B"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</w:p>
        </w:tc>
        <w:tc>
          <w:tcPr>
            <w:tcW w:w="2613" w:type="pct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16BFCBFE"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可溶性镉/(mg/kg)</w:t>
            </w:r>
          </w:p>
        </w:tc>
        <w:tc>
          <w:tcPr>
            <w:tcW w:w="901" w:type="pct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noWrap/>
            <w:vAlign w:val="center"/>
          </w:tcPr>
          <w:p w14:paraId="491A37A5"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&lt;10</w:t>
            </w:r>
          </w:p>
        </w:tc>
      </w:tr>
      <w:tr w14:paraId="3EAA28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85" w:type="pct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042989B7"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</w:p>
        </w:tc>
        <w:tc>
          <w:tcPr>
            <w:tcW w:w="2613" w:type="pct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15899818"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可溶性铬/(mg/kg)</w:t>
            </w:r>
          </w:p>
        </w:tc>
        <w:tc>
          <w:tcPr>
            <w:tcW w:w="901" w:type="pct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noWrap/>
            <w:vAlign w:val="center"/>
          </w:tcPr>
          <w:p w14:paraId="6FA4E4E9"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&lt;10</w:t>
            </w:r>
          </w:p>
        </w:tc>
      </w:tr>
      <w:tr w14:paraId="21D48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485" w:type="pct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1605187B"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</w:p>
        </w:tc>
        <w:tc>
          <w:tcPr>
            <w:tcW w:w="2613" w:type="pct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7EDAA942"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可溶性汞/(mg/kg)</w:t>
            </w:r>
          </w:p>
        </w:tc>
        <w:tc>
          <w:tcPr>
            <w:tcW w:w="901" w:type="pct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noWrap/>
            <w:vAlign w:val="center"/>
          </w:tcPr>
          <w:p w14:paraId="1EBA21E4"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&lt;2</w:t>
            </w:r>
          </w:p>
        </w:tc>
      </w:tr>
      <w:tr w14:paraId="2AF323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485" w:type="pct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31857C86"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气味</w:t>
            </w:r>
          </w:p>
        </w:tc>
        <w:tc>
          <w:tcPr>
            <w:tcW w:w="2613" w:type="pct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61C95E94"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气味等级b/级</w:t>
            </w:r>
          </w:p>
        </w:tc>
        <w:tc>
          <w:tcPr>
            <w:tcW w:w="901" w:type="pct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noWrap/>
            <w:vAlign w:val="center"/>
          </w:tcPr>
          <w:p w14:paraId="79499E2F"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≤3</w:t>
            </w:r>
          </w:p>
        </w:tc>
      </w:tr>
      <w:tr w14:paraId="01B6D9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000" w:type="pct"/>
            <w:gridSpan w:val="3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000000" w:themeColor="dark1" w:sz="6" w:space="0"/>
              <w:right w:val="single" w:color="000000" w:themeColor="dark1" w:sz="6" w:space="0"/>
            </w:tcBorders>
            <w:shd w:val="clear" w:color="auto" w:fill="FFFFFF"/>
            <w:noWrap/>
            <w:vAlign w:val="center"/>
          </w:tcPr>
          <w:p w14:paraId="0AF7C43C">
            <w:pPr>
              <w:pStyle w:val="36"/>
              <w:bidi w:val="0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a</w:t>
            </w:r>
            <w:r>
              <w:rPr>
                <w:rFonts w:hint="default"/>
                <w:color w:val="auto"/>
                <w:highlight w:val="none"/>
                <w:lang w:val="en-US" w:eastAsia="zh-CN"/>
              </w:rPr>
              <w:t>18种多环芳烃的具体名称见附录B。</w:t>
            </w:r>
          </w:p>
          <w:p w14:paraId="2C500045">
            <w:pPr>
              <w:pStyle w:val="36"/>
              <w:bidi w:val="0"/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b</w:t>
            </w:r>
            <w:r>
              <w:rPr>
                <w:rFonts w:hint="default"/>
                <w:color w:val="auto"/>
                <w:highlight w:val="none"/>
                <w:lang w:val="en-US" w:eastAsia="zh-CN"/>
              </w:rPr>
              <w:t>仅人造草面层填充用合成材料颗粒适用此项。</w:t>
            </w:r>
          </w:p>
        </w:tc>
      </w:tr>
    </w:tbl>
    <w:p w14:paraId="6DE13C14">
      <w:pPr>
        <w:pStyle w:val="27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非固体原料中有害物质</w:t>
      </w:r>
    </w:p>
    <w:tbl>
      <w:tblPr>
        <w:tblStyle w:val="15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3"/>
        <w:gridCol w:w="7350"/>
        <w:gridCol w:w="1095"/>
      </w:tblGrid>
      <w:tr w14:paraId="34782A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</w:trPr>
        <w:tc>
          <w:tcPr>
            <w:tcW w:w="4421" w:type="pct"/>
            <w:gridSpan w:val="2"/>
            <w:tcBorders>
              <w:top w:val="single" w:color="000000" w:themeColor="dark1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noWrap/>
            <w:vAlign w:val="center"/>
          </w:tcPr>
          <w:p w14:paraId="3FD30D60">
            <w:pPr>
              <w:pStyle w:val="32"/>
              <w:bidi w:val="0"/>
              <w:rPr>
                <w:rFonts w:hint="eastAsia"/>
                <w:b/>
                <w:i w:val="0"/>
                <w:color w:val="auto"/>
                <w:highlight w:val="none"/>
              </w:rPr>
            </w:pPr>
            <w:r>
              <w:rPr>
                <w:rFonts w:hint="eastAsia"/>
                <w:b/>
                <w:i w:val="0"/>
                <w:color w:val="auto"/>
                <w:highlight w:val="none"/>
                <w:lang w:val="en-US" w:eastAsia="zh-CN"/>
              </w:rPr>
              <w:t>项目</w:t>
            </w:r>
          </w:p>
        </w:tc>
        <w:tc>
          <w:tcPr>
            <w:tcW w:w="578" w:type="pct"/>
            <w:tcBorders>
              <w:top w:val="single" w:color="000000" w:themeColor="dark1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1630FD2F">
            <w:pPr>
              <w:pStyle w:val="32"/>
              <w:bidi w:val="0"/>
              <w:rPr>
                <w:rFonts w:hint="eastAsia"/>
                <w:b/>
                <w:i w:val="0"/>
                <w:color w:val="auto"/>
                <w:highlight w:val="none"/>
              </w:rPr>
            </w:pPr>
            <w:r>
              <w:rPr>
                <w:rFonts w:hint="eastAsia"/>
                <w:b/>
                <w:i w:val="0"/>
                <w:color w:val="auto"/>
                <w:highlight w:val="none"/>
                <w:lang w:val="en-US" w:eastAsia="zh-CN"/>
              </w:rPr>
              <w:t>要求</w:t>
            </w:r>
          </w:p>
        </w:tc>
      </w:tr>
      <w:tr w14:paraId="2C540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35" w:type="pct"/>
            <w:vMerge w:val="restart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noWrap/>
            <w:vAlign w:val="center"/>
          </w:tcPr>
          <w:p w14:paraId="3F4A35A8"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有害物质含量</w:t>
            </w:r>
          </w:p>
        </w:tc>
        <w:tc>
          <w:tcPr>
            <w:tcW w:w="3885" w:type="pct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6A4EB9C1"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3种邻苯二甲酸酯类化合物(DBP、BBP、DEHP)总和b/(g/kg)</w:t>
            </w:r>
          </w:p>
        </w:tc>
        <w:tc>
          <w:tcPr>
            <w:tcW w:w="578" w:type="pct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250B3C53"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≤1.0</w:t>
            </w:r>
          </w:p>
        </w:tc>
      </w:tr>
      <w:tr w14:paraId="1779F5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35" w:type="pct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noWrap/>
            <w:vAlign w:val="center"/>
          </w:tcPr>
          <w:p w14:paraId="269D9140"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</w:p>
        </w:tc>
        <w:tc>
          <w:tcPr>
            <w:tcW w:w="3885" w:type="pct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28C5999E"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3种邻苯二甲酸酯类化合物(DNOP、DINP、DIDP)总和/(g/kg)</w:t>
            </w:r>
          </w:p>
        </w:tc>
        <w:tc>
          <w:tcPr>
            <w:tcW w:w="578" w:type="pct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3A51B333"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≤1.0</w:t>
            </w:r>
          </w:p>
        </w:tc>
      </w:tr>
      <w:tr w14:paraId="31B88A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35" w:type="pct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noWrap/>
            <w:vAlign w:val="center"/>
          </w:tcPr>
          <w:p w14:paraId="631A1229"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</w:p>
        </w:tc>
        <w:tc>
          <w:tcPr>
            <w:tcW w:w="3885" w:type="pct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13703DC9"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短链氯化石蜡(Cio-Cna)/(g/kg)</w:t>
            </w:r>
          </w:p>
        </w:tc>
        <w:tc>
          <w:tcPr>
            <w:tcW w:w="578" w:type="pct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63B68110"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≤1.5</w:t>
            </w:r>
          </w:p>
        </w:tc>
      </w:tr>
      <w:tr w14:paraId="6581E9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35" w:type="pct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noWrap/>
            <w:vAlign w:val="center"/>
          </w:tcPr>
          <w:p w14:paraId="7BDCB246"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</w:p>
        </w:tc>
        <w:tc>
          <w:tcPr>
            <w:tcW w:w="3885" w:type="pct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0610549B"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游离甲苯二异氰酸酯(TDI)和游离六亚甲基二异氰酸酯(HDI)总和/(g/kg)</w:t>
            </w:r>
          </w:p>
        </w:tc>
        <w:tc>
          <w:tcPr>
            <w:tcW w:w="578" w:type="pct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4BE02121"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≤10</w:t>
            </w:r>
          </w:p>
        </w:tc>
      </w:tr>
      <w:tr w14:paraId="723C4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35" w:type="pct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noWrap/>
            <w:vAlign w:val="center"/>
          </w:tcPr>
          <w:p w14:paraId="6F6B63FF"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</w:p>
        </w:tc>
        <w:tc>
          <w:tcPr>
            <w:tcW w:w="3885" w:type="pct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2E0367F4"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挥发性有机化合物/g/L)</w:t>
            </w:r>
          </w:p>
        </w:tc>
        <w:tc>
          <w:tcPr>
            <w:tcW w:w="578" w:type="pct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40F4D809"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≤50</w:t>
            </w:r>
          </w:p>
        </w:tc>
      </w:tr>
      <w:tr w14:paraId="0CE00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35" w:type="pct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noWrap/>
            <w:vAlign w:val="center"/>
          </w:tcPr>
          <w:p w14:paraId="0D51B8BB"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</w:p>
        </w:tc>
        <w:tc>
          <w:tcPr>
            <w:tcW w:w="3885" w:type="pct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0BA988AB"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游离甲醛/(g/kg)</w:t>
            </w:r>
          </w:p>
        </w:tc>
        <w:tc>
          <w:tcPr>
            <w:tcW w:w="578" w:type="pct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6C402E4C"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≤0.50</w:t>
            </w:r>
          </w:p>
        </w:tc>
      </w:tr>
      <w:tr w14:paraId="323685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35" w:type="pct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noWrap/>
            <w:vAlign w:val="center"/>
          </w:tcPr>
          <w:p w14:paraId="4663551D"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</w:p>
        </w:tc>
        <w:tc>
          <w:tcPr>
            <w:tcW w:w="3885" w:type="pct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5FC0D0DD"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苯/g/kg)</w:t>
            </w:r>
          </w:p>
        </w:tc>
        <w:tc>
          <w:tcPr>
            <w:tcW w:w="578" w:type="pct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24882315"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≤0.05</w:t>
            </w:r>
          </w:p>
        </w:tc>
      </w:tr>
      <w:tr w14:paraId="2D00C2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35" w:type="pct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noWrap/>
            <w:vAlign w:val="center"/>
          </w:tcPr>
          <w:p w14:paraId="1B0B9AF2"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</w:p>
        </w:tc>
        <w:tc>
          <w:tcPr>
            <w:tcW w:w="3885" w:type="pct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68EE12CB"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甲苯、二甲苯和乙苯总和/g/kg)</w:t>
            </w:r>
          </w:p>
        </w:tc>
        <w:tc>
          <w:tcPr>
            <w:tcW w:w="578" w:type="pct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60D644AC"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≤1.0</w:t>
            </w:r>
          </w:p>
        </w:tc>
      </w:tr>
      <w:tr w14:paraId="0D463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35" w:type="pct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noWrap/>
            <w:vAlign w:val="center"/>
          </w:tcPr>
          <w:p w14:paraId="0415BF3E"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</w:p>
        </w:tc>
        <w:tc>
          <w:tcPr>
            <w:tcW w:w="3885" w:type="pct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475DFC91"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可溶性铅/(mg/kg)</w:t>
            </w:r>
          </w:p>
        </w:tc>
        <w:tc>
          <w:tcPr>
            <w:tcW w:w="578" w:type="pct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407FC4EE"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≤50</w:t>
            </w:r>
          </w:p>
        </w:tc>
      </w:tr>
      <w:tr w14:paraId="5B7209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35" w:type="pct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noWrap/>
            <w:vAlign w:val="center"/>
          </w:tcPr>
          <w:p w14:paraId="0E2555DE"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</w:p>
        </w:tc>
        <w:tc>
          <w:tcPr>
            <w:tcW w:w="3885" w:type="pct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231A4C94"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可溶性镉/mg/kg)</w:t>
            </w:r>
          </w:p>
        </w:tc>
        <w:tc>
          <w:tcPr>
            <w:tcW w:w="578" w:type="pct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09DA8E7B"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≤10</w:t>
            </w:r>
          </w:p>
        </w:tc>
      </w:tr>
      <w:tr w14:paraId="7BABE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35" w:type="pct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noWrap/>
            <w:vAlign w:val="center"/>
          </w:tcPr>
          <w:p w14:paraId="1E3CBFE3"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</w:p>
        </w:tc>
        <w:tc>
          <w:tcPr>
            <w:tcW w:w="3885" w:type="pct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29B6422D"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可溶性铬/(mg/kg)</w:t>
            </w:r>
          </w:p>
        </w:tc>
        <w:tc>
          <w:tcPr>
            <w:tcW w:w="578" w:type="pct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455E3AFB"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≤10</w:t>
            </w:r>
          </w:p>
        </w:tc>
      </w:tr>
      <w:tr w14:paraId="76F63C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35" w:type="pct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noWrap/>
            <w:vAlign w:val="center"/>
          </w:tcPr>
          <w:p w14:paraId="0156515B"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</w:p>
        </w:tc>
        <w:tc>
          <w:tcPr>
            <w:tcW w:w="3885" w:type="pct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4D88E71A"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可溶性汞/(mg/kg)</w:t>
            </w:r>
          </w:p>
        </w:tc>
        <w:tc>
          <w:tcPr>
            <w:tcW w:w="578" w:type="pct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0271B31D"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&lt;2</w:t>
            </w:r>
          </w:p>
        </w:tc>
      </w:tr>
      <w:tr w14:paraId="7EF35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</w:trPr>
        <w:tc>
          <w:tcPr>
            <w:tcW w:w="5000" w:type="pct"/>
            <w:gridSpan w:val="3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000000" w:themeColor="dark1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6EFD0716">
            <w:pPr>
              <w:pStyle w:val="36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a多组分样品·在测试游离甲苯二异氰酸酯(TDD和游离六亚甲基二异氰酸酯(HDD总和时，应先检测固化剂样品中游离甲苯二异氰酸酯(TDD和游离六亚甲基二异氰酸酯(HDD含量·然后按产品明示的施工配比进行计算;其他检测项目按照产品明示的施工配比混合后测定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br w:type="textWrapping"/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b邻苯二甲酸酯类化合物的具体名称见附录A。</w:t>
            </w:r>
          </w:p>
        </w:tc>
      </w:tr>
    </w:tbl>
    <w:p w14:paraId="2F16D6B4">
      <w:pPr>
        <w:pStyle w:val="4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丙烯酸材料</w:t>
      </w:r>
    </w:p>
    <w:p w14:paraId="5B73E709">
      <w:pPr>
        <w:bidi w:val="0"/>
        <w:rPr>
          <w:rFonts w:hint="eastAsia"/>
          <w:color w:val="auto"/>
          <w:highlight w:val="none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t>丙烯酸材料除满足《涂料中有害物质限量》GB 30981.1-2025 全部通用国家标准基础要求外，还必须严格执行《中小学合成材料面层运动场地》GB 36246-2018 中运动场地专属有害物质限值规定，具体管控指标详见本文件 3.1、3.2 章节。</w:t>
      </w:r>
    </w:p>
    <w:p w14:paraId="70E5FA37">
      <w:pPr>
        <w:pStyle w:val="4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聚氯乙烯（PVC）运动地板工程材料要求</w:t>
      </w:r>
    </w:p>
    <w:p w14:paraId="6E72932A">
      <w:pPr>
        <w:bidi w:val="0"/>
        <w:rPr>
          <w:rFonts w:hint="eastAsia"/>
          <w:color w:val="auto"/>
          <w:highlight w:val="none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t>聚氯乙烯（PVC）运动地板除满足《聚氯乙烯卷材地板》GB/T 11982、《室内装饰装修材料 聚氯乙烯卷材地板中有害物质限量》GB 18586 通用国家标准基础要求外，还必须严格执行《中小学合成材料面层运动场地》GB 36246-2018 中运动场地专属有害物质限值规定，具体管控指标详见本文件</w:t>
      </w:r>
      <w:r>
        <w:rPr>
          <w:rFonts w:ascii="宋体" w:hAnsi="宋体" w:eastAsia="宋体" w:cs="宋体"/>
          <w:sz w:val="24"/>
          <w:szCs w:val="24"/>
        </w:rPr>
        <w:t xml:space="preserve"> 3.1、3.2 章节</w:t>
      </w:r>
      <w:r>
        <w:rPr>
          <w:rFonts w:ascii="宋体" w:hAnsi="宋体" w:eastAsia="宋体" w:cs="宋体"/>
          <w:sz w:val="24"/>
          <w:szCs w:val="24"/>
        </w:rPr>
        <w:t>。</w:t>
      </w:r>
    </w:p>
    <w:p w14:paraId="053701E2">
      <w:pPr>
        <w:pStyle w:val="2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施工技术要求</w:t>
      </w:r>
    </w:p>
    <w:p w14:paraId="4FE81B56">
      <w:pPr>
        <w:pStyle w:val="4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试验段施工</w:t>
      </w:r>
    </w:p>
    <w:p w14:paraId="3E8EF387">
      <w:pPr>
        <w:pStyle w:val="22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人造草、预制卷材、丙烯酸正式施工前必须做试验段</w:t>
      </w:r>
      <w:r>
        <w:rPr>
          <w:rFonts w:hint="eastAsia"/>
          <w:color w:val="auto"/>
          <w:highlight w:val="none"/>
          <w:lang w:val="en-US" w:eastAsia="zh-CN"/>
        </w:rPr>
        <w:t>；</w:t>
      </w:r>
      <w:r>
        <w:rPr>
          <w:rFonts w:hint="default"/>
          <w:color w:val="auto"/>
          <w:highlight w:val="none"/>
          <w:lang w:val="en-US" w:eastAsia="zh-CN"/>
        </w:rPr>
        <w:t>材料、机械、人员、工艺与正式施工一致</w:t>
      </w:r>
      <w:r>
        <w:rPr>
          <w:rFonts w:hint="eastAsia"/>
          <w:color w:val="auto"/>
          <w:highlight w:val="none"/>
          <w:lang w:val="en-US" w:eastAsia="zh-CN"/>
        </w:rPr>
        <w:t>；</w:t>
      </w:r>
    </w:p>
    <w:p w14:paraId="428191E1">
      <w:pPr>
        <w:pStyle w:val="22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验证收口高差≤3mm、人员配置、降噪降尘、安全防护有效性</w:t>
      </w:r>
      <w:r>
        <w:rPr>
          <w:rFonts w:hint="eastAsia"/>
          <w:color w:val="auto"/>
          <w:highlight w:val="none"/>
          <w:lang w:val="en-US" w:eastAsia="zh-CN"/>
        </w:rPr>
        <w:t>；</w:t>
      </w:r>
    </w:p>
    <w:p w14:paraId="5172F1CF"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试验段验收合格并形成报告，经监理、建设单位、校方审批后方可全面施工</w:t>
      </w:r>
      <w:r>
        <w:rPr>
          <w:rFonts w:hint="eastAsia"/>
          <w:lang w:val="en-US" w:eastAsia="zh-CN"/>
        </w:rPr>
        <w:t>。</w:t>
      </w:r>
    </w:p>
    <w:p w14:paraId="79871241">
      <w:pPr>
        <w:pStyle w:val="4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预制橡胶卷材面层施工</w:t>
      </w:r>
    </w:p>
    <w:p w14:paraId="7811D2A5">
      <w:pPr>
        <w:pStyle w:val="22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基底：3m靠尺平整度偏差≤3mm；含水率≤6%；湿度＞85%、雨天严禁施工</w:t>
      </w:r>
      <w:r>
        <w:rPr>
          <w:rFonts w:hint="eastAsia"/>
          <w:color w:val="auto"/>
          <w:highlight w:val="none"/>
          <w:lang w:val="en-US" w:eastAsia="zh-CN"/>
        </w:rPr>
        <w:t>；</w:t>
      </w:r>
    </w:p>
    <w:p w14:paraId="52D7C5D6">
      <w:pPr>
        <w:pStyle w:val="22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基底必须洁净干燥，油污清除、冲洗晾干，监理验收合格方可施工</w:t>
      </w:r>
      <w:r>
        <w:rPr>
          <w:rFonts w:hint="eastAsia"/>
          <w:color w:val="auto"/>
          <w:highlight w:val="none"/>
          <w:lang w:val="en-US" w:eastAsia="zh-CN"/>
        </w:rPr>
        <w:t>；</w:t>
      </w:r>
    </w:p>
    <w:p w14:paraId="258DC84E">
      <w:pPr>
        <w:pStyle w:val="22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铺贴放线偏差≤2mm；专用底胶厚度0.5–0.8mm；拼接缝≤1mm，错缝≥90cm</w:t>
      </w:r>
      <w:r>
        <w:rPr>
          <w:rFonts w:hint="eastAsia"/>
          <w:color w:val="auto"/>
          <w:highlight w:val="none"/>
          <w:lang w:val="en-US" w:eastAsia="zh-CN"/>
        </w:rPr>
        <w:t>；</w:t>
      </w:r>
    </w:p>
    <w:p w14:paraId="2F687ABE">
      <w:pPr>
        <w:pStyle w:val="22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弯道、转角采用整块卷材弯转，不得切割；收口高差≤3mm，密封防水处理</w:t>
      </w:r>
      <w:r>
        <w:rPr>
          <w:rFonts w:hint="eastAsia"/>
          <w:color w:val="auto"/>
          <w:highlight w:val="none"/>
          <w:lang w:val="en-US" w:eastAsia="zh-CN"/>
        </w:rPr>
        <w:t>；</w:t>
      </w:r>
    </w:p>
    <w:p w14:paraId="67B6EC59">
      <w:pPr>
        <w:pStyle w:val="22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做好防雨覆盖，养护≥24小时，禁止踩踏、碾压</w:t>
      </w:r>
      <w:r>
        <w:rPr>
          <w:rFonts w:hint="eastAsia"/>
          <w:color w:val="auto"/>
          <w:highlight w:val="none"/>
          <w:lang w:val="en-US" w:eastAsia="zh-CN"/>
        </w:rPr>
        <w:t>。</w:t>
      </w:r>
    </w:p>
    <w:p w14:paraId="6A2137BC">
      <w:pPr>
        <w:pStyle w:val="4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现浇型跑道面层施工</w:t>
      </w:r>
    </w:p>
    <w:p w14:paraId="7A8B5AD7">
      <w:pPr>
        <w:pStyle w:val="22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基底要求同预制型，平整度≤3mm，含水率≤6%，裂缝按宽度规范修补</w:t>
      </w:r>
      <w:r>
        <w:rPr>
          <w:rFonts w:hint="eastAsia"/>
          <w:color w:val="auto"/>
          <w:highlight w:val="none"/>
          <w:lang w:val="en-US" w:eastAsia="zh-CN"/>
        </w:rPr>
        <w:t>；</w:t>
      </w:r>
    </w:p>
    <w:p w14:paraId="5CCB5444">
      <w:pPr>
        <w:pStyle w:val="22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分两次浇筑：弹性层+EPDM颗粒面层；材料配比严格执行，搅拌时间≥5分钟</w:t>
      </w:r>
      <w:r>
        <w:rPr>
          <w:rFonts w:hint="eastAsia"/>
          <w:color w:val="auto"/>
          <w:highlight w:val="none"/>
          <w:lang w:val="en-US" w:eastAsia="zh-CN"/>
        </w:rPr>
        <w:t>；</w:t>
      </w:r>
    </w:p>
    <w:p w14:paraId="1637F51B">
      <w:pPr>
        <w:pStyle w:val="22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新旧面层接口：旧面打磨45°斜角，涂刷界面剂；衔接高差≤2mm</w:t>
      </w:r>
      <w:r>
        <w:rPr>
          <w:rFonts w:hint="eastAsia"/>
          <w:color w:val="auto"/>
          <w:highlight w:val="none"/>
          <w:lang w:val="en-US" w:eastAsia="zh-CN"/>
        </w:rPr>
        <w:t>；</w:t>
      </w:r>
    </w:p>
    <w:p w14:paraId="536C380B">
      <w:pPr>
        <w:pStyle w:val="22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整体养护≥72小时，防雨、防尘、禁止通行</w:t>
      </w:r>
      <w:r>
        <w:rPr>
          <w:rFonts w:hint="eastAsia"/>
          <w:color w:val="auto"/>
          <w:highlight w:val="none"/>
          <w:lang w:val="en-US" w:eastAsia="zh-CN"/>
        </w:rPr>
        <w:t>。</w:t>
      </w:r>
    </w:p>
    <w:p w14:paraId="03CEF9BC">
      <w:pPr>
        <w:pStyle w:val="4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人造草坪面层施工</w:t>
      </w:r>
    </w:p>
    <w:p w14:paraId="47619EE6">
      <w:pPr>
        <w:pStyle w:val="22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基底清理干净，平整度≤3mm；满铺10mm吸震垫，接缝严密</w:t>
      </w:r>
      <w:r>
        <w:rPr>
          <w:rFonts w:hint="eastAsia"/>
          <w:color w:val="auto"/>
          <w:highlight w:val="none"/>
          <w:lang w:val="en-US" w:eastAsia="zh-CN"/>
        </w:rPr>
        <w:t>；</w:t>
      </w:r>
    </w:p>
    <w:p w14:paraId="660CCF63">
      <w:pPr>
        <w:pStyle w:val="22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仅限干燥天气施工；涂胶厚度0.3–0.5mm，晾置后压实粘接</w:t>
      </w:r>
      <w:r>
        <w:rPr>
          <w:rFonts w:hint="eastAsia"/>
          <w:color w:val="auto"/>
          <w:highlight w:val="none"/>
          <w:lang w:val="en-US" w:eastAsia="zh-CN"/>
        </w:rPr>
        <w:t>；</w:t>
      </w:r>
    </w:p>
    <w:p w14:paraId="66CA5B6C">
      <w:pPr>
        <w:pStyle w:val="22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先填充石英砂，再填充橡胶颗粒，梳理密实，保证草丝直立</w:t>
      </w:r>
      <w:r>
        <w:rPr>
          <w:rFonts w:hint="eastAsia"/>
          <w:color w:val="auto"/>
          <w:highlight w:val="none"/>
          <w:lang w:val="en-US" w:eastAsia="zh-CN"/>
        </w:rPr>
        <w:t>；</w:t>
      </w:r>
    </w:p>
    <w:p w14:paraId="5FD1D472">
      <w:pPr>
        <w:pStyle w:val="22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做好下水口保护，防止颗粒堵塞管道</w:t>
      </w:r>
      <w:r>
        <w:rPr>
          <w:rFonts w:hint="eastAsia"/>
          <w:color w:val="auto"/>
          <w:highlight w:val="none"/>
          <w:lang w:val="en-US" w:eastAsia="zh-CN"/>
        </w:rPr>
        <w:t>。</w:t>
      </w:r>
    </w:p>
    <w:p w14:paraId="4FA69F4C">
      <w:pPr>
        <w:pStyle w:val="4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丙烯酸面层施工</w:t>
      </w:r>
    </w:p>
    <w:p w14:paraId="3A16DC1D">
      <w:pPr>
        <w:pStyle w:val="22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基底清理、修补、酸洗、干燥；含水率≤6%；新浇混凝土养护≥28天</w:t>
      </w:r>
      <w:r>
        <w:rPr>
          <w:rFonts w:hint="eastAsia"/>
          <w:color w:val="auto"/>
          <w:highlight w:val="none"/>
          <w:lang w:val="en-US" w:eastAsia="zh-CN"/>
        </w:rPr>
        <w:t>；</w:t>
      </w:r>
    </w:p>
    <w:p w14:paraId="71123502">
      <w:pPr>
        <w:pStyle w:val="22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 标准工艺：5遍涂刮（底漆1遍+中涂2遍+面涂2遍），总厚度150–200μm</w:t>
      </w:r>
      <w:r>
        <w:rPr>
          <w:rFonts w:hint="eastAsia"/>
          <w:color w:val="auto"/>
          <w:highlight w:val="none"/>
          <w:lang w:val="en-US" w:eastAsia="zh-CN"/>
        </w:rPr>
        <w:t>；</w:t>
      </w:r>
    </w:p>
    <w:p w14:paraId="2BCD4847">
      <w:pPr>
        <w:pStyle w:val="22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雨天、大雾、湿度＞85%、大风＞3级严禁施工</w:t>
      </w:r>
      <w:r>
        <w:rPr>
          <w:rFonts w:hint="eastAsia"/>
          <w:color w:val="auto"/>
          <w:highlight w:val="none"/>
          <w:lang w:val="en-US" w:eastAsia="zh-CN"/>
        </w:rPr>
        <w:t>；</w:t>
      </w:r>
    </w:p>
    <w:p w14:paraId="07316DDB">
      <w:pPr>
        <w:pStyle w:val="22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成品养护≥72小时，封闭管理，禁止踩踏与污染</w:t>
      </w:r>
      <w:r>
        <w:rPr>
          <w:rFonts w:hint="eastAsia"/>
          <w:color w:val="auto"/>
          <w:highlight w:val="none"/>
          <w:lang w:val="en-US" w:eastAsia="zh-CN"/>
        </w:rPr>
        <w:t>。</w:t>
      </w:r>
    </w:p>
    <w:p w14:paraId="7DADC5CC">
      <w:pPr>
        <w:pStyle w:val="4"/>
        <w:bidi w:val="0"/>
        <w:rPr>
          <w:rFonts w:hint="default"/>
          <w:lang w:val="en-US" w:eastAsia="zh-CN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聚氯乙烯（PVC）运动地板工程</w:t>
      </w:r>
      <w:r>
        <w:rPr>
          <w:rFonts w:hint="default"/>
          <w:lang w:val="en-US" w:eastAsia="zh-CN"/>
        </w:rPr>
        <w:t>施工工艺</w:t>
      </w:r>
    </w:p>
    <w:p w14:paraId="5CF796B7">
      <w:pPr>
        <w:pStyle w:val="5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基层处理：</w:t>
      </w:r>
    </w:p>
    <w:p w14:paraId="5764A1F7"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清理基层表面，确保干净、无灰尘、无油污</w:t>
      </w:r>
      <w:r>
        <w:rPr>
          <w:rFonts w:hint="eastAsia"/>
          <w:lang w:val="en-US" w:eastAsia="zh-CN"/>
        </w:rPr>
        <w:t>；</w:t>
      </w:r>
    </w:p>
    <w:p w14:paraId="151DC4E9"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检查基层平整度，对不平整处进行修补</w:t>
      </w:r>
      <w:r>
        <w:rPr>
          <w:rFonts w:hint="eastAsia"/>
          <w:lang w:val="en-US" w:eastAsia="zh-CN"/>
        </w:rPr>
        <w:t>；</w:t>
      </w:r>
    </w:p>
    <w:p w14:paraId="28CE5742"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界面剂施工：涂刷界面剂1道，增强基层与找平层的粘结力</w:t>
      </w:r>
      <w:r>
        <w:rPr>
          <w:rFonts w:hint="eastAsia"/>
          <w:lang w:val="en-US" w:eastAsia="zh-CN"/>
        </w:rPr>
        <w:t>。</w:t>
      </w:r>
    </w:p>
    <w:p w14:paraId="34DE3F03">
      <w:pPr>
        <w:pStyle w:val="5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找平层施工：</w:t>
      </w:r>
    </w:p>
    <w:p w14:paraId="6C1C727D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20厚DSM20砂浆（1:2.5水泥砂浆）找平层</w:t>
      </w:r>
      <w:r>
        <w:rPr>
          <w:rFonts w:hint="eastAsia"/>
          <w:lang w:val="en-US" w:eastAsia="zh-CN"/>
        </w:rPr>
        <w:t>；</w:t>
      </w:r>
    </w:p>
    <w:p w14:paraId="541FC6CF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找平层应平整，坡度符合设计要求</w:t>
      </w:r>
      <w:r>
        <w:rPr>
          <w:rFonts w:hint="eastAsia"/>
          <w:lang w:val="en-US" w:eastAsia="zh-CN"/>
        </w:rPr>
        <w:t>；</w:t>
      </w:r>
    </w:p>
    <w:p w14:paraId="6B11ED32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找平层施工后应进行养护，确保强度达到要求</w:t>
      </w:r>
      <w:r>
        <w:rPr>
          <w:rFonts w:hint="eastAsia"/>
          <w:lang w:val="en-US" w:eastAsia="zh-CN"/>
        </w:rPr>
        <w:t>。</w:t>
      </w:r>
    </w:p>
    <w:p w14:paraId="5A2861E8">
      <w:pPr>
        <w:pStyle w:val="5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自流平施工：</w:t>
      </w:r>
    </w:p>
    <w:p w14:paraId="64C1A5FE"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3厚垫层水泥基自流平砂浆</w:t>
      </w:r>
      <w:r>
        <w:rPr>
          <w:rFonts w:hint="eastAsia"/>
          <w:lang w:val="en-US" w:eastAsia="zh-CN"/>
        </w:rPr>
        <w:t>；</w:t>
      </w:r>
    </w:p>
    <w:p w14:paraId="70D7A478"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按照产品说明比例搅拌均匀</w:t>
      </w:r>
      <w:r>
        <w:rPr>
          <w:rFonts w:hint="eastAsia"/>
          <w:lang w:val="en-US" w:eastAsia="zh-CN"/>
        </w:rPr>
        <w:t>；</w:t>
      </w:r>
    </w:p>
    <w:p w14:paraId="4EBE036C"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倒在基层上，用专用齿刮板刮平</w:t>
      </w:r>
      <w:r>
        <w:rPr>
          <w:rFonts w:hint="eastAsia"/>
          <w:lang w:val="en-US" w:eastAsia="zh-CN"/>
        </w:rPr>
        <w:t>；</w:t>
      </w:r>
    </w:p>
    <w:p w14:paraId="4B00596B"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自流平应自然流平，确保表面平整</w:t>
      </w:r>
      <w:r>
        <w:rPr>
          <w:rFonts w:hint="eastAsia"/>
          <w:lang w:val="en-US" w:eastAsia="zh-CN"/>
        </w:rPr>
        <w:t>；</w:t>
      </w:r>
    </w:p>
    <w:p w14:paraId="1B392030"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施工后应进行养护，确保强度达到要求</w:t>
      </w:r>
      <w:r>
        <w:rPr>
          <w:rFonts w:hint="eastAsia"/>
          <w:lang w:val="en-US" w:eastAsia="zh-CN"/>
        </w:rPr>
        <w:t>。</w:t>
      </w:r>
    </w:p>
    <w:p w14:paraId="7F0F5471">
      <w:pPr>
        <w:pStyle w:val="5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PVC地板铺设：</w:t>
      </w:r>
    </w:p>
    <w:p w14:paraId="7D0EF5F0"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在自流平基层上均匀涂刷专用胶粘剂</w:t>
      </w:r>
      <w:r>
        <w:rPr>
          <w:rFonts w:hint="eastAsia"/>
          <w:lang w:val="en-US" w:eastAsia="zh-CN"/>
        </w:rPr>
        <w:t>；</w:t>
      </w:r>
    </w:p>
    <w:p w14:paraId="083A21D8"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将PVC卷材平铺在胶粘剂上，注意对齐和接缝处理</w:t>
      </w:r>
      <w:r>
        <w:rPr>
          <w:rFonts w:hint="eastAsia"/>
          <w:lang w:val="en-US" w:eastAsia="zh-CN"/>
        </w:rPr>
        <w:t>；</w:t>
      </w:r>
    </w:p>
    <w:p w14:paraId="69CBC7EC"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用滚筒碾压2遍，确保粘结牢固，排除气泡</w:t>
      </w:r>
      <w:r>
        <w:rPr>
          <w:rFonts w:hint="eastAsia"/>
          <w:lang w:val="en-US" w:eastAsia="zh-CN"/>
        </w:rPr>
        <w:t>。</w:t>
      </w:r>
    </w:p>
    <w:p w14:paraId="1D8655D8">
      <w:pPr>
        <w:pStyle w:val="5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缝隙焊接：</w:t>
      </w:r>
    </w:p>
    <w:p w14:paraId="47F9DA92"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PVC卷材接缝处进行开槽处理</w:t>
      </w:r>
      <w:r>
        <w:rPr>
          <w:rFonts w:hint="eastAsia"/>
          <w:lang w:val="en-US" w:eastAsia="zh-CN"/>
        </w:rPr>
        <w:t>；</w:t>
      </w:r>
    </w:p>
    <w:p w14:paraId="102A9E19"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使用专用焊条进行热焊接</w:t>
      </w:r>
      <w:r>
        <w:rPr>
          <w:rFonts w:hint="eastAsia"/>
          <w:lang w:val="en-US" w:eastAsia="zh-CN"/>
        </w:rPr>
        <w:t>；</w:t>
      </w:r>
    </w:p>
    <w:p w14:paraId="04641433"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焊接后应铲平多余焊条，确保接缝平整</w:t>
      </w:r>
      <w:r>
        <w:rPr>
          <w:rFonts w:hint="eastAsia"/>
          <w:lang w:val="en-US" w:eastAsia="zh-CN"/>
        </w:rPr>
        <w:t>。</w:t>
      </w:r>
    </w:p>
    <w:p w14:paraId="1E0EAAB2">
      <w:pPr>
        <w:pStyle w:val="5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表面保护蜡：</w:t>
      </w:r>
    </w:p>
    <w:p w14:paraId="2CA77B02"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地板铺设完成后，在表面上保护蜡</w:t>
      </w:r>
      <w:r>
        <w:rPr>
          <w:rFonts w:hint="eastAsia"/>
          <w:lang w:val="en-US" w:eastAsia="zh-CN"/>
        </w:rPr>
        <w:t>；</w:t>
      </w:r>
    </w:p>
    <w:p w14:paraId="4433985E"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保护蜡应均匀涂刷，确保表面光亮、耐磨</w:t>
      </w:r>
      <w:r>
        <w:rPr>
          <w:rFonts w:hint="eastAsia"/>
          <w:lang w:val="en-US" w:eastAsia="zh-CN"/>
        </w:rPr>
        <w:t>。</w:t>
      </w:r>
    </w:p>
    <w:p w14:paraId="51A36707">
      <w:pPr>
        <w:pStyle w:val="2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质量与验收要求</w:t>
      </w:r>
    </w:p>
    <w:p w14:paraId="24CF5F53">
      <w:pPr>
        <w:pStyle w:val="4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质量要求</w:t>
      </w:r>
    </w:p>
    <w:p w14:paraId="58B2465A">
      <w:pPr>
        <w:pStyle w:val="22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原材料进场必须见证取样送检</w:t>
      </w:r>
      <w:r>
        <w:rPr>
          <w:rFonts w:hint="eastAsia"/>
          <w:color w:val="auto"/>
          <w:highlight w:val="none"/>
          <w:lang w:val="en-US" w:eastAsia="zh-CN"/>
        </w:rPr>
        <w:t>，</w:t>
      </w:r>
      <w:r>
        <w:rPr>
          <w:highlight w:val="none"/>
        </w:rPr>
        <w:t>具备CMA、CNAS双资质第三方检测机构出具的有效检测报告</w:t>
      </w:r>
      <w:r>
        <w:rPr>
          <w:rFonts w:hint="default"/>
          <w:color w:val="auto"/>
          <w:highlight w:val="none"/>
          <w:lang w:val="en-US" w:eastAsia="zh-CN"/>
        </w:rPr>
        <w:t>，由NSTC认可资质机构检测，合格后方可使用</w:t>
      </w:r>
      <w:r>
        <w:rPr>
          <w:rFonts w:hint="eastAsia"/>
          <w:color w:val="auto"/>
          <w:highlight w:val="none"/>
          <w:lang w:val="en-US" w:eastAsia="zh-CN"/>
        </w:rPr>
        <w:t>；</w:t>
      </w:r>
    </w:p>
    <w:p w14:paraId="04D84AAD">
      <w:pPr>
        <w:pStyle w:val="22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施工全过程做好成品保护，采用围挡、遮盖等措施，避免交叉作业污染、破损</w:t>
      </w:r>
      <w:r>
        <w:rPr>
          <w:rFonts w:hint="eastAsia"/>
          <w:color w:val="auto"/>
          <w:highlight w:val="none"/>
          <w:lang w:val="en-US" w:eastAsia="zh-CN"/>
        </w:rPr>
        <w:t>。</w:t>
      </w:r>
    </w:p>
    <w:p w14:paraId="5EC603A3">
      <w:pPr>
        <w:pStyle w:val="4"/>
        <w:bidi w:val="0"/>
        <w:rPr>
          <w:rFonts w:hint="default"/>
          <w:lang w:val="en-US" w:eastAsia="zh-CN"/>
        </w:rPr>
      </w:pPr>
      <w:r>
        <w:t>面层与基层衔接要求</w:t>
      </w:r>
    </w:p>
    <w:p w14:paraId="7594021A"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跑道、足球场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丙烯酸面层施工单位应提前介入基层放线、标高控制及验收工作，并做好面层施工前置条件技术交底</w:t>
      </w:r>
      <w:r>
        <w:rPr>
          <w:rFonts w:hint="eastAsia"/>
          <w:lang w:val="en-US" w:eastAsia="zh-CN"/>
        </w:rPr>
        <w:t>，</w:t>
      </w:r>
      <w:r>
        <w:rPr>
          <w:rFonts w:hint="default"/>
          <w:lang w:val="en-US" w:eastAsia="zh-CN"/>
        </w:rPr>
        <w:t>面层施工单位接收基层后，即视为认可基层施工质量</w:t>
      </w:r>
      <w:r>
        <w:rPr>
          <w:rFonts w:hint="eastAsia"/>
          <w:lang w:val="en-US" w:eastAsia="zh-CN"/>
        </w:rPr>
        <w:t>；</w:t>
      </w:r>
    </w:p>
    <w:p w14:paraId="01AD260D"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基层移交平整度执行3米直尺偏差5mm合格标准。</w:t>
      </w:r>
    </w:p>
    <w:p w14:paraId="0C81780F">
      <w:pPr>
        <w:pStyle w:val="4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验收要求</w:t>
      </w:r>
    </w:p>
    <w:p w14:paraId="500CC1AC">
      <w:pPr>
        <w:pStyle w:val="5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基层处理工程</w:t>
      </w:r>
    </w:p>
    <w:p w14:paraId="5BEA797C"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基层表面应平整、坚实，无起砂、空鼓、开裂等缺陷</w:t>
      </w:r>
      <w:r>
        <w:rPr>
          <w:rFonts w:hint="eastAsia"/>
          <w:lang w:val="en-US" w:eastAsia="zh-CN"/>
        </w:rPr>
        <w:t>；</w:t>
      </w:r>
    </w:p>
    <w:p w14:paraId="6740D775"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基层坡度应符合设计要求，排水顺畅，无积水现象</w:t>
      </w:r>
      <w:r>
        <w:rPr>
          <w:rFonts w:hint="eastAsia"/>
          <w:lang w:val="en-US" w:eastAsia="zh-CN"/>
        </w:rPr>
        <w:t>；</w:t>
      </w:r>
    </w:p>
    <w:p w14:paraId="2D40DB60"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基层表面应清洁，无灰尘、无油污、无杂物</w:t>
      </w:r>
      <w:r>
        <w:rPr>
          <w:rFonts w:hint="eastAsia"/>
          <w:lang w:val="en-US" w:eastAsia="zh-CN"/>
        </w:rPr>
        <w:t>；</w:t>
      </w:r>
    </w:p>
    <w:p w14:paraId="6C0C5AE5"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基层强度应满足设计要求</w:t>
      </w:r>
      <w:r>
        <w:rPr>
          <w:rFonts w:hint="eastAsia"/>
          <w:lang w:val="en-US" w:eastAsia="zh-CN"/>
        </w:rPr>
        <w:t>。</w:t>
      </w:r>
    </w:p>
    <w:p w14:paraId="499CA662">
      <w:pPr>
        <w:pStyle w:val="5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预制型橡胶跑道工程</w:t>
      </w:r>
    </w:p>
    <w:p w14:paraId="3AF43152"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跑道厚度应符合设计要求，偏差在允许范围内</w:t>
      </w:r>
      <w:r>
        <w:rPr>
          <w:rFonts w:hint="eastAsia"/>
          <w:lang w:val="en-US" w:eastAsia="zh-CN"/>
        </w:rPr>
        <w:t>；</w:t>
      </w:r>
    </w:p>
    <w:p w14:paraId="7DD593F4"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跑道表面应平整，无明显凹凸、气泡、褶皱等缺陷</w:t>
      </w:r>
      <w:r>
        <w:rPr>
          <w:rFonts w:hint="eastAsia"/>
          <w:lang w:val="en-US" w:eastAsia="zh-CN"/>
        </w:rPr>
        <w:t>；</w:t>
      </w:r>
    </w:p>
    <w:p w14:paraId="4EF2F1CB"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接缝应平整、牢固，无明显接缝痕迹</w:t>
      </w:r>
      <w:r>
        <w:rPr>
          <w:rFonts w:hint="eastAsia"/>
          <w:lang w:val="en-US" w:eastAsia="zh-CN"/>
        </w:rPr>
        <w:t>；</w:t>
      </w:r>
    </w:p>
    <w:p w14:paraId="702CEB0D"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画线应清晰、准确，尺寸符合标准要求</w:t>
      </w:r>
      <w:r>
        <w:rPr>
          <w:rFonts w:hint="eastAsia"/>
          <w:lang w:val="en-US" w:eastAsia="zh-CN"/>
        </w:rPr>
        <w:t>；</w:t>
      </w:r>
    </w:p>
    <w:p w14:paraId="52E20D98"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物理性能指标应符合设计及规范要求</w:t>
      </w:r>
      <w:r>
        <w:rPr>
          <w:rFonts w:hint="eastAsia"/>
          <w:lang w:val="en-US" w:eastAsia="zh-CN"/>
        </w:rPr>
        <w:t>；</w:t>
      </w:r>
    </w:p>
    <w:p w14:paraId="60AEF8B7"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环保指标应符合GB 36246-2018标准要求</w:t>
      </w:r>
      <w:r>
        <w:rPr>
          <w:rFonts w:hint="eastAsia"/>
          <w:lang w:val="en-US" w:eastAsia="zh-CN"/>
        </w:rPr>
        <w:t>。</w:t>
      </w:r>
    </w:p>
    <w:p w14:paraId="44256E6C">
      <w:pPr>
        <w:pStyle w:val="5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丙烯酸球场工程</w:t>
      </w:r>
    </w:p>
    <w:p w14:paraId="5D024A64"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面层厚度应符合设计要求，5遍施工厚度均匀</w:t>
      </w:r>
      <w:r>
        <w:rPr>
          <w:rFonts w:hint="eastAsia"/>
          <w:lang w:val="en-US" w:eastAsia="zh-CN"/>
        </w:rPr>
        <w:t>；</w:t>
      </w:r>
    </w:p>
    <w:p w14:paraId="78A240AA"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球场表面应平整，无明显凹凸、气泡、流挂等缺陷</w:t>
      </w:r>
      <w:r>
        <w:rPr>
          <w:rFonts w:hint="eastAsia"/>
          <w:lang w:val="en-US" w:eastAsia="zh-CN"/>
        </w:rPr>
        <w:t>；</w:t>
      </w:r>
    </w:p>
    <w:p w14:paraId="44C2AF75"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颜色应均匀一致，无色差</w:t>
      </w:r>
      <w:r>
        <w:rPr>
          <w:rFonts w:hint="eastAsia"/>
          <w:lang w:val="en-US" w:eastAsia="zh-CN"/>
        </w:rPr>
        <w:t>；</w:t>
      </w:r>
    </w:p>
    <w:p w14:paraId="4F3F5E11"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画线应清晰、准确，尺寸符合标准球场要求</w:t>
      </w:r>
      <w:r>
        <w:rPr>
          <w:rFonts w:hint="eastAsia"/>
          <w:lang w:val="en-US" w:eastAsia="zh-CN"/>
        </w:rPr>
        <w:t>；</w:t>
      </w:r>
    </w:p>
    <w:p w14:paraId="3536BBB5"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表面应具有良好的防滑性能</w:t>
      </w:r>
      <w:r>
        <w:rPr>
          <w:rFonts w:hint="eastAsia"/>
          <w:lang w:val="en-US" w:eastAsia="zh-CN"/>
        </w:rPr>
        <w:t>；</w:t>
      </w:r>
    </w:p>
    <w:p w14:paraId="0D301B1F"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环保指标应符合GB 36246-2018及GB 30981.1-2025标准要求</w:t>
      </w:r>
      <w:r>
        <w:rPr>
          <w:rFonts w:hint="eastAsia"/>
          <w:lang w:val="en-US" w:eastAsia="zh-CN"/>
        </w:rPr>
        <w:t>。</w:t>
      </w:r>
    </w:p>
    <w:p w14:paraId="1B4A3699">
      <w:pPr>
        <w:pStyle w:val="5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人造草坪足球场工程</w:t>
      </w:r>
    </w:p>
    <w:p w14:paraId="3D288304"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人造草坪铺设应平整，无明显凹凸、褶皱、气泡等缺陷</w:t>
      </w:r>
      <w:r>
        <w:rPr>
          <w:rFonts w:hint="eastAsia"/>
          <w:lang w:val="en-US" w:eastAsia="zh-CN"/>
        </w:rPr>
        <w:t>；</w:t>
      </w:r>
    </w:p>
    <w:p w14:paraId="17A3455D"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草丝高度应符合设计要求</w:t>
      </w:r>
      <w:r>
        <w:rPr>
          <w:rFonts w:hint="eastAsia"/>
          <w:lang w:val="en-US" w:eastAsia="zh-CN"/>
        </w:rPr>
        <w:t>；</w:t>
      </w:r>
    </w:p>
    <w:p w14:paraId="6FF00D24"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石英砂和PE颗粒填充量应符合设计要求，分布均匀</w:t>
      </w:r>
      <w:r>
        <w:rPr>
          <w:rFonts w:hint="eastAsia"/>
          <w:lang w:val="en-US" w:eastAsia="zh-CN"/>
        </w:rPr>
        <w:t>；</w:t>
      </w:r>
    </w:p>
    <w:p w14:paraId="739CB4D0"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接缝应平整、牢固，无明显接缝痕迹</w:t>
      </w:r>
      <w:r>
        <w:rPr>
          <w:rFonts w:hint="eastAsia"/>
          <w:lang w:val="en-US" w:eastAsia="zh-CN"/>
        </w:rPr>
        <w:t>；</w:t>
      </w:r>
    </w:p>
    <w:p w14:paraId="30BEB2A3"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画线应清晰、准确，尺寸符合标准足球场要求</w:t>
      </w:r>
      <w:r>
        <w:rPr>
          <w:rFonts w:hint="eastAsia"/>
          <w:lang w:val="en-US" w:eastAsia="zh-CN"/>
        </w:rPr>
        <w:t>；</w:t>
      </w:r>
    </w:p>
    <w:p w14:paraId="5BAC9AAE"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物理性能指标应符合设计及规范要求</w:t>
      </w:r>
      <w:r>
        <w:rPr>
          <w:rFonts w:hint="eastAsia"/>
          <w:lang w:val="en-US" w:eastAsia="zh-CN"/>
        </w:rPr>
        <w:t>；</w:t>
      </w:r>
    </w:p>
    <w:p w14:paraId="1884FA01"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环保指标应符合GB 36246-2018标准要求</w:t>
      </w:r>
      <w:r>
        <w:rPr>
          <w:rFonts w:hint="eastAsia"/>
          <w:lang w:val="en-US" w:eastAsia="zh-CN"/>
        </w:rPr>
        <w:t>。</w:t>
      </w:r>
    </w:p>
    <w:p w14:paraId="0761091D">
      <w:pPr>
        <w:pStyle w:val="5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PVC运动地板工程</w:t>
      </w:r>
    </w:p>
    <w:p w14:paraId="145D3412"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PVC地板表面应平整，无明显凹凸、气泡、褶皱等缺陷</w:t>
      </w:r>
      <w:r>
        <w:rPr>
          <w:rFonts w:hint="eastAsia"/>
          <w:lang w:val="en-US" w:eastAsia="zh-CN"/>
        </w:rPr>
        <w:t>；</w:t>
      </w:r>
    </w:p>
    <w:p w14:paraId="1543F3F0"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地板厚度应均匀，偏差在允许范围内</w:t>
      </w:r>
      <w:r>
        <w:rPr>
          <w:rFonts w:hint="eastAsia"/>
          <w:lang w:val="en-US" w:eastAsia="zh-CN"/>
        </w:rPr>
        <w:t>；</w:t>
      </w:r>
    </w:p>
    <w:p w14:paraId="1C587FDA"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接缝应平整、牢固，焊接处无明显痕迹</w:t>
      </w:r>
      <w:r>
        <w:rPr>
          <w:rFonts w:hint="eastAsia"/>
          <w:lang w:val="en-US" w:eastAsia="zh-CN"/>
        </w:rPr>
        <w:t>；</w:t>
      </w:r>
    </w:p>
    <w:p w14:paraId="66B78B99"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表面应具有良好的防滑性能、耐磨性能</w:t>
      </w:r>
      <w:r>
        <w:rPr>
          <w:rFonts w:hint="eastAsia"/>
          <w:lang w:val="en-US" w:eastAsia="zh-CN"/>
        </w:rPr>
        <w:t>；</w:t>
      </w:r>
    </w:p>
    <w:p w14:paraId="726FD193"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保护蜡应均匀，表面光亮</w:t>
      </w:r>
      <w:r>
        <w:rPr>
          <w:rFonts w:hint="eastAsia"/>
          <w:lang w:val="en-US" w:eastAsia="zh-CN"/>
        </w:rPr>
        <w:t>。</w:t>
      </w:r>
    </w:p>
    <w:p w14:paraId="1CB5CBFA">
      <w:pPr>
        <w:pStyle w:val="5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环保验收</w:t>
      </w:r>
    </w:p>
    <w:p w14:paraId="7FDDBEDC">
      <w:pPr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本工程所有合成材料面层必须符合《中小学合成材料面层运动场地》GB 36246-2018标准中有害物质限量要求</w:t>
      </w:r>
      <w:r>
        <w:rPr>
          <w:rFonts w:hint="eastAsia"/>
          <w:color w:val="auto"/>
          <w:highlight w:val="none"/>
          <w:lang w:val="en-US" w:eastAsia="zh-CN"/>
        </w:rPr>
        <w:t>。</w:t>
      </w:r>
    </w:p>
    <w:p w14:paraId="637B61B6">
      <w:pPr>
        <w:pStyle w:val="5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性能指标</w:t>
      </w:r>
    </w:p>
    <w:p w14:paraId="6FAF37C7">
      <w:pPr>
        <w:pStyle w:val="27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丙烯酸性能指标</w:t>
      </w:r>
    </w:p>
    <w:tbl>
      <w:tblPr>
        <w:tblStyle w:val="16"/>
        <w:tblW w:w="946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13"/>
        <w:gridCol w:w="4950"/>
      </w:tblGrid>
      <w:tr w14:paraId="5337F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13" w:type="dxa"/>
            <w:tcBorders>
              <w:top w:val="single" w:color="000000" w:themeColor="dark1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0FE649A8">
            <w:pPr>
              <w:pStyle w:val="32"/>
              <w:bidi w:val="0"/>
              <w:rPr>
                <w:rFonts w:hint="eastAsia"/>
                <w:b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/>
                <w:i w:val="0"/>
                <w:color w:val="auto"/>
                <w:highlight w:val="none"/>
                <w:lang w:val="en-US" w:eastAsia="zh-CN"/>
              </w:rPr>
              <w:t>检验检测项目</w:t>
            </w:r>
          </w:p>
        </w:tc>
        <w:tc>
          <w:tcPr>
            <w:tcW w:w="4950" w:type="dxa"/>
            <w:tcBorders>
              <w:top w:val="single" w:color="000000" w:themeColor="dark1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3E487587">
            <w:pPr>
              <w:pStyle w:val="32"/>
              <w:bidi w:val="0"/>
              <w:rPr>
                <w:rFonts w:hint="eastAsia"/>
                <w:b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/>
                <w:i w:val="0"/>
                <w:color w:val="auto"/>
                <w:highlight w:val="none"/>
                <w:lang w:eastAsia="zh-CN"/>
              </w:rPr>
              <w:t>标准要求</w:t>
            </w:r>
          </w:p>
        </w:tc>
      </w:tr>
      <w:tr w14:paraId="6334C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13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3990D6EB"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eastAsia="zh-CN"/>
              </w:rPr>
              <w:t>反（回）弹值（</w:t>
            </w: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%</w:t>
            </w:r>
            <w:r>
              <w:rPr>
                <w:rFonts w:hint="eastAsia"/>
                <w:b w:val="0"/>
                <w:i w:val="0"/>
                <w:color w:val="auto"/>
                <w:highlight w:val="none"/>
                <w:lang w:eastAsia="zh-CN"/>
              </w:rPr>
              <w:t>）</w:t>
            </w:r>
          </w:p>
        </w:tc>
        <w:tc>
          <w:tcPr>
            <w:tcW w:w="4950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30F62C2B"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≥80</w:t>
            </w:r>
          </w:p>
        </w:tc>
      </w:tr>
      <w:tr w14:paraId="751ED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13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7D0A078C"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eastAsia="zh-CN"/>
              </w:rPr>
              <w:t>滑动阻力（</w:t>
            </w: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N</w:t>
            </w:r>
            <w:r>
              <w:rPr>
                <w:rFonts w:hint="eastAsia"/>
                <w:b w:val="0"/>
                <w:i w:val="0"/>
                <w:color w:val="auto"/>
                <w:highlight w:val="none"/>
                <w:lang w:eastAsia="zh-CN"/>
              </w:rPr>
              <w:t>）</w:t>
            </w:r>
          </w:p>
        </w:tc>
        <w:tc>
          <w:tcPr>
            <w:tcW w:w="4950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564ECD97"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60-100</w:t>
            </w:r>
          </w:p>
        </w:tc>
      </w:tr>
      <w:tr w14:paraId="45CE2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13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5520FAA7"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eastAsia="zh-CN"/>
              </w:rPr>
              <w:t>冲击吸收（</w:t>
            </w: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%</w:t>
            </w:r>
            <w:r>
              <w:rPr>
                <w:rFonts w:hint="eastAsia"/>
                <w:b w:val="0"/>
                <w:i w:val="0"/>
                <w:color w:val="auto"/>
                <w:highlight w:val="none"/>
                <w:lang w:eastAsia="zh-CN"/>
              </w:rPr>
              <w:t>）</w:t>
            </w:r>
          </w:p>
        </w:tc>
        <w:tc>
          <w:tcPr>
            <w:tcW w:w="4950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6E219564"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5-15</w:t>
            </w:r>
          </w:p>
        </w:tc>
      </w:tr>
      <w:tr w14:paraId="6B719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13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7E44751E"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eastAsia="zh-CN"/>
              </w:rPr>
              <w:t>地面速率</w:t>
            </w:r>
          </w:p>
        </w:tc>
        <w:tc>
          <w:tcPr>
            <w:tcW w:w="4950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78CA739C"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30-45</w:t>
            </w:r>
          </w:p>
        </w:tc>
      </w:tr>
      <w:tr w14:paraId="39C6C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13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000000" w:themeColor="dark1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27462EA4"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eastAsia="zh-CN"/>
              </w:rPr>
              <w:t>渗水性（率）</w:t>
            </w: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/(mm/min)</w:t>
            </w:r>
          </w:p>
        </w:tc>
        <w:tc>
          <w:tcPr>
            <w:tcW w:w="4950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000000" w:themeColor="dark1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09BC08CD"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0</w:t>
            </w:r>
          </w:p>
        </w:tc>
      </w:tr>
    </w:tbl>
    <w:p w14:paraId="3641B7DC">
      <w:pPr>
        <w:pStyle w:val="27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坡度要求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9"/>
        <w:gridCol w:w="3809"/>
        <w:gridCol w:w="2365"/>
        <w:gridCol w:w="2365"/>
      </w:tblGrid>
      <w:tr w14:paraId="5B100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919" w:type="dxa"/>
            <w:tcBorders>
              <w:top w:val="single" w:color="000000" w:themeColor="dark1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469FFABD">
            <w:pPr>
              <w:pStyle w:val="32"/>
              <w:bidi w:val="0"/>
              <w:rPr>
                <w:rFonts w:hint="default"/>
                <w:b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/>
                <w:i w:val="0"/>
                <w:color w:val="auto"/>
                <w:highlight w:val="none"/>
                <w:lang w:val="en-US" w:eastAsia="zh-CN"/>
              </w:rPr>
              <w:t>序号</w:t>
            </w:r>
          </w:p>
        </w:tc>
        <w:tc>
          <w:tcPr>
            <w:tcW w:w="3809" w:type="dxa"/>
            <w:tcBorders>
              <w:top w:val="single" w:color="000000" w:themeColor="dark1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6D89B2BA">
            <w:pPr>
              <w:pStyle w:val="32"/>
              <w:bidi w:val="0"/>
              <w:rPr>
                <w:rFonts w:hint="default"/>
                <w:b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/>
                <w:i w:val="0"/>
                <w:color w:val="auto"/>
                <w:highlight w:val="none"/>
                <w:lang w:val="en-US" w:eastAsia="zh-CN"/>
              </w:rPr>
              <w:t>场地名称</w:t>
            </w:r>
          </w:p>
        </w:tc>
        <w:tc>
          <w:tcPr>
            <w:tcW w:w="2365" w:type="dxa"/>
            <w:tcBorders>
              <w:top w:val="single" w:color="000000" w:themeColor="dark1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72559AD2">
            <w:pPr>
              <w:pStyle w:val="32"/>
              <w:bidi w:val="0"/>
              <w:rPr>
                <w:rFonts w:hint="default"/>
                <w:b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/>
                <w:i w:val="0"/>
                <w:color w:val="auto"/>
                <w:highlight w:val="none"/>
                <w:lang w:val="en-US" w:eastAsia="zh-CN"/>
              </w:rPr>
              <w:t>横向（短边）坡度</w:t>
            </w:r>
          </w:p>
        </w:tc>
        <w:tc>
          <w:tcPr>
            <w:tcW w:w="2365" w:type="dxa"/>
            <w:tcBorders>
              <w:top w:val="single" w:color="000000" w:themeColor="dark1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50967927">
            <w:pPr>
              <w:pStyle w:val="32"/>
              <w:bidi w:val="0"/>
              <w:rPr>
                <w:rFonts w:hint="default"/>
                <w:b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/>
                <w:i w:val="0"/>
                <w:color w:val="auto"/>
                <w:highlight w:val="none"/>
                <w:lang w:val="en-US" w:eastAsia="zh-CN"/>
              </w:rPr>
              <w:t>纵向（长边）坡度</w:t>
            </w:r>
          </w:p>
        </w:tc>
      </w:tr>
      <w:tr w14:paraId="7224D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242478B7"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1</w:t>
            </w:r>
          </w:p>
        </w:tc>
        <w:tc>
          <w:tcPr>
            <w:tcW w:w="3809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32831750"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  <w:t>足球场（人工草坪，无渗水功能）</w:t>
            </w:r>
          </w:p>
        </w:tc>
        <w:tc>
          <w:tcPr>
            <w:tcW w:w="2365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607C030C"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  <w:t>≤0.8%</w:t>
            </w:r>
          </w:p>
        </w:tc>
        <w:tc>
          <w:tcPr>
            <w:tcW w:w="2365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05F389E8"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  <w:t>-</w:t>
            </w:r>
          </w:p>
        </w:tc>
      </w:tr>
      <w:tr w14:paraId="504F0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77634EDB"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2</w:t>
            </w:r>
          </w:p>
        </w:tc>
        <w:tc>
          <w:tcPr>
            <w:tcW w:w="3809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783360A6"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  <w:t>足球场（人工草坪，有渗水功能）</w:t>
            </w:r>
          </w:p>
        </w:tc>
        <w:tc>
          <w:tcPr>
            <w:tcW w:w="2365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7B4EBEFB"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  <w:t>0.30%</w:t>
            </w:r>
          </w:p>
        </w:tc>
        <w:tc>
          <w:tcPr>
            <w:tcW w:w="2365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69C1ABA4"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  <w:t>-</w:t>
            </w:r>
          </w:p>
        </w:tc>
      </w:tr>
      <w:tr w14:paraId="566FF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13E4488E"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3</w:t>
            </w:r>
          </w:p>
        </w:tc>
        <w:tc>
          <w:tcPr>
            <w:tcW w:w="3809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6DC92C85"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  <w:t>排球场、篮球场</w:t>
            </w:r>
          </w:p>
        </w:tc>
        <w:tc>
          <w:tcPr>
            <w:tcW w:w="2365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05E9A736"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  <w:t>0.3%∼0.5%</w:t>
            </w:r>
          </w:p>
        </w:tc>
        <w:tc>
          <w:tcPr>
            <w:tcW w:w="2365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6304EDAE"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  <w:t>0.3%∼0.5%</w:t>
            </w:r>
          </w:p>
        </w:tc>
      </w:tr>
      <w:tr w14:paraId="10173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000000" w:themeColor="dark1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021F7E85"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4</w:t>
            </w:r>
          </w:p>
        </w:tc>
        <w:tc>
          <w:tcPr>
            <w:tcW w:w="3809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000000" w:themeColor="dark1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77A2D2AE"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田径场（跑道）</w:t>
            </w:r>
          </w:p>
        </w:tc>
        <w:tc>
          <w:tcPr>
            <w:tcW w:w="2365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000000" w:themeColor="dark1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035F105F"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≤1%（内低外高）</w:t>
            </w:r>
          </w:p>
        </w:tc>
        <w:tc>
          <w:tcPr>
            <w:tcW w:w="2365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000000" w:themeColor="dark1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513A5264"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≤1%（跑进方向）</w:t>
            </w:r>
          </w:p>
        </w:tc>
      </w:tr>
    </w:tbl>
    <w:p w14:paraId="6BB57301">
      <w:pPr>
        <w:ind w:left="0" w:leftChars="0" w:firstLine="0" w:firstLineChars="0"/>
        <w:rPr>
          <w:rFonts w:hint="default"/>
          <w:color w:val="auto"/>
          <w:highlight w:val="none"/>
          <w:lang w:val="en-US" w:eastAsia="zh-CN"/>
        </w:rPr>
      </w:pPr>
    </w:p>
    <w:sectPr>
      <w:headerReference r:id="rId5" w:type="default"/>
      <w:footerReference r:id="rId6" w:type="default"/>
      <w:pgSz w:w="11906" w:h="16838"/>
      <w:pgMar w:top="1247" w:right="1247" w:bottom="1247" w:left="1247" w:header="680" w:footer="680" w:gutter="170"/>
      <w:pgNumType w:fmt="numberInDash"/>
      <w:cols w:space="425" w:num="1"/>
      <w:docGrid w:type="lines"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algun Gothic">
    <w:panose1 w:val="020B0503020000020004"/>
    <w:charset w:val="81"/>
    <w:family w:val="swiss"/>
    <w:pitch w:val="default"/>
    <w:sig w:usb0="9000002F" w:usb1="29D77CFB" w:usb2="00000012" w:usb3="00000000" w:csb0="0008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523635057"/>
      <w:docPartObj>
        <w:docPartGallery w:val="autotext"/>
      </w:docPartObj>
    </w:sdtPr>
    <w:sdtContent>
      <w:p w14:paraId="22EFE8EF">
        <w:pPr>
          <w:tabs>
            <w:tab w:val="center" w:pos="4153"/>
            <w:tab w:val="right" w:pos="8306"/>
          </w:tabs>
          <w:ind w:firstLine="36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533 -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F1D450">
    <w:pPr>
      <w:pStyle w:val="11"/>
      <w:keepNext w:val="0"/>
      <w:keepLines w:val="0"/>
      <w:pageBreakBefore w:val="0"/>
      <w:widowControl w:val="0"/>
      <w:pBdr>
        <w:bottom w:val="single" w:color="auto" w:sz="4" w:space="0"/>
      </w:pBdr>
      <w:kinsoku/>
      <w:wordWrap/>
      <w:overflowPunct/>
      <w:topLinePunct w:val="0"/>
      <w:bidi w:val="0"/>
      <w:adjustRightInd/>
      <w:snapToGrid w:val="0"/>
      <w:spacing w:line="240" w:lineRule="auto"/>
      <w:ind w:left="0" w:leftChars="0" w:firstLine="0" w:firstLineChars="0"/>
      <w:jc w:val="left"/>
      <w:textAlignment w:val="auto"/>
      <w:rPr>
        <w:rFonts w:hint="default"/>
        <w:lang w:val="en-US"/>
      </w:rPr>
    </w:pPr>
    <w:r>
      <w:rPr>
        <w:rFonts w:hint="eastAsia"/>
        <w:b/>
        <w:bCs/>
        <w:sz w:val="44"/>
        <w:szCs w:val="52"/>
      </w:rPr>
      <w:drawing>
        <wp:inline distT="0" distB="0" distL="114300" distR="114300">
          <wp:extent cx="965835" cy="219710"/>
          <wp:effectExtent l="0" t="0" r="5715" b="8890"/>
          <wp:docPr id="112" name="图片 2" descr="南粤建筑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" name="图片 2" descr="南粤建筑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65835" cy="219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b/>
        <w:bCs/>
        <w:sz w:val="44"/>
        <w:szCs w:val="52"/>
        <w:lang w:val="en-US" w:eastAsia="zh-CN"/>
      </w:rPr>
      <w:t xml:space="preserve">             </w:t>
    </w:r>
    <w:r>
      <w:rPr>
        <w:rFonts w:hint="eastAsia"/>
      </w:rPr>
      <w:t>珠海市香洲区中小学、幼儿园办学场所及停车场改造提升工程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4620CDA"/>
    <w:multiLevelType w:val="multilevel"/>
    <w:tmpl w:val="24620CDA"/>
    <w:lvl w:ilvl="0" w:tentative="0">
      <w:start w:val="1"/>
      <w:numFmt w:val="chineseCountingThousand"/>
      <w:pStyle w:val="3"/>
      <w:suff w:val="space"/>
      <w:lvlText w:val="第 %1 章"/>
      <w:lvlJc w:val="left"/>
      <w:pPr>
        <w:ind w:left="0" w:firstLine="0"/>
      </w:pPr>
      <w:rPr>
        <w:rFonts w:hint="default" w:ascii="Times New Roman" w:hAnsi="Times New Roman" w:eastAsia="宋体"/>
        <w:b/>
        <w:i w:val="0"/>
        <w:color w:val="auto"/>
        <w:sz w:val="32"/>
        <w:u w:val="none"/>
      </w:rPr>
    </w:lvl>
    <w:lvl w:ilvl="1" w:tentative="0">
      <w:start w:val="1"/>
      <w:numFmt w:val="decimal"/>
      <w:pStyle w:val="2"/>
      <w:suff w:val="space"/>
      <w:lvlText w:val="第 %2 节"/>
      <w:lvlJc w:val="left"/>
      <w:pPr>
        <w:ind w:left="0" w:firstLine="57"/>
      </w:pPr>
      <w:rPr>
        <w:rFonts w:hint="default" w:ascii="Times New Roman" w:hAnsi="Times New Roman" w:eastAsia="宋体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sz w:val="30"/>
        <w:u w:val="none"/>
        <w:vertAlign w:val="baseline"/>
        <w:lang w:val="en-US" w:bidi="zh-CN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  <w14:cntxtalts w14:val="0"/>
      </w:rPr>
    </w:lvl>
    <w:lvl w:ilvl="2" w:tentative="0">
      <w:start w:val="1"/>
      <w:numFmt w:val="decimal"/>
      <w:pStyle w:val="4"/>
      <w:suff w:val="space"/>
      <w:lvlText w:val="%2.%3"/>
      <w:lvlJc w:val="left"/>
      <w:pPr>
        <w:ind w:left="0" w:firstLine="0"/>
      </w:pPr>
      <w:rPr>
        <w:rFonts w:hint="default" w:ascii="Times New Roman" w:hAnsi="Times New Roman" w:eastAsia="宋体"/>
        <w:b/>
        <w:i w:val="0"/>
        <w:sz w:val="28"/>
        <w:u w:val="none"/>
      </w:rPr>
    </w:lvl>
    <w:lvl w:ilvl="3" w:tentative="0">
      <w:start w:val="1"/>
      <w:numFmt w:val="decimal"/>
      <w:pStyle w:val="5"/>
      <w:suff w:val="space"/>
      <w:lvlText w:val="%2.%3.%4"/>
      <w:lvlJc w:val="left"/>
      <w:pPr>
        <w:ind w:left="1135" w:firstLine="0"/>
      </w:pPr>
      <w:rPr>
        <w:rFonts w:hint="default" w:ascii="Times New Roman" w:hAnsi="Times New Roman" w:eastAsia="宋体"/>
        <w:b w:val="0"/>
        <w:i w:val="0"/>
        <w:sz w:val="24"/>
        <w:u w:val="none"/>
      </w:rPr>
    </w:lvl>
    <w:lvl w:ilvl="4" w:tentative="0">
      <w:start w:val="1"/>
      <w:numFmt w:val="decimal"/>
      <w:pStyle w:val="6"/>
      <w:suff w:val="space"/>
      <w:lvlText w:val="%2.%3.%4.%5"/>
      <w:lvlJc w:val="left"/>
      <w:pPr>
        <w:ind w:left="710" w:firstLine="0"/>
      </w:pPr>
      <w:rPr>
        <w:rFonts w:hint="default" w:ascii="Times New Roman" w:hAnsi="Times New Roman" w:eastAsia="宋体"/>
        <w:b w:val="0"/>
        <w:i w:val="0"/>
        <w:sz w:val="24"/>
        <w:u w:val="none"/>
      </w:rPr>
    </w:lvl>
    <w:lvl w:ilvl="5" w:tentative="0">
      <w:start w:val="1"/>
      <w:numFmt w:val="decimal"/>
      <w:pStyle w:val="22"/>
      <w:suff w:val="space"/>
      <w:lvlText w:val="(%6)"/>
      <w:lvlJc w:val="left"/>
      <w:pPr>
        <w:ind w:left="425" w:firstLine="284"/>
      </w:pPr>
      <w:rPr>
        <w:rFonts w:hint="default" w:ascii="Times New Roman" w:hAnsi="Times New Roman" w:eastAsia="宋体"/>
        <w:b w:val="0"/>
        <w:i w:val="0"/>
        <w:color w:val="auto"/>
        <w:sz w:val="24"/>
        <w:u w:val="none"/>
      </w:rPr>
    </w:lvl>
    <w:lvl w:ilvl="6" w:tentative="0">
      <w:start w:val="1"/>
      <w:numFmt w:val="decimal"/>
      <w:pStyle w:val="31"/>
      <w:suff w:val="space"/>
      <w:lvlText w:val="%7)"/>
      <w:lvlJc w:val="left"/>
      <w:pPr>
        <w:ind w:left="0" w:firstLine="454"/>
      </w:pPr>
      <w:rPr>
        <w:rFonts w:hint="default" w:ascii="Times New Roman" w:hAnsi="Times New Roman" w:eastAsia="宋体"/>
        <w:b w:val="0"/>
        <w:i w:val="0"/>
        <w:color w:val="auto"/>
        <w:sz w:val="24"/>
        <w:u w:val="none"/>
      </w:rPr>
    </w:lvl>
    <w:lvl w:ilvl="7" w:tentative="0">
      <w:start w:val="1"/>
      <w:numFmt w:val="decimal"/>
      <w:lvlRestart w:val="5"/>
      <w:pStyle w:val="27"/>
      <w:suff w:val="space"/>
      <w:lvlText w:val="表%1.%2.%3.%4-%8"/>
      <w:lvlJc w:val="left"/>
      <w:pPr>
        <w:ind w:left="0" w:firstLine="0"/>
      </w:pPr>
      <w:rPr>
        <w:rFonts w:hint="default" w:ascii="Times New Roman" w:hAnsi="Times New Roman" w:eastAsia="黑体"/>
        <w:b w:val="0"/>
        <w:i w:val="0"/>
        <w:sz w:val="24"/>
        <w:u w:val="none"/>
      </w:rPr>
    </w:lvl>
    <w:lvl w:ilvl="8" w:tentative="0">
      <w:start w:val="1"/>
      <w:numFmt w:val="decimal"/>
      <w:pStyle w:val="29"/>
      <w:suff w:val="space"/>
      <w:lvlText w:val="图%1.%2.%3.%4-%9"/>
      <w:lvlJc w:val="left"/>
      <w:pPr>
        <w:ind w:left="3686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  <w14:cntxtalts w14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bordersDoNotSurroundHeader w:val="0"/>
  <w:bordersDoNotSurroundFooter w:val="0"/>
  <w:hideSpellingErrors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0"/>
  <w:defaultTabStop w:val="420"/>
  <w:drawingGridHorizontalSpacing w:val="120"/>
  <w:drawingGridVerticalSpacing w:val="163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6A6"/>
    <w:rsid w:val="0000066D"/>
    <w:rsid w:val="000006BD"/>
    <w:rsid w:val="00000924"/>
    <w:rsid w:val="0000407C"/>
    <w:rsid w:val="00004DFE"/>
    <w:rsid w:val="00005E7D"/>
    <w:rsid w:val="00006D19"/>
    <w:rsid w:val="000102E2"/>
    <w:rsid w:val="00010DC8"/>
    <w:rsid w:val="000118AA"/>
    <w:rsid w:val="00013496"/>
    <w:rsid w:val="00013B6E"/>
    <w:rsid w:val="00015829"/>
    <w:rsid w:val="00015F96"/>
    <w:rsid w:val="000174E3"/>
    <w:rsid w:val="00017B92"/>
    <w:rsid w:val="00020A29"/>
    <w:rsid w:val="00021890"/>
    <w:rsid w:val="00021B13"/>
    <w:rsid w:val="00022B2F"/>
    <w:rsid w:val="000241E0"/>
    <w:rsid w:val="0003011C"/>
    <w:rsid w:val="00030351"/>
    <w:rsid w:val="000306BC"/>
    <w:rsid w:val="0003276C"/>
    <w:rsid w:val="00032968"/>
    <w:rsid w:val="0003332E"/>
    <w:rsid w:val="00033FDA"/>
    <w:rsid w:val="00034227"/>
    <w:rsid w:val="000346CC"/>
    <w:rsid w:val="00034E4F"/>
    <w:rsid w:val="00034EE4"/>
    <w:rsid w:val="00035F71"/>
    <w:rsid w:val="000362FF"/>
    <w:rsid w:val="0003697F"/>
    <w:rsid w:val="00037148"/>
    <w:rsid w:val="0004145D"/>
    <w:rsid w:val="00042154"/>
    <w:rsid w:val="00047500"/>
    <w:rsid w:val="0005050A"/>
    <w:rsid w:val="00050C87"/>
    <w:rsid w:val="00052B0D"/>
    <w:rsid w:val="000544ED"/>
    <w:rsid w:val="000549AE"/>
    <w:rsid w:val="00055F4D"/>
    <w:rsid w:val="00056972"/>
    <w:rsid w:val="00056EB2"/>
    <w:rsid w:val="000579EB"/>
    <w:rsid w:val="00057DCC"/>
    <w:rsid w:val="00061C06"/>
    <w:rsid w:val="00062C39"/>
    <w:rsid w:val="00063D65"/>
    <w:rsid w:val="000654C0"/>
    <w:rsid w:val="00065F5A"/>
    <w:rsid w:val="0006601A"/>
    <w:rsid w:val="0006651E"/>
    <w:rsid w:val="00066CCD"/>
    <w:rsid w:val="00067CC4"/>
    <w:rsid w:val="00070DC2"/>
    <w:rsid w:val="00071804"/>
    <w:rsid w:val="00071A43"/>
    <w:rsid w:val="00074808"/>
    <w:rsid w:val="0007498B"/>
    <w:rsid w:val="00077632"/>
    <w:rsid w:val="00077A0C"/>
    <w:rsid w:val="00077C81"/>
    <w:rsid w:val="00082A45"/>
    <w:rsid w:val="00083706"/>
    <w:rsid w:val="00085386"/>
    <w:rsid w:val="0008754E"/>
    <w:rsid w:val="00087D71"/>
    <w:rsid w:val="00090B88"/>
    <w:rsid w:val="00090D6D"/>
    <w:rsid w:val="00091112"/>
    <w:rsid w:val="00095810"/>
    <w:rsid w:val="00096A2D"/>
    <w:rsid w:val="000A1F97"/>
    <w:rsid w:val="000A2917"/>
    <w:rsid w:val="000A2C24"/>
    <w:rsid w:val="000A327A"/>
    <w:rsid w:val="000A35D9"/>
    <w:rsid w:val="000A5867"/>
    <w:rsid w:val="000A7293"/>
    <w:rsid w:val="000A7A3D"/>
    <w:rsid w:val="000B0460"/>
    <w:rsid w:val="000B11FA"/>
    <w:rsid w:val="000B1708"/>
    <w:rsid w:val="000B4659"/>
    <w:rsid w:val="000B492D"/>
    <w:rsid w:val="000B57E1"/>
    <w:rsid w:val="000B7C84"/>
    <w:rsid w:val="000C033D"/>
    <w:rsid w:val="000C18F7"/>
    <w:rsid w:val="000C1B5D"/>
    <w:rsid w:val="000C299B"/>
    <w:rsid w:val="000C3C0C"/>
    <w:rsid w:val="000C3DC0"/>
    <w:rsid w:val="000C4133"/>
    <w:rsid w:val="000C4EC0"/>
    <w:rsid w:val="000D0850"/>
    <w:rsid w:val="000D0B77"/>
    <w:rsid w:val="000D1DB1"/>
    <w:rsid w:val="000D2949"/>
    <w:rsid w:val="000D3630"/>
    <w:rsid w:val="000D4870"/>
    <w:rsid w:val="000D568C"/>
    <w:rsid w:val="000D5C1F"/>
    <w:rsid w:val="000D5CD9"/>
    <w:rsid w:val="000D67DA"/>
    <w:rsid w:val="000D6EE1"/>
    <w:rsid w:val="000D7743"/>
    <w:rsid w:val="000E04DD"/>
    <w:rsid w:val="000E0929"/>
    <w:rsid w:val="000E0980"/>
    <w:rsid w:val="000E26D0"/>
    <w:rsid w:val="000E34DF"/>
    <w:rsid w:val="000E3AE7"/>
    <w:rsid w:val="000E3FB7"/>
    <w:rsid w:val="000E40B6"/>
    <w:rsid w:val="000E4787"/>
    <w:rsid w:val="000E5A00"/>
    <w:rsid w:val="000E5EF6"/>
    <w:rsid w:val="000F0AF9"/>
    <w:rsid w:val="000F77CC"/>
    <w:rsid w:val="000F7EFD"/>
    <w:rsid w:val="0010015F"/>
    <w:rsid w:val="00102CF6"/>
    <w:rsid w:val="00103FE9"/>
    <w:rsid w:val="00104CBC"/>
    <w:rsid w:val="00105415"/>
    <w:rsid w:val="001064A8"/>
    <w:rsid w:val="0011009E"/>
    <w:rsid w:val="00110DBC"/>
    <w:rsid w:val="00111DFB"/>
    <w:rsid w:val="00112AE9"/>
    <w:rsid w:val="00113099"/>
    <w:rsid w:val="00113F44"/>
    <w:rsid w:val="001171FC"/>
    <w:rsid w:val="00117F5F"/>
    <w:rsid w:val="001224A1"/>
    <w:rsid w:val="00123657"/>
    <w:rsid w:val="001252BE"/>
    <w:rsid w:val="001252F6"/>
    <w:rsid w:val="00125E19"/>
    <w:rsid w:val="00125F3C"/>
    <w:rsid w:val="00126742"/>
    <w:rsid w:val="00126F77"/>
    <w:rsid w:val="0012719D"/>
    <w:rsid w:val="00130333"/>
    <w:rsid w:val="00131556"/>
    <w:rsid w:val="0013197E"/>
    <w:rsid w:val="001319AC"/>
    <w:rsid w:val="00132AB1"/>
    <w:rsid w:val="00132FF3"/>
    <w:rsid w:val="00137B4F"/>
    <w:rsid w:val="00140900"/>
    <w:rsid w:val="00141214"/>
    <w:rsid w:val="0014180E"/>
    <w:rsid w:val="00142DE0"/>
    <w:rsid w:val="00144E89"/>
    <w:rsid w:val="001456DD"/>
    <w:rsid w:val="00145B98"/>
    <w:rsid w:val="00146A0C"/>
    <w:rsid w:val="00146DBB"/>
    <w:rsid w:val="0015026C"/>
    <w:rsid w:val="00150801"/>
    <w:rsid w:val="00150B9B"/>
    <w:rsid w:val="00150D76"/>
    <w:rsid w:val="0015150E"/>
    <w:rsid w:val="00152A5F"/>
    <w:rsid w:val="0015373F"/>
    <w:rsid w:val="00153E42"/>
    <w:rsid w:val="001571AA"/>
    <w:rsid w:val="00157F50"/>
    <w:rsid w:val="001618CB"/>
    <w:rsid w:val="00162CFD"/>
    <w:rsid w:val="00164B60"/>
    <w:rsid w:val="001650CB"/>
    <w:rsid w:val="00165C34"/>
    <w:rsid w:val="00167DD1"/>
    <w:rsid w:val="00170D6E"/>
    <w:rsid w:val="001717D9"/>
    <w:rsid w:val="00174CAF"/>
    <w:rsid w:val="00174ECD"/>
    <w:rsid w:val="00175307"/>
    <w:rsid w:val="00175D61"/>
    <w:rsid w:val="00176BC6"/>
    <w:rsid w:val="00180670"/>
    <w:rsid w:val="0018128A"/>
    <w:rsid w:val="00182B57"/>
    <w:rsid w:val="00182B66"/>
    <w:rsid w:val="001833F3"/>
    <w:rsid w:val="00185121"/>
    <w:rsid w:val="00185D4C"/>
    <w:rsid w:val="001863C7"/>
    <w:rsid w:val="0018724B"/>
    <w:rsid w:val="00190908"/>
    <w:rsid w:val="0019230E"/>
    <w:rsid w:val="00192B3F"/>
    <w:rsid w:val="00194452"/>
    <w:rsid w:val="00196168"/>
    <w:rsid w:val="001A034C"/>
    <w:rsid w:val="001A0F46"/>
    <w:rsid w:val="001A1287"/>
    <w:rsid w:val="001A1894"/>
    <w:rsid w:val="001A1D80"/>
    <w:rsid w:val="001A391B"/>
    <w:rsid w:val="001A408F"/>
    <w:rsid w:val="001A5FFF"/>
    <w:rsid w:val="001A6A0E"/>
    <w:rsid w:val="001A6C33"/>
    <w:rsid w:val="001A7849"/>
    <w:rsid w:val="001B22FE"/>
    <w:rsid w:val="001B27FC"/>
    <w:rsid w:val="001B3183"/>
    <w:rsid w:val="001B3F8F"/>
    <w:rsid w:val="001B46DE"/>
    <w:rsid w:val="001B5BE4"/>
    <w:rsid w:val="001B5DED"/>
    <w:rsid w:val="001B74E2"/>
    <w:rsid w:val="001C0C7C"/>
    <w:rsid w:val="001C12B9"/>
    <w:rsid w:val="001C2307"/>
    <w:rsid w:val="001C33AD"/>
    <w:rsid w:val="001C3F6F"/>
    <w:rsid w:val="001C43F2"/>
    <w:rsid w:val="001C5780"/>
    <w:rsid w:val="001C5E35"/>
    <w:rsid w:val="001C6197"/>
    <w:rsid w:val="001C67C0"/>
    <w:rsid w:val="001D02BB"/>
    <w:rsid w:val="001D11CB"/>
    <w:rsid w:val="001D2A54"/>
    <w:rsid w:val="001D3037"/>
    <w:rsid w:val="001D3465"/>
    <w:rsid w:val="001D475E"/>
    <w:rsid w:val="001D5633"/>
    <w:rsid w:val="001D74C4"/>
    <w:rsid w:val="001E0814"/>
    <w:rsid w:val="001E0833"/>
    <w:rsid w:val="001E0BE1"/>
    <w:rsid w:val="001E1473"/>
    <w:rsid w:val="001E14CB"/>
    <w:rsid w:val="001E1A69"/>
    <w:rsid w:val="001E2C03"/>
    <w:rsid w:val="001E2C9B"/>
    <w:rsid w:val="001E46A4"/>
    <w:rsid w:val="001E5EA7"/>
    <w:rsid w:val="001E611A"/>
    <w:rsid w:val="001E6257"/>
    <w:rsid w:val="001E729E"/>
    <w:rsid w:val="001F02D0"/>
    <w:rsid w:val="001F12B1"/>
    <w:rsid w:val="001F2758"/>
    <w:rsid w:val="001F4D89"/>
    <w:rsid w:val="001F72E7"/>
    <w:rsid w:val="00200144"/>
    <w:rsid w:val="002005F1"/>
    <w:rsid w:val="0020140A"/>
    <w:rsid w:val="002016A4"/>
    <w:rsid w:val="00201D90"/>
    <w:rsid w:val="0020350A"/>
    <w:rsid w:val="00203BEC"/>
    <w:rsid w:val="00203CEC"/>
    <w:rsid w:val="00203F34"/>
    <w:rsid w:val="00204E3B"/>
    <w:rsid w:val="002079EB"/>
    <w:rsid w:val="00211CEA"/>
    <w:rsid w:val="002123B7"/>
    <w:rsid w:val="0021293E"/>
    <w:rsid w:val="0021346F"/>
    <w:rsid w:val="00214F75"/>
    <w:rsid w:val="00216CFB"/>
    <w:rsid w:val="00220BE9"/>
    <w:rsid w:val="00221D55"/>
    <w:rsid w:val="0022205E"/>
    <w:rsid w:val="00223668"/>
    <w:rsid w:val="002244B9"/>
    <w:rsid w:val="00225058"/>
    <w:rsid w:val="00225736"/>
    <w:rsid w:val="002267D9"/>
    <w:rsid w:val="002268E7"/>
    <w:rsid w:val="0022744C"/>
    <w:rsid w:val="002278F9"/>
    <w:rsid w:val="00227F6E"/>
    <w:rsid w:val="00230435"/>
    <w:rsid w:val="00230F10"/>
    <w:rsid w:val="00231508"/>
    <w:rsid w:val="002320C1"/>
    <w:rsid w:val="00232E44"/>
    <w:rsid w:val="002334B0"/>
    <w:rsid w:val="002334DF"/>
    <w:rsid w:val="00234AE1"/>
    <w:rsid w:val="0023586F"/>
    <w:rsid w:val="00236356"/>
    <w:rsid w:val="002367E6"/>
    <w:rsid w:val="00240E62"/>
    <w:rsid w:val="0024153E"/>
    <w:rsid w:val="00242F40"/>
    <w:rsid w:val="002434D1"/>
    <w:rsid w:val="00246191"/>
    <w:rsid w:val="00252133"/>
    <w:rsid w:val="00252C04"/>
    <w:rsid w:val="00253F7E"/>
    <w:rsid w:val="00254C4E"/>
    <w:rsid w:val="00260836"/>
    <w:rsid w:val="00261C4A"/>
    <w:rsid w:val="00262182"/>
    <w:rsid w:val="00262B4E"/>
    <w:rsid w:val="002631D3"/>
    <w:rsid w:val="00265B4D"/>
    <w:rsid w:val="002667A8"/>
    <w:rsid w:val="00266BC9"/>
    <w:rsid w:val="00267060"/>
    <w:rsid w:val="00272C13"/>
    <w:rsid w:val="002744F0"/>
    <w:rsid w:val="0027564A"/>
    <w:rsid w:val="00276752"/>
    <w:rsid w:val="002774FE"/>
    <w:rsid w:val="002807AC"/>
    <w:rsid w:val="00282473"/>
    <w:rsid w:val="0028521D"/>
    <w:rsid w:val="00287241"/>
    <w:rsid w:val="00291DC1"/>
    <w:rsid w:val="00291ED9"/>
    <w:rsid w:val="002939BF"/>
    <w:rsid w:val="002950DC"/>
    <w:rsid w:val="00295897"/>
    <w:rsid w:val="00295A77"/>
    <w:rsid w:val="00296C52"/>
    <w:rsid w:val="00296C8C"/>
    <w:rsid w:val="00296CF9"/>
    <w:rsid w:val="00297261"/>
    <w:rsid w:val="00297E42"/>
    <w:rsid w:val="002A2C45"/>
    <w:rsid w:val="002A2C95"/>
    <w:rsid w:val="002A31A6"/>
    <w:rsid w:val="002A351A"/>
    <w:rsid w:val="002A48BC"/>
    <w:rsid w:val="002A521E"/>
    <w:rsid w:val="002A544C"/>
    <w:rsid w:val="002A612B"/>
    <w:rsid w:val="002A67FE"/>
    <w:rsid w:val="002A784F"/>
    <w:rsid w:val="002B2352"/>
    <w:rsid w:val="002B324C"/>
    <w:rsid w:val="002B419D"/>
    <w:rsid w:val="002B5B62"/>
    <w:rsid w:val="002B5DB6"/>
    <w:rsid w:val="002B72B0"/>
    <w:rsid w:val="002C0CC3"/>
    <w:rsid w:val="002C218E"/>
    <w:rsid w:val="002C2893"/>
    <w:rsid w:val="002C3D41"/>
    <w:rsid w:val="002C49DB"/>
    <w:rsid w:val="002C56AD"/>
    <w:rsid w:val="002C5F0A"/>
    <w:rsid w:val="002C69F1"/>
    <w:rsid w:val="002C6D1A"/>
    <w:rsid w:val="002C75CB"/>
    <w:rsid w:val="002C75CF"/>
    <w:rsid w:val="002D0440"/>
    <w:rsid w:val="002D0458"/>
    <w:rsid w:val="002D2538"/>
    <w:rsid w:val="002D3F4D"/>
    <w:rsid w:val="002D4B39"/>
    <w:rsid w:val="002D5214"/>
    <w:rsid w:val="002D5987"/>
    <w:rsid w:val="002D5C31"/>
    <w:rsid w:val="002D77E4"/>
    <w:rsid w:val="002E07F0"/>
    <w:rsid w:val="002E0D40"/>
    <w:rsid w:val="002E1120"/>
    <w:rsid w:val="002E128B"/>
    <w:rsid w:val="002E1B33"/>
    <w:rsid w:val="002E23FE"/>
    <w:rsid w:val="002E2429"/>
    <w:rsid w:val="002E3925"/>
    <w:rsid w:val="002E39E1"/>
    <w:rsid w:val="002E4F26"/>
    <w:rsid w:val="002E5D0F"/>
    <w:rsid w:val="002E6DAC"/>
    <w:rsid w:val="002E79DB"/>
    <w:rsid w:val="002E7E46"/>
    <w:rsid w:val="002E7F9E"/>
    <w:rsid w:val="002F0F86"/>
    <w:rsid w:val="002F1245"/>
    <w:rsid w:val="002F5DA4"/>
    <w:rsid w:val="002F6BBF"/>
    <w:rsid w:val="002F7F66"/>
    <w:rsid w:val="0030129C"/>
    <w:rsid w:val="00303A3D"/>
    <w:rsid w:val="00304E58"/>
    <w:rsid w:val="0030627B"/>
    <w:rsid w:val="003117E9"/>
    <w:rsid w:val="00312B0F"/>
    <w:rsid w:val="00312EB6"/>
    <w:rsid w:val="003140DE"/>
    <w:rsid w:val="00314AF0"/>
    <w:rsid w:val="00315D83"/>
    <w:rsid w:val="00316D63"/>
    <w:rsid w:val="00317DD6"/>
    <w:rsid w:val="00322B2C"/>
    <w:rsid w:val="0032350A"/>
    <w:rsid w:val="00324C5C"/>
    <w:rsid w:val="003251CC"/>
    <w:rsid w:val="00325F8B"/>
    <w:rsid w:val="00327E0C"/>
    <w:rsid w:val="0033050F"/>
    <w:rsid w:val="003317D1"/>
    <w:rsid w:val="0033397F"/>
    <w:rsid w:val="00333B1C"/>
    <w:rsid w:val="00333CF8"/>
    <w:rsid w:val="003353BB"/>
    <w:rsid w:val="0033618D"/>
    <w:rsid w:val="0033680B"/>
    <w:rsid w:val="00336921"/>
    <w:rsid w:val="00336AEA"/>
    <w:rsid w:val="0033761B"/>
    <w:rsid w:val="00337B09"/>
    <w:rsid w:val="00337DC8"/>
    <w:rsid w:val="00340F9A"/>
    <w:rsid w:val="00341D47"/>
    <w:rsid w:val="00345615"/>
    <w:rsid w:val="003457C6"/>
    <w:rsid w:val="0034624C"/>
    <w:rsid w:val="00350027"/>
    <w:rsid w:val="00350F03"/>
    <w:rsid w:val="00351CB2"/>
    <w:rsid w:val="00353AE8"/>
    <w:rsid w:val="00353D16"/>
    <w:rsid w:val="00353F49"/>
    <w:rsid w:val="003548E2"/>
    <w:rsid w:val="0035752C"/>
    <w:rsid w:val="00361DBF"/>
    <w:rsid w:val="003634C2"/>
    <w:rsid w:val="00363752"/>
    <w:rsid w:val="003659BD"/>
    <w:rsid w:val="00366435"/>
    <w:rsid w:val="00367F23"/>
    <w:rsid w:val="00371398"/>
    <w:rsid w:val="00371663"/>
    <w:rsid w:val="00371C8E"/>
    <w:rsid w:val="00373D17"/>
    <w:rsid w:val="0037483D"/>
    <w:rsid w:val="00374930"/>
    <w:rsid w:val="00374D25"/>
    <w:rsid w:val="00375A67"/>
    <w:rsid w:val="00375FB1"/>
    <w:rsid w:val="0037654D"/>
    <w:rsid w:val="003875B7"/>
    <w:rsid w:val="00390817"/>
    <w:rsid w:val="0039110D"/>
    <w:rsid w:val="00391AD2"/>
    <w:rsid w:val="003929BC"/>
    <w:rsid w:val="00393064"/>
    <w:rsid w:val="00394595"/>
    <w:rsid w:val="003951DA"/>
    <w:rsid w:val="0039587D"/>
    <w:rsid w:val="003959BB"/>
    <w:rsid w:val="00397528"/>
    <w:rsid w:val="0039779A"/>
    <w:rsid w:val="003A17FA"/>
    <w:rsid w:val="003A29AF"/>
    <w:rsid w:val="003A2E6B"/>
    <w:rsid w:val="003A34A7"/>
    <w:rsid w:val="003A3860"/>
    <w:rsid w:val="003A3F3D"/>
    <w:rsid w:val="003A52E1"/>
    <w:rsid w:val="003A5B66"/>
    <w:rsid w:val="003A5D86"/>
    <w:rsid w:val="003B0034"/>
    <w:rsid w:val="003B11D7"/>
    <w:rsid w:val="003B11FA"/>
    <w:rsid w:val="003B15DE"/>
    <w:rsid w:val="003B2CEE"/>
    <w:rsid w:val="003B2E94"/>
    <w:rsid w:val="003B757D"/>
    <w:rsid w:val="003B7BBF"/>
    <w:rsid w:val="003C2BD8"/>
    <w:rsid w:val="003C5D95"/>
    <w:rsid w:val="003D00EE"/>
    <w:rsid w:val="003D1E2D"/>
    <w:rsid w:val="003D246C"/>
    <w:rsid w:val="003D4235"/>
    <w:rsid w:val="003D45B8"/>
    <w:rsid w:val="003D4A87"/>
    <w:rsid w:val="003D51C6"/>
    <w:rsid w:val="003D51CC"/>
    <w:rsid w:val="003D5532"/>
    <w:rsid w:val="003D6E7A"/>
    <w:rsid w:val="003E10BC"/>
    <w:rsid w:val="003E1B87"/>
    <w:rsid w:val="003E2022"/>
    <w:rsid w:val="003E2569"/>
    <w:rsid w:val="003E3D0B"/>
    <w:rsid w:val="003E4A60"/>
    <w:rsid w:val="003E5262"/>
    <w:rsid w:val="003E5DFE"/>
    <w:rsid w:val="003E5E39"/>
    <w:rsid w:val="003E6CF1"/>
    <w:rsid w:val="003E7E25"/>
    <w:rsid w:val="003F0CC7"/>
    <w:rsid w:val="003F1CA4"/>
    <w:rsid w:val="003F2609"/>
    <w:rsid w:val="003F33CE"/>
    <w:rsid w:val="003F3C3F"/>
    <w:rsid w:val="003F4385"/>
    <w:rsid w:val="003F4BAA"/>
    <w:rsid w:val="003F598E"/>
    <w:rsid w:val="003F59AC"/>
    <w:rsid w:val="003F6040"/>
    <w:rsid w:val="003F61AF"/>
    <w:rsid w:val="003F711B"/>
    <w:rsid w:val="003F7F34"/>
    <w:rsid w:val="004002DC"/>
    <w:rsid w:val="00404A2C"/>
    <w:rsid w:val="004072A7"/>
    <w:rsid w:val="0041045A"/>
    <w:rsid w:val="00411F5C"/>
    <w:rsid w:val="00415232"/>
    <w:rsid w:val="00415786"/>
    <w:rsid w:val="00420D6B"/>
    <w:rsid w:val="004224C2"/>
    <w:rsid w:val="00425CB0"/>
    <w:rsid w:val="00426036"/>
    <w:rsid w:val="00426862"/>
    <w:rsid w:val="00430A79"/>
    <w:rsid w:val="00431E2B"/>
    <w:rsid w:val="00433529"/>
    <w:rsid w:val="00435AC4"/>
    <w:rsid w:val="004367C9"/>
    <w:rsid w:val="00440AFF"/>
    <w:rsid w:val="00442CE8"/>
    <w:rsid w:val="00443735"/>
    <w:rsid w:val="00443983"/>
    <w:rsid w:val="00444A73"/>
    <w:rsid w:val="00447217"/>
    <w:rsid w:val="0044757B"/>
    <w:rsid w:val="0045049C"/>
    <w:rsid w:val="00451410"/>
    <w:rsid w:val="004525D4"/>
    <w:rsid w:val="004530E6"/>
    <w:rsid w:val="00453820"/>
    <w:rsid w:val="00454085"/>
    <w:rsid w:val="0045438E"/>
    <w:rsid w:val="00455677"/>
    <w:rsid w:val="00456087"/>
    <w:rsid w:val="00456C4F"/>
    <w:rsid w:val="00457751"/>
    <w:rsid w:val="004602A0"/>
    <w:rsid w:val="004604C5"/>
    <w:rsid w:val="004607B6"/>
    <w:rsid w:val="00460DEF"/>
    <w:rsid w:val="00461C34"/>
    <w:rsid w:val="00462812"/>
    <w:rsid w:val="00462816"/>
    <w:rsid w:val="00463112"/>
    <w:rsid w:val="004658CA"/>
    <w:rsid w:val="00465D35"/>
    <w:rsid w:val="00465FC5"/>
    <w:rsid w:val="00466227"/>
    <w:rsid w:val="004700D4"/>
    <w:rsid w:val="004709F3"/>
    <w:rsid w:val="00471009"/>
    <w:rsid w:val="00471827"/>
    <w:rsid w:val="00472814"/>
    <w:rsid w:val="00475311"/>
    <w:rsid w:val="004756D2"/>
    <w:rsid w:val="00475F79"/>
    <w:rsid w:val="00476C7C"/>
    <w:rsid w:val="00480965"/>
    <w:rsid w:val="004815EC"/>
    <w:rsid w:val="004825D8"/>
    <w:rsid w:val="00483223"/>
    <w:rsid w:val="00483A83"/>
    <w:rsid w:val="00483E2D"/>
    <w:rsid w:val="00484E86"/>
    <w:rsid w:val="00485761"/>
    <w:rsid w:val="00486330"/>
    <w:rsid w:val="0048772C"/>
    <w:rsid w:val="004915AA"/>
    <w:rsid w:val="004918ED"/>
    <w:rsid w:val="00491F62"/>
    <w:rsid w:val="004923F2"/>
    <w:rsid w:val="00494004"/>
    <w:rsid w:val="00496285"/>
    <w:rsid w:val="004971C8"/>
    <w:rsid w:val="00497C43"/>
    <w:rsid w:val="004A03A3"/>
    <w:rsid w:val="004A19DA"/>
    <w:rsid w:val="004A1A50"/>
    <w:rsid w:val="004A2BCD"/>
    <w:rsid w:val="004A2C4A"/>
    <w:rsid w:val="004A37ED"/>
    <w:rsid w:val="004A4837"/>
    <w:rsid w:val="004A4AF8"/>
    <w:rsid w:val="004A4D83"/>
    <w:rsid w:val="004A51D1"/>
    <w:rsid w:val="004A5282"/>
    <w:rsid w:val="004A54F3"/>
    <w:rsid w:val="004A5E75"/>
    <w:rsid w:val="004A65AF"/>
    <w:rsid w:val="004A65BD"/>
    <w:rsid w:val="004A6F83"/>
    <w:rsid w:val="004A7ECC"/>
    <w:rsid w:val="004B0D53"/>
    <w:rsid w:val="004B4564"/>
    <w:rsid w:val="004B5E12"/>
    <w:rsid w:val="004B6F52"/>
    <w:rsid w:val="004B7DB9"/>
    <w:rsid w:val="004B7F12"/>
    <w:rsid w:val="004C03C8"/>
    <w:rsid w:val="004C1E12"/>
    <w:rsid w:val="004C2C8D"/>
    <w:rsid w:val="004C73E2"/>
    <w:rsid w:val="004D15A9"/>
    <w:rsid w:val="004D1BA4"/>
    <w:rsid w:val="004D2C58"/>
    <w:rsid w:val="004D317C"/>
    <w:rsid w:val="004D31AA"/>
    <w:rsid w:val="004D3401"/>
    <w:rsid w:val="004D4D82"/>
    <w:rsid w:val="004E1506"/>
    <w:rsid w:val="004E1E85"/>
    <w:rsid w:val="004E22B7"/>
    <w:rsid w:val="004E3405"/>
    <w:rsid w:val="004E3978"/>
    <w:rsid w:val="004E4275"/>
    <w:rsid w:val="004E4758"/>
    <w:rsid w:val="004E49EA"/>
    <w:rsid w:val="004E4EAF"/>
    <w:rsid w:val="004E5A86"/>
    <w:rsid w:val="004E63CF"/>
    <w:rsid w:val="004E75E6"/>
    <w:rsid w:val="004E7C9F"/>
    <w:rsid w:val="004E7CC3"/>
    <w:rsid w:val="004F05E0"/>
    <w:rsid w:val="004F2591"/>
    <w:rsid w:val="004F4191"/>
    <w:rsid w:val="0050218A"/>
    <w:rsid w:val="00502599"/>
    <w:rsid w:val="0050430E"/>
    <w:rsid w:val="00505378"/>
    <w:rsid w:val="005108D9"/>
    <w:rsid w:val="00510C32"/>
    <w:rsid w:val="00511C34"/>
    <w:rsid w:val="00513CDD"/>
    <w:rsid w:val="00513E88"/>
    <w:rsid w:val="0051514C"/>
    <w:rsid w:val="00515975"/>
    <w:rsid w:val="00515E83"/>
    <w:rsid w:val="00516733"/>
    <w:rsid w:val="00517256"/>
    <w:rsid w:val="005172BD"/>
    <w:rsid w:val="00517AEB"/>
    <w:rsid w:val="005216E1"/>
    <w:rsid w:val="005217E3"/>
    <w:rsid w:val="00522E4B"/>
    <w:rsid w:val="00523614"/>
    <w:rsid w:val="005242AE"/>
    <w:rsid w:val="00525456"/>
    <w:rsid w:val="00525A48"/>
    <w:rsid w:val="00525FA8"/>
    <w:rsid w:val="00526EBE"/>
    <w:rsid w:val="00526F34"/>
    <w:rsid w:val="00531350"/>
    <w:rsid w:val="00531838"/>
    <w:rsid w:val="00531EA8"/>
    <w:rsid w:val="00532BBF"/>
    <w:rsid w:val="00532C67"/>
    <w:rsid w:val="00534909"/>
    <w:rsid w:val="005364F9"/>
    <w:rsid w:val="00536562"/>
    <w:rsid w:val="0053689D"/>
    <w:rsid w:val="005403A1"/>
    <w:rsid w:val="00541217"/>
    <w:rsid w:val="005412B1"/>
    <w:rsid w:val="00541E2B"/>
    <w:rsid w:val="005454BD"/>
    <w:rsid w:val="0055032A"/>
    <w:rsid w:val="005504B8"/>
    <w:rsid w:val="00550686"/>
    <w:rsid w:val="00551D4B"/>
    <w:rsid w:val="0055275D"/>
    <w:rsid w:val="005528F2"/>
    <w:rsid w:val="00553984"/>
    <w:rsid w:val="00554FA6"/>
    <w:rsid w:val="00555B68"/>
    <w:rsid w:val="00556EAF"/>
    <w:rsid w:val="00557281"/>
    <w:rsid w:val="005635BA"/>
    <w:rsid w:val="00566434"/>
    <w:rsid w:val="005665AF"/>
    <w:rsid w:val="00567E7A"/>
    <w:rsid w:val="00567F6E"/>
    <w:rsid w:val="00571881"/>
    <w:rsid w:val="00572A88"/>
    <w:rsid w:val="0057304C"/>
    <w:rsid w:val="005733E5"/>
    <w:rsid w:val="00573F18"/>
    <w:rsid w:val="005745CB"/>
    <w:rsid w:val="00575729"/>
    <w:rsid w:val="00576290"/>
    <w:rsid w:val="0057683F"/>
    <w:rsid w:val="0057781F"/>
    <w:rsid w:val="00580A30"/>
    <w:rsid w:val="00583648"/>
    <w:rsid w:val="00583815"/>
    <w:rsid w:val="00583B21"/>
    <w:rsid w:val="00584569"/>
    <w:rsid w:val="005867AF"/>
    <w:rsid w:val="00586F6B"/>
    <w:rsid w:val="00587490"/>
    <w:rsid w:val="00587567"/>
    <w:rsid w:val="00590098"/>
    <w:rsid w:val="00593CA6"/>
    <w:rsid w:val="005951CE"/>
    <w:rsid w:val="00596E56"/>
    <w:rsid w:val="00596FF7"/>
    <w:rsid w:val="005972EF"/>
    <w:rsid w:val="005977B4"/>
    <w:rsid w:val="005A19A9"/>
    <w:rsid w:val="005A1D61"/>
    <w:rsid w:val="005A3962"/>
    <w:rsid w:val="005B1CA9"/>
    <w:rsid w:val="005B5673"/>
    <w:rsid w:val="005B59BD"/>
    <w:rsid w:val="005B600E"/>
    <w:rsid w:val="005B6687"/>
    <w:rsid w:val="005B7F5D"/>
    <w:rsid w:val="005C0474"/>
    <w:rsid w:val="005C1985"/>
    <w:rsid w:val="005C2527"/>
    <w:rsid w:val="005C2AF9"/>
    <w:rsid w:val="005C3631"/>
    <w:rsid w:val="005C3A95"/>
    <w:rsid w:val="005C6B37"/>
    <w:rsid w:val="005C6DDE"/>
    <w:rsid w:val="005C7426"/>
    <w:rsid w:val="005C74A0"/>
    <w:rsid w:val="005D0076"/>
    <w:rsid w:val="005D1552"/>
    <w:rsid w:val="005D2E97"/>
    <w:rsid w:val="005D565E"/>
    <w:rsid w:val="005D6A44"/>
    <w:rsid w:val="005D6D17"/>
    <w:rsid w:val="005D71A0"/>
    <w:rsid w:val="005E0075"/>
    <w:rsid w:val="005E0529"/>
    <w:rsid w:val="005E067E"/>
    <w:rsid w:val="005E1FD8"/>
    <w:rsid w:val="005E33EC"/>
    <w:rsid w:val="005E3CD8"/>
    <w:rsid w:val="005E448E"/>
    <w:rsid w:val="005E5C54"/>
    <w:rsid w:val="005E6E83"/>
    <w:rsid w:val="005E7323"/>
    <w:rsid w:val="005E76FF"/>
    <w:rsid w:val="005F00EB"/>
    <w:rsid w:val="005F0582"/>
    <w:rsid w:val="005F2BCC"/>
    <w:rsid w:val="005F5795"/>
    <w:rsid w:val="005F7317"/>
    <w:rsid w:val="005F7397"/>
    <w:rsid w:val="005F75D9"/>
    <w:rsid w:val="005F7951"/>
    <w:rsid w:val="00600933"/>
    <w:rsid w:val="0060111F"/>
    <w:rsid w:val="0060140E"/>
    <w:rsid w:val="006022A2"/>
    <w:rsid w:val="0060338A"/>
    <w:rsid w:val="006043F5"/>
    <w:rsid w:val="0060453A"/>
    <w:rsid w:val="006059F6"/>
    <w:rsid w:val="00606204"/>
    <w:rsid w:val="00607E1D"/>
    <w:rsid w:val="00610599"/>
    <w:rsid w:val="00612537"/>
    <w:rsid w:val="006140A5"/>
    <w:rsid w:val="006154A8"/>
    <w:rsid w:val="00615C24"/>
    <w:rsid w:val="006161FC"/>
    <w:rsid w:val="00620DD6"/>
    <w:rsid w:val="006243C8"/>
    <w:rsid w:val="006250C2"/>
    <w:rsid w:val="00625A42"/>
    <w:rsid w:val="00625AF3"/>
    <w:rsid w:val="00625B59"/>
    <w:rsid w:val="0062737F"/>
    <w:rsid w:val="00631A7F"/>
    <w:rsid w:val="006341EC"/>
    <w:rsid w:val="00634846"/>
    <w:rsid w:val="00636C38"/>
    <w:rsid w:val="00636EBA"/>
    <w:rsid w:val="006403A9"/>
    <w:rsid w:val="00640E55"/>
    <w:rsid w:val="00641969"/>
    <w:rsid w:val="006425B5"/>
    <w:rsid w:val="00642A7A"/>
    <w:rsid w:val="00643685"/>
    <w:rsid w:val="00644516"/>
    <w:rsid w:val="00645593"/>
    <w:rsid w:val="00651A85"/>
    <w:rsid w:val="00651DAA"/>
    <w:rsid w:val="00652151"/>
    <w:rsid w:val="006522F2"/>
    <w:rsid w:val="00652A7E"/>
    <w:rsid w:val="00652BE7"/>
    <w:rsid w:val="00652D9F"/>
    <w:rsid w:val="0065355D"/>
    <w:rsid w:val="00654FA8"/>
    <w:rsid w:val="00654FC9"/>
    <w:rsid w:val="00655B9D"/>
    <w:rsid w:val="00657498"/>
    <w:rsid w:val="00657FC1"/>
    <w:rsid w:val="00660EB7"/>
    <w:rsid w:val="00662D6A"/>
    <w:rsid w:val="00662FAB"/>
    <w:rsid w:val="0066389D"/>
    <w:rsid w:val="00663977"/>
    <w:rsid w:val="006645E8"/>
    <w:rsid w:val="00665840"/>
    <w:rsid w:val="00665ADC"/>
    <w:rsid w:val="00670384"/>
    <w:rsid w:val="00670AE5"/>
    <w:rsid w:val="00670AF9"/>
    <w:rsid w:val="00670BC7"/>
    <w:rsid w:val="006717E4"/>
    <w:rsid w:val="006719B2"/>
    <w:rsid w:val="00672A15"/>
    <w:rsid w:val="00673554"/>
    <w:rsid w:val="00675709"/>
    <w:rsid w:val="00675C25"/>
    <w:rsid w:val="006762FB"/>
    <w:rsid w:val="00681237"/>
    <w:rsid w:val="00681539"/>
    <w:rsid w:val="00681AE7"/>
    <w:rsid w:val="00681F9E"/>
    <w:rsid w:val="00682564"/>
    <w:rsid w:val="006825C9"/>
    <w:rsid w:val="00683452"/>
    <w:rsid w:val="00683591"/>
    <w:rsid w:val="00683F3B"/>
    <w:rsid w:val="00685516"/>
    <w:rsid w:val="006855EB"/>
    <w:rsid w:val="006873C4"/>
    <w:rsid w:val="0069052C"/>
    <w:rsid w:val="00695AB6"/>
    <w:rsid w:val="006A132B"/>
    <w:rsid w:val="006A18CC"/>
    <w:rsid w:val="006A27D8"/>
    <w:rsid w:val="006A280D"/>
    <w:rsid w:val="006A2B65"/>
    <w:rsid w:val="006A33D1"/>
    <w:rsid w:val="006A39C3"/>
    <w:rsid w:val="006B094B"/>
    <w:rsid w:val="006B11AE"/>
    <w:rsid w:val="006B1685"/>
    <w:rsid w:val="006B2782"/>
    <w:rsid w:val="006B3B6B"/>
    <w:rsid w:val="006B64DB"/>
    <w:rsid w:val="006B726C"/>
    <w:rsid w:val="006B73ED"/>
    <w:rsid w:val="006B7468"/>
    <w:rsid w:val="006C29FA"/>
    <w:rsid w:val="006C2BED"/>
    <w:rsid w:val="006C325D"/>
    <w:rsid w:val="006C6006"/>
    <w:rsid w:val="006C6D61"/>
    <w:rsid w:val="006C75E8"/>
    <w:rsid w:val="006C79AE"/>
    <w:rsid w:val="006C7B35"/>
    <w:rsid w:val="006C7FB1"/>
    <w:rsid w:val="006D0277"/>
    <w:rsid w:val="006D0A09"/>
    <w:rsid w:val="006D1DAA"/>
    <w:rsid w:val="006D33A0"/>
    <w:rsid w:val="006D36DF"/>
    <w:rsid w:val="006D4136"/>
    <w:rsid w:val="006D46E2"/>
    <w:rsid w:val="006D4A2A"/>
    <w:rsid w:val="006D632D"/>
    <w:rsid w:val="006D7769"/>
    <w:rsid w:val="006E0296"/>
    <w:rsid w:val="006E0595"/>
    <w:rsid w:val="006E280B"/>
    <w:rsid w:val="006E2B8C"/>
    <w:rsid w:val="006E31D7"/>
    <w:rsid w:val="006E3353"/>
    <w:rsid w:val="006E44DC"/>
    <w:rsid w:val="006E4A55"/>
    <w:rsid w:val="006E6902"/>
    <w:rsid w:val="006E7037"/>
    <w:rsid w:val="006E7BBA"/>
    <w:rsid w:val="006F1630"/>
    <w:rsid w:val="006F2AA5"/>
    <w:rsid w:val="006F3C1A"/>
    <w:rsid w:val="006F3E98"/>
    <w:rsid w:val="006F402B"/>
    <w:rsid w:val="006F66A0"/>
    <w:rsid w:val="006F7098"/>
    <w:rsid w:val="006F7AF3"/>
    <w:rsid w:val="006F7CB6"/>
    <w:rsid w:val="00700BEC"/>
    <w:rsid w:val="00700CF3"/>
    <w:rsid w:val="00701CBB"/>
    <w:rsid w:val="00702463"/>
    <w:rsid w:val="0070416C"/>
    <w:rsid w:val="00704788"/>
    <w:rsid w:val="007052C4"/>
    <w:rsid w:val="00706778"/>
    <w:rsid w:val="00706BC5"/>
    <w:rsid w:val="007072C9"/>
    <w:rsid w:val="007079C0"/>
    <w:rsid w:val="00707A19"/>
    <w:rsid w:val="00707C15"/>
    <w:rsid w:val="00707C40"/>
    <w:rsid w:val="007101FB"/>
    <w:rsid w:val="00710A88"/>
    <w:rsid w:val="007114C3"/>
    <w:rsid w:val="007131F3"/>
    <w:rsid w:val="00713ABF"/>
    <w:rsid w:val="00714E18"/>
    <w:rsid w:val="00715595"/>
    <w:rsid w:val="0071655F"/>
    <w:rsid w:val="00716851"/>
    <w:rsid w:val="007201EA"/>
    <w:rsid w:val="0072089A"/>
    <w:rsid w:val="007220C2"/>
    <w:rsid w:val="0072245C"/>
    <w:rsid w:val="00722B37"/>
    <w:rsid w:val="00722FDD"/>
    <w:rsid w:val="00723C22"/>
    <w:rsid w:val="007253C5"/>
    <w:rsid w:val="007253E3"/>
    <w:rsid w:val="00726146"/>
    <w:rsid w:val="007265F8"/>
    <w:rsid w:val="00727953"/>
    <w:rsid w:val="007331E4"/>
    <w:rsid w:val="007345FE"/>
    <w:rsid w:val="00734D85"/>
    <w:rsid w:val="00735313"/>
    <w:rsid w:val="00735C5C"/>
    <w:rsid w:val="00735E82"/>
    <w:rsid w:val="00737BAF"/>
    <w:rsid w:val="00741778"/>
    <w:rsid w:val="00741A89"/>
    <w:rsid w:val="00746706"/>
    <w:rsid w:val="00746BDB"/>
    <w:rsid w:val="00752700"/>
    <w:rsid w:val="00752A19"/>
    <w:rsid w:val="00752CD9"/>
    <w:rsid w:val="0075321E"/>
    <w:rsid w:val="00753753"/>
    <w:rsid w:val="007537E8"/>
    <w:rsid w:val="00754A31"/>
    <w:rsid w:val="0075513F"/>
    <w:rsid w:val="00755D2F"/>
    <w:rsid w:val="007565A1"/>
    <w:rsid w:val="00756C15"/>
    <w:rsid w:val="0076086B"/>
    <w:rsid w:val="00764601"/>
    <w:rsid w:val="00765064"/>
    <w:rsid w:val="00765474"/>
    <w:rsid w:val="00765EF0"/>
    <w:rsid w:val="00766659"/>
    <w:rsid w:val="00766DDA"/>
    <w:rsid w:val="0076740D"/>
    <w:rsid w:val="00770567"/>
    <w:rsid w:val="00771D6E"/>
    <w:rsid w:val="007720CA"/>
    <w:rsid w:val="00772E0F"/>
    <w:rsid w:val="007730EF"/>
    <w:rsid w:val="00773F20"/>
    <w:rsid w:val="0077407F"/>
    <w:rsid w:val="00777612"/>
    <w:rsid w:val="00777FE4"/>
    <w:rsid w:val="007812C2"/>
    <w:rsid w:val="007838FF"/>
    <w:rsid w:val="007855E7"/>
    <w:rsid w:val="00785DA2"/>
    <w:rsid w:val="00786CA6"/>
    <w:rsid w:val="0078740F"/>
    <w:rsid w:val="007876C3"/>
    <w:rsid w:val="0079033D"/>
    <w:rsid w:val="00791567"/>
    <w:rsid w:val="00794397"/>
    <w:rsid w:val="0079576B"/>
    <w:rsid w:val="007960E0"/>
    <w:rsid w:val="00796D48"/>
    <w:rsid w:val="007972E2"/>
    <w:rsid w:val="0079790B"/>
    <w:rsid w:val="007A0B38"/>
    <w:rsid w:val="007A295A"/>
    <w:rsid w:val="007A2BC3"/>
    <w:rsid w:val="007A3FB4"/>
    <w:rsid w:val="007A447F"/>
    <w:rsid w:val="007A4557"/>
    <w:rsid w:val="007A4D9A"/>
    <w:rsid w:val="007A4F1D"/>
    <w:rsid w:val="007A5336"/>
    <w:rsid w:val="007A6F0F"/>
    <w:rsid w:val="007B1BA4"/>
    <w:rsid w:val="007B1EA8"/>
    <w:rsid w:val="007B2C44"/>
    <w:rsid w:val="007B3E1E"/>
    <w:rsid w:val="007B44CC"/>
    <w:rsid w:val="007B531A"/>
    <w:rsid w:val="007B674D"/>
    <w:rsid w:val="007B7384"/>
    <w:rsid w:val="007C0375"/>
    <w:rsid w:val="007C196D"/>
    <w:rsid w:val="007C28DE"/>
    <w:rsid w:val="007C2AC9"/>
    <w:rsid w:val="007C4054"/>
    <w:rsid w:val="007C6520"/>
    <w:rsid w:val="007C65A5"/>
    <w:rsid w:val="007C7FA8"/>
    <w:rsid w:val="007D2FBD"/>
    <w:rsid w:val="007D5849"/>
    <w:rsid w:val="007E0178"/>
    <w:rsid w:val="007E1346"/>
    <w:rsid w:val="007E28E4"/>
    <w:rsid w:val="007E4148"/>
    <w:rsid w:val="007E468C"/>
    <w:rsid w:val="007E65AC"/>
    <w:rsid w:val="007E6BFF"/>
    <w:rsid w:val="007E76A6"/>
    <w:rsid w:val="007E7ED8"/>
    <w:rsid w:val="007F299F"/>
    <w:rsid w:val="007F3FC3"/>
    <w:rsid w:val="007F3FD2"/>
    <w:rsid w:val="007F538C"/>
    <w:rsid w:val="007F5F95"/>
    <w:rsid w:val="007F639C"/>
    <w:rsid w:val="007F6934"/>
    <w:rsid w:val="00801D4B"/>
    <w:rsid w:val="0080371D"/>
    <w:rsid w:val="00804A50"/>
    <w:rsid w:val="0080542C"/>
    <w:rsid w:val="00805B29"/>
    <w:rsid w:val="0080708C"/>
    <w:rsid w:val="00814F63"/>
    <w:rsid w:val="008150A4"/>
    <w:rsid w:val="00815CCB"/>
    <w:rsid w:val="00817A28"/>
    <w:rsid w:val="00821EC7"/>
    <w:rsid w:val="008251AA"/>
    <w:rsid w:val="00827329"/>
    <w:rsid w:val="00827BDD"/>
    <w:rsid w:val="00827C31"/>
    <w:rsid w:val="008313DC"/>
    <w:rsid w:val="00831A11"/>
    <w:rsid w:val="00833D61"/>
    <w:rsid w:val="00834FB0"/>
    <w:rsid w:val="00836264"/>
    <w:rsid w:val="00836AEF"/>
    <w:rsid w:val="00836E08"/>
    <w:rsid w:val="00836E6C"/>
    <w:rsid w:val="0084014D"/>
    <w:rsid w:val="00844A7C"/>
    <w:rsid w:val="0084570C"/>
    <w:rsid w:val="00845C38"/>
    <w:rsid w:val="0084646A"/>
    <w:rsid w:val="00846CF9"/>
    <w:rsid w:val="00852161"/>
    <w:rsid w:val="00852591"/>
    <w:rsid w:val="0085349D"/>
    <w:rsid w:val="00853E28"/>
    <w:rsid w:val="0085463D"/>
    <w:rsid w:val="00857BE1"/>
    <w:rsid w:val="008603E8"/>
    <w:rsid w:val="00861978"/>
    <w:rsid w:val="00864276"/>
    <w:rsid w:val="0086429D"/>
    <w:rsid w:val="008649C0"/>
    <w:rsid w:val="00865297"/>
    <w:rsid w:val="008659D7"/>
    <w:rsid w:val="00865C2D"/>
    <w:rsid w:val="00865C95"/>
    <w:rsid w:val="00867251"/>
    <w:rsid w:val="00867AE0"/>
    <w:rsid w:val="00870368"/>
    <w:rsid w:val="008703A7"/>
    <w:rsid w:val="00870CE6"/>
    <w:rsid w:val="008714C8"/>
    <w:rsid w:val="00872106"/>
    <w:rsid w:val="00872401"/>
    <w:rsid w:val="008745E1"/>
    <w:rsid w:val="00874961"/>
    <w:rsid w:val="00875352"/>
    <w:rsid w:val="00876FAF"/>
    <w:rsid w:val="008772A3"/>
    <w:rsid w:val="0088127F"/>
    <w:rsid w:val="008813ED"/>
    <w:rsid w:val="008832B4"/>
    <w:rsid w:val="00884934"/>
    <w:rsid w:val="00884B72"/>
    <w:rsid w:val="00886E57"/>
    <w:rsid w:val="00887BE4"/>
    <w:rsid w:val="00887F25"/>
    <w:rsid w:val="00890361"/>
    <w:rsid w:val="00892110"/>
    <w:rsid w:val="00893FE3"/>
    <w:rsid w:val="00895884"/>
    <w:rsid w:val="00895996"/>
    <w:rsid w:val="00895B2B"/>
    <w:rsid w:val="00895F5C"/>
    <w:rsid w:val="00896D46"/>
    <w:rsid w:val="008975D4"/>
    <w:rsid w:val="008A2010"/>
    <w:rsid w:val="008A23F7"/>
    <w:rsid w:val="008A2FAE"/>
    <w:rsid w:val="008A4733"/>
    <w:rsid w:val="008B021C"/>
    <w:rsid w:val="008B2E0E"/>
    <w:rsid w:val="008B3969"/>
    <w:rsid w:val="008B50BC"/>
    <w:rsid w:val="008B5E37"/>
    <w:rsid w:val="008B6155"/>
    <w:rsid w:val="008B7EE3"/>
    <w:rsid w:val="008C0B7D"/>
    <w:rsid w:val="008C65B8"/>
    <w:rsid w:val="008C6BE8"/>
    <w:rsid w:val="008C6CEB"/>
    <w:rsid w:val="008C7481"/>
    <w:rsid w:val="008D1F2A"/>
    <w:rsid w:val="008D263F"/>
    <w:rsid w:val="008D2EF6"/>
    <w:rsid w:val="008D35B9"/>
    <w:rsid w:val="008D6266"/>
    <w:rsid w:val="008D6E93"/>
    <w:rsid w:val="008D7637"/>
    <w:rsid w:val="008E0D75"/>
    <w:rsid w:val="008E312F"/>
    <w:rsid w:val="008E3827"/>
    <w:rsid w:val="008E38F3"/>
    <w:rsid w:val="008E6258"/>
    <w:rsid w:val="008F000E"/>
    <w:rsid w:val="008F00BA"/>
    <w:rsid w:val="008F09E3"/>
    <w:rsid w:val="008F1155"/>
    <w:rsid w:val="008F153A"/>
    <w:rsid w:val="008F32A2"/>
    <w:rsid w:val="008F445B"/>
    <w:rsid w:val="008F4DE1"/>
    <w:rsid w:val="008F707C"/>
    <w:rsid w:val="008F7128"/>
    <w:rsid w:val="008F726B"/>
    <w:rsid w:val="008F764D"/>
    <w:rsid w:val="009003E1"/>
    <w:rsid w:val="00902074"/>
    <w:rsid w:val="00902334"/>
    <w:rsid w:val="0090378D"/>
    <w:rsid w:val="00905577"/>
    <w:rsid w:val="0091073A"/>
    <w:rsid w:val="00910D99"/>
    <w:rsid w:val="00911488"/>
    <w:rsid w:val="00911735"/>
    <w:rsid w:val="00911EB3"/>
    <w:rsid w:val="0091219C"/>
    <w:rsid w:val="0091306C"/>
    <w:rsid w:val="00913147"/>
    <w:rsid w:val="00914563"/>
    <w:rsid w:val="00914579"/>
    <w:rsid w:val="009148C0"/>
    <w:rsid w:val="009159B4"/>
    <w:rsid w:val="00916C0B"/>
    <w:rsid w:val="00920377"/>
    <w:rsid w:val="009207CA"/>
    <w:rsid w:val="00920B1E"/>
    <w:rsid w:val="009214C0"/>
    <w:rsid w:val="00921FE7"/>
    <w:rsid w:val="009222F3"/>
    <w:rsid w:val="00923DEB"/>
    <w:rsid w:val="00924918"/>
    <w:rsid w:val="00924F4B"/>
    <w:rsid w:val="00925A13"/>
    <w:rsid w:val="0092631A"/>
    <w:rsid w:val="00927643"/>
    <w:rsid w:val="0092797A"/>
    <w:rsid w:val="00931666"/>
    <w:rsid w:val="00931D58"/>
    <w:rsid w:val="00931EB7"/>
    <w:rsid w:val="009326E5"/>
    <w:rsid w:val="00933DBE"/>
    <w:rsid w:val="009352EB"/>
    <w:rsid w:val="009359BD"/>
    <w:rsid w:val="0093669F"/>
    <w:rsid w:val="0093693D"/>
    <w:rsid w:val="0093701F"/>
    <w:rsid w:val="009378E4"/>
    <w:rsid w:val="0094100E"/>
    <w:rsid w:val="00941490"/>
    <w:rsid w:val="009418EB"/>
    <w:rsid w:val="00941E96"/>
    <w:rsid w:val="00943972"/>
    <w:rsid w:val="00945425"/>
    <w:rsid w:val="00946742"/>
    <w:rsid w:val="00947852"/>
    <w:rsid w:val="00947EE8"/>
    <w:rsid w:val="009545E3"/>
    <w:rsid w:val="00954CD0"/>
    <w:rsid w:val="00957DA2"/>
    <w:rsid w:val="00960B54"/>
    <w:rsid w:val="00961BFB"/>
    <w:rsid w:val="00963044"/>
    <w:rsid w:val="0096309B"/>
    <w:rsid w:val="00963A44"/>
    <w:rsid w:val="00964C97"/>
    <w:rsid w:val="0096528A"/>
    <w:rsid w:val="00965668"/>
    <w:rsid w:val="00965C27"/>
    <w:rsid w:val="00965FFF"/>
    <w:rsid w:val="0096732F"/>
    <w:rsid w:val="00967BA0"/>
    <w:rsid w:val="00970CAC"/>
    <w:rsid w:val="009720EF"/>
    <w:rsid w:val="009744D1"/>
    <w:rsid w:val="00974A61"/>
    <w:rsid w:val="00974D58"/>
    <w:rsid w:val="00975C34"/>
    <w:rsid w:val="0097622F"/>
    <w:rsid w:val="00977944"/>
    <w:rsid w:val="0098075C"/>
    <w:rsid w:val="009819F1"/>
    <w:rsid w:val="00981E5C"/>
    <w:rsid w:val="009822F6"/>
    <w:rsid w:val="0098239E"/>
    <w:rsid w:val="009826F5"/>
    <w:rsid w:val="00984098"/>
    <w:rsid w:val="00987A6B"/>
    <w:rsid w:val="00992F19"/>
    <w:rsid w:val="00993696"/>
    <w:rsid w:val="00993D0E"/>
    <w:rsid w:val="00995D3D"/>
    <w:rsid w:val="00995DE8"/>
    <w:rsid w:val="00996135"/>
    <w:rsid w:val="009964AC"/>
    <w:rsid w:val="00997F3B"/>
    <w:rsid w:val="009A01F2"/>
    <w:rsid w:val="009A0C96"/>
    <w:rsid w:val="009A118B"/>
    <w:rsid w:val="009A1734"/>
    <w:rsid w:val="009A3379"/>
    <w:rsid w:val="009A3E62"/>
    <w:rsid w:val="009A515F"/>
    <w:rsid w:val="009A5DDF"/>
    <w:rsid w:val="009A6C93"/>
    <w:rsid w:val="009B05D2"/>
    <w:rsid w:val="009B23D7"/>
    <w:rsid w:val="009B3190"/>
    <w:rsid w:val="009B4F12"/>
    <w:rsid w:val="009B5E45"/>
    <w:rsid w:val="009B665A"/>
    <w:rsid w:val="009C0002"/>
    <w:rsid w:val="009C1628"/>
    <w:rsid w:val="009C18B5"/>
    <w:rsid w:val="009C2881"/>
    <w:rsid w:val="009C3260"/>
    <w:rsid w:val="009C5074"/>
    <w:rsid w:val="009C5798"/>
    <w:rsid w:val="009C6108"/>
    <w:rsid w:val="009C7104"/>
    <w:rsid w:val="009D0A3A"/>
    <w:rsid w:val="009D0D51"/>
    <w:rsid w:val="009D5689"/>
    <w:rsid w:val="009E0DE9"/>
    <w:rsid w:val="009E0E48"/>
    <w:rsid w:val="009E2D07"/>
    <w:rsid w:val="009E3FB3"/>
    <w:rsid w:val="009E5C23"/>
    <w:rsid w:val="009E6275"/>
    <w:rsid w:val="009F0C49"/>
    <w:rsid w:val="009F1965"/>
    <w:rsid w:val="009F2657"/>
    <w:rsid w:val="009F4C38"/>
    <w:rsid w:val="009F5310"/>
    <w:rsid w:val="009F5DDE"/>
    <w:rsid w:val="009F65E0"/>
    <w:rsid w:val="009F7EE5"/>
    <w:rsid w:val="00A0197F"/>
    <w:rsid w:val="00A02DA1"/>
    <w:rsid w:val="00A0634B"/>
    <w:rsid w:val="00A114D3"/>
    <w:rsid w:val="00A14075"/>
    <w:rsid w:val="00A1530D"/>
    <w:rsid w:val="00A1672F"/>
    <w:rsid w:val="00A17EE2"/>
    <w:rsid w:val="00A208A8"/>
    <w:rsid w:val="00A21A89"/>
    <w:rsid w:val="00A226C0"/>
    <w:rsid w:val="00A23CCD"/>
    <w:rsid w:val="00A24F25"/>
    <w:rsid w:val="00A26478"/>
    <w:rsid w:val="00A271D7"/>
    <w:rsid w:val="00A27554"/>
    <w:rsid w:val="00A31423"/>
    <w:rsid w:val="00A323F3"/>
    <w:rsid w:val="00A33108"/>
    <w:rsid w:val="00A33BF9"/>
    <w:rsid w:val="00A33D76"/>
    <w:rsid w:val="00A34251"/>
    <w:rsid w:val="00A343BD"/>
    <w:rsid w:val="00A3690E"/>
    <w:rsid w:val="00A3750D"/>
    <w:rsid w:val="00A37AEC"/>
    <w:rsid w:val="00A418D3"/>
    <w:rsid w:val="00A42150"/>
    <w:rsid w:val="00A42DD2"/>
    <w:rsid w:val="00A4349C"/>
    <w:rsid w:val="00A44058"/>
    <w:rsid w:val="00A444A8"/>
    <w:rsid w:val="00A4473C"/>
    <w:rsid w:val="00A45444"/>
    <w:rsid w:val="00A46ED0"/>
    <w:rsid w:val="00A47100"/>
    <w:rsid w:val="00A51B90"/>
    <w:rsid w:val="00A541F4"/>
    <w:rsid w:val="00A54DEB"/>
    <w:rsid w:val="00A55456"/>
    <w:rsid w:val="00A55FB4"/>
    <w:rsid w:val="00A6187E"/>
    <w:rsid w:val="00A632C2"/>
    <w:rsid w:val="00A6557B"/>
    <w:rsid w:val="00A66626"/>
    <w:rsid w:val="00A6681F"/>
    <w:rsid w:val="00A7193D"/>
    <w:rsid w:val="00A73A25"/>
    <w:rsid w:val="00A74B85"/>
    <w:rsid w:val="00A75034"/>
    <w:rsid w:val="00A750FB"/>
    <w:rsid w:val="00A757AD"/>
    <w:rsid w:val="00A75B30"/>
    <w:rsid w:val="00A75BF0"/>
    <w:rsid w:val="00A75CA7"/>
    <w:rsid w:val="00A760C9"/>
    <w:rsid w:val="00A7653A"/>
    <w:rsid w:val="00A7667E"/>
    <w:rsid w:val="00A770FA"/>
    <w:rsid w:val="00A8072C"/>
    <w:rsid w:val="00A807A8"/>
    <w:rsid w:val="00A80CE4"/>
    <w:rsid w:val="00A811C9"/>
    <w:rsid w:val="00A842EE"/>
    <w:rsid w:val="00A86E3F"/>
    <w:rsid w:val="00A86F8C"/>
    <w:rsid w:val="00A87B15"/>
    <w:rsid w:val="00A90A78"/>
    <w:rsid w:val="00A92B97"/>
    <w:rsid w:val="00A92C89"/>
    <w:rsid w:val="00A9457C"/>
    <w:rsid w:val="00A945E2"/>
    <w:rsid w:val="00AA00B2"/>
    <w:rsid w:val="00AA057B"/>
    <w:rsid w:val="00AA0E09"/>
    <w:rsid w:val="00AA14B1"/>
    <w:rsid w:val="00AA2091"/>
    <w:rsid w:val="00AA3276"/>
    <w:rsid w:val="00AA3CEA"/>
    <w:rsid w:val="00AA3DB9"/>
    <w:rsid w:val="00AA46FC"/>
    <w:rsid w:val="00AA4EDF"/>
    <w:rsid w:val="00AA66FB"/>
    <w:rsid w:val="00AA6D07"/>
    <w:rsid w:val="00AB018A"/>
    <w:rsid w:val="00AB0EA6"/>
    <w:rsid w:val="00AB0F9C"/>
    <w:rsid w:val="00AB1CAC"/>
    <w:rsid w:val="00AB2181"/>
    <w:rsid w:val="00AB2995"/>
    <w:rsid w:val="00AB5218"/>
    <w:rsid w:val="00AB6038"/>
    <w:rsid w:val="00AB6AC1"/>
    <w:rsid w:val="00AB73CD"/>
    <w:rsid w:val="00AB7D9C"/>
    <w:rsid w:val="00AC1277"/>
    <w:rsid w:val="00AC2230"/>
    <w:rsid w:val="00AC2B20"/>
    <w:rsid w:val="00AC4334"/>
    <w:rsid w:val="00AC489D"/>
    <w:rsid w:val="00AC4BC4"/>
    <w:rsid w:val="00AC6609"/>
    <w:rsid w:val="00AC70F2"/>
    <w:rsid w:val="00AC7C11"/>
    <w:rsid w:val="00AD1560"/>
    <w:rsid w:val="00AD18CF"/>
    <w:rsid w:val="00AD210E"/>
    <w:rsid w:val="00AD31DC"/>
    <w:rsid w:val="00AD3506"/>
    <w:rsid w:val="00AD673C"/>
    <w:rsid w:val="00AD6AD5"/>
    <w:rsid w:val="00AD6E78"/>
    <w:rsid w:val="00AD78D0"/>
    <w:rsid w:val="00AE20F2"/>
    <w:rsid w:val="00AE2E0A"/>
    <w:rsid w:val="00AE31B7"/>
    <w:rsid w:val="00AE70C4"/>
    <w:rsid w:val="00AE756D"/>
    <w:rsid w:val="00AE7B38"/>
    <w:rsid w:val="00AE7EF9"/>
    <w:rsid w:val="00AF05A6"/>
    <w:rsid w:val="00AF28DA"/>
    <w:rsid w:val="00AF3B55"/>
    <w:rsid w:val="00AF45E9"/>
    <w:rsid w:val="00AF48C9"/>
    <w:rsid w:val="00AF5314"/>
    <w:rsid w:val="00AF791D"/>
    <w:rsid w:val="00AF7943"/>
    <w:rsid w:val="00AF7CF7"/>
    <w:rsid w:val="00B0178E"/>
    <w:rsid w:val="00B02133"/>
    <w:rsid w:val="00B02826"/>
    <w:rsid w:val="00B0530D"/>
    <w:rsid w:val="00B05669"/>
    <w:rsid w:val="00B06701"/>
    <w:rsid w:val="00B0726D"/>
    <w:rsid w:val="00B102A4"/>
    <w:rsid w:val="00B1419E"/>
    <w:rsid w:val="00B14629"/>
    <w:rsid w:val="00B14E7C"/>
    <w:rsid w:val="00B159FD"/>
    <w:rsid w:val="00B15D79"/>
    <w:rsid w:val="00B1633C"/>
    <w:rsid w:val="00B17B2F"/>
    <w:rsid w:val="00B17E5E"/>
    <w:rsid w:val="00B2042A"/>
    <w:rsid w:val="00B220F4"/>
    <w:rsid w:val="00B2291D"/>
    <w:rsid w:val="00B2458B"/>
    <w:rsid w:val="00B2475E"/>
    <w:rsid w:val="00B253F8"/>
    <w:rsid w:val="00B2788F"/>
    <w:rsid w:val="00B27AE2"/>
    <w:rsid w:val="00B3177D"/>
    <w:rsid w:val="00B323B2"/>
    <w:rsid w:val="00B3439E"/>
    <w:rsid w:val="00B34486"/>
    <w:rsid w:val="00B34AD3"/>
    <w:rsid w:val="00B364B7"/>
    <w:rsid w:val="00B37055"/>
    <w:rsid w:val="00B400C2"/>
    <w:rsid w:val="00B40E9B"/>
    <w:rsid w:val="00B418E8"/>
    <w:rsid w:val="00B41A1B"/>
    <w:rsid w:val="00B41ACE"/>
    <w:rsid w:val="00B420E1"/>
    <w:rsid w:val="00B4265C"/>
    <w:rsid w:val="00B42723"/>
    <w:rsid w:val="00B46405"/>
    <w:rsid w:val="00B46E41"/>
    <w:rsid w:val="00B51B6C"/>
    <w:rsid w:val="00B520AB"/>
    <w:rsid w:val="00B53E6B"/>
    <w:rsid w:val="00B5504F"/>
    <w:rsid w:val="00B56026"/>
    <w:rsid w:val="00B56050"/>
    <w:rsid w:val="00B60A22"/>
    <w:rsid w:val="00B62F8B"/>
    <w:rsid w:val="00B63A56"/>
    <w:rsid w:val="00B64035"/>
    <w:rsid w:val="00B64CE6"/>
    <w:rsid w:val="00B6757C"/>
    <w:rsid w:val="00B702FB"/>
    <w:rsid w:val="00B712AB"/>
    <w:rsid w:val="00B7285B"/>
    <w:rsid w:val="00B73F4A"/>
    <w:rsid w:val="00B75C85"/>
    <w:rsid w:val="00B76B2A"/>
    <w:rsid w:val="00B770D3"/>
    <w:rsid w:val="00B77430"/>
    <w:rsid w:val="00B7786A"/>
    <w:rsid w:val="00B807D1"/>
    <w:rsid w:val="00B811F9"/>
    <w:rsid w:val="00B83C3A"/>
    <w:rsid w:val="00B85419"/>
    <w:rsid w:val="00B8557E"/>
    <w:rsid w:val="00B8745A"/>
    <w:rsid w:val="00B879AD"/>
    <w:rsid w:val="00B87C71"/>
    <w:rsid w:val="00B87CF1"/>
    <w:rsid w:val="00B906C1"/>
    <w:rsid w:val="00B910C1"/>
    <w:rsid w:val="00B91DD9"/>
    <w:rsid w:val="00B92548"/>
    <w:rsid w:val="00B925BA"/>
    <w:rsid w:val="00B92D7F"/>
    <w:rsid w:val="00B9424F"/>
    <w:rsid w:val="00B94900"/>
    <w:rsid w:val="00B95597"/>
    <w:rsid w:val="00B96C42"/>
    <w:rsid w:val="00B96D66"/>
    <w:rsid w:val="00B97F9F"/>
    <w:rsid w:val="00BA0787"/>
    <w:rsid w:val="00BA12C6"/>
    <w:rsid w:val="00BA158E"/>
    <w:rsid w:val="00BA1AC6"/>
    <w:rsid w:val="00BA37C4"/>
    <w:rsid w:val="00BA48FC"/>
    <w:rsid w:val="00BA5431"/>
    <w:rsid w:val="00BA6822"/>
    <w:rsid w:val="00BA715D"/>
    <w:rsid w:val="00BA7540"/>
    <w:rsid w:val="00BA7D7D"/>
    <w:rsid w:val="00BB0106"/>
    <w:rsid w:val="00BB091F"/>
    <w:rsid w:val="00BB0A82"/>
    <w:rsid w:val="00BB2379"/>
    <w:rsid w:val="00BB259A"/>
    <w:rsid w:val="00BB27EB"/>
    <w:rsid w:val="00BB286E"/>
    <w:rsid w:val="00BB299B"/>
    <w:rsid w:val="00BB3222"/>
    <w:rsid w:val="00BB4F0F"/>
    <w:rsid w:val="00BB599A"/>
    <w:rsid w:val="00BB663A"/>
    <w:rsid w:val="00BB6862"/>
    <w:rsid w:val="00BB6961"/>
    <w:rsid w:val="00BB76F3"/>
    <w:rsid w:val="00BB7BA4"/>
    <w:rsid w:val="00BC0484"/>
    <w:rsid w:val="00BC06D3"/>
    <w:rsid w:val="00BC0B49"/>
    <w:rsid w:val="00BC13CF"/>
    <w:rsid w:val="00BC17A2"/>
    <w:rsid w:val="00BC20B2"/>
    <w:rsid w:val="00BC4077"/>
    <w:rsid w:val="00BC4D80"/>
    <w:rsid w:val="00BC5433"/>
    <w:rsid w:val="00BC7096"/>
    <w:rsid w:val="00BD0067"/>
    <w:rsid w:val="00BD23B2"/>
    <w:rsid w:val="00BD23FC"/>
    <w:rsid w:val="00BD2519"/>
    <w:rsid w:val="00BD29F2"/>
    <w:rsid w:val="00BD412F"/>
    <w:rsid w:val="00BD490D"/>
    <w:rsid w:val="00BD6E61"/>
    <w:rsid w:val="00BD6EC6"/>
    <w:rsid w:val="00BD7069"/>
    <w:rsid w:val="00BD73DC"/>
    <w:rsid w:val="00BE1CF5"/>
    <w:rsid w:val="00BE4311"/>
    <w:rsid w:val="00BE4A44"/>
    <w:rsid w:val="00BE7985"/>
    <w:rsid w:val="00BE7B82"/>
    <w:rsid w:val="00BE7CB3"/>
    <w:rsid w:val="00BF0179"/>
    <w:rsid w:val="00BF0FFD"/>
    <w:rsid w:val="00BF133E"/>
    <w:rsid w:val="00BF214E"/>
    <w:rsid w:val="00BF268A"/>
    <w:rsid w:val="00BF379D"/>
    <w:rsid w:val="00BF4BA1"/>
    <w:rsid w:val="00BF62F4"/>
    <w:rsid w:val="00BF71A5"/>
    <w:rsid w:val="00BF786F"/>
    <w:rsid w:val="00BF7E48"/>
    <w:rsid w:val="00C039CB"/>
    <w:rsid w:val="00C03F06"/>
    <w:rsid w:val="00C04D2E"/>
    <w:rsid w:val="00C0618C"/>
    <w:rsid w:val="00C065C9"/>
    <w:rsid w:val="00C110D4"/>
    <w:rsid w:val="00C131A7"/>
    <w:rsid w:val="00C13576"/>
    <w:rsid w:val="00C13AA3"/>
    <w:rsid w:val="00C14EA4"/>
    <w:rsid w:val="00C169AF"/>
    <w:rsid w:val="00C172C5"/>
    <w:rsid w:val="00C174EA"/>
    <w:rsid w:val="00C175E1"/>
    <w:rsid w:val="00C1773E"/>
    <w:rsid w:val="00C20304"/>
    <w:rsid w:val="00C21888"/>
    <w:rsid w:val="00C2333B"/>
    <w:rsid w:val="00C2430F"/>
    <w:rsid w:val="00C2452A"/>
    <w:rsid w:val="00C24D72"/>
    <w:rsid w:val="00C2516E"/>
    <w:rsid w:val="00C269A4"/>
    <w:rsid w:val="00C26DD4"/>
    <w:rsid w:val="00C27AEA"/>
    <w:rsid w:val="00C32303"/>
    <w:rsid w:val="00C33017"/>
    <w:rsid w:val="00C33094"/>
    <w:rsid w:val="00C33E38"/>
    <w:rsid w:val="00C34C2C"/>
    <w:rsid w:val="00C3538A"/>
    <w:rsid w:val="00C35C4B"/>
    <w:rsid w:val="00C36935"/>
    <w:rsid w:val="00C37859"/>
    <w:rsid w:val="00C37CC9"/>
    <w:rsid w:val="00C416B4"/>
    <w:rsid w:val="00C4179D"/>
    <w:rsid w:val="00C417D9"/>
    <w:rsid w:val="00C42ADF"/>
    <w:rsid w:val="00C44C2A"/>
    <w:rsid w:val="00C46968"/>
    <w:rsid w:val="00C469A7"/>
    <w:rsid w:val="00C47B08"/>
    <w:rsid w:val="00C5037A"/>
    <w:rsid w:val="00C50487"/>
    <w:rsid w:val="00C50B74"/>
    <w:rsid w:val="00C51244"/>
    <w:rsid w:val="00C51403"/>
    <w:rsid w:val="00C51B22"/>
    <w:rsid w:val="00C5264E"/>
    <w:rsid w:val="00C5301E"/>
    <w:rsid w:val="00C540D8"/>
    <w:rsid w:val="00C553E1"/>
    <w:rsid w:val="00C55D31"/>
    <w:rsid w:val="00C56193"/>
    <w:rsid w:val="00C60F84"/>
    <w:rsid w:val="00C61B74"/>
    <w:rsid w:val="00C6278F"/>
    <w:rsid w:val="00C63023"/>
    <w:rsid w:val="00C633DC"/>
    <w:rsid w:val="00C646E4"/>
    <w:rsid w:val="00C64C6B"/>
    <w:rsid w:val="00C64D48"/>
    <w:rsid w:val="00C659E7"/>
    <w:rsid w:val="00C67753"/>
    <w:rsid w:val="00C721C4"/>
    <w:rsid w:val="00C723BA"/>
    <w:rsid w:val="00C7286D"/>
    <w:rsid w:val="00C75B89"/>
    <w:rsid w:val="00C771E8"/>
    <w:rsid w:val="00C81DC1"/>
    <w:rsid w:val="00C81DDF"/>
    <w:rsid w:val="00C82682"/>
    <w:rsid w:val="00C831CE"/>
    <w:rsid w:val="00C83FA4"/>
    <w:rsid w:val="00C854C6"/>
    <w:rsid w:val="00C8607A"/>
    <w:rsid w:val="00C86084"/>
    <w:rsid w:val="00C878AF"/>
    <w:rsid w:val="00C90730"/>
    <w:rsid w:val="00C922F6"/>
    <w:rsid w:val="00C92DA8"/>
    <w:rsid w:val="00C947D6"/>
    <w:rsid w:val="00C94F7D"/>
    <w:rsid w:val="00C9627B"/>
    <w:rsid w:val="00CA06D3"/>
    <w:rsid w:val="00CA3E4E"/>
    <w:rsid w:val="00CA3EAD"/>
    <w:rsid w:val="00CA4C0F"/>
    <w:rsid w:val="00CA6AD3"/>
    <w:rsid w:val="00CA73B7"/>
    <w:rsid w:val="00CA743B"/>
    <w:rsid w:val="00CA7D8A"/>
    <w:rsid w:val="00CB015E"/>
    <w:rsid w:val="00CB0EDF"/>
    <w:rsid w:val="00CB21CA"/>
    <w:rsid w:val="00CB371B"/>
    <w:rsid w:val="00CB3C60"/>
    <w:rsid w:val="00CB422B"/>
    <w:rsid w:val="00CB594F"/>
    <w:rsid w:val="00CB599C"/>
    <w:rsid w:val="00CB5B12"/>
    <w:rsid w:val="00CB5FE1"/>
    <w:rsid w:val="00CB6CAD"/>
    <w:rsid w:val="00CC03E7"/>
    <w:rsid w:val="00CC09A2"/>
    <w:rsid w:val="00CC22BA"/>
    <w:rsid w:val="00CC3989"/>
    <w:rsid w:val="00CC4E90"/>
    <w:rsid w:val="00CC52B9"/>
    <w:rsid w:val="00CC6F31"/>
    <w:rsid w:val="00CD0A3D"/>
    <w:rsid w:val="00CD1A77"/>
    <w:rsid w:val="00CD2004"/>
    <w:rsid w:val="00CD4A22"/>
    <w:rsid w:val="00CD4B96"/>
    <w:rsid w:val="00CD4D89"/>
    <w:rsid w:val="00CD64B2"/>
    <w:rsid w:val="00CE0F1E"/>
    <w:rsid w:val="00CE1C2A"/>
    <w:rsid w:val="00CE76B9"/>
    <w:rsid w:val="00CF0CE2"/>
    <w:rsid w:val="00CF2A4C"/>
    <w:rsid w:val="00CF3EF8"/>
    <w:rsid w:val="00CF6AD4"/>
    <w:rsid w:val="00CF6F2C"/>
    <w:rsid w:val="00CF78D4"/>
    <w:rsid w:val="00CF78D8"/>
    <w:rsid w:val="00CF7C82"/>
    <w:rsid w:val="00D001D9"/>
    <w:rsid w:val="00D03EB7"/>
    <w:rsid w:val="00D040F5"/>
    <w:rsid w:val="00D047BD"/>
    <w:rsid w:val="00D0589B"/>
    <w:rsid w:val="00D058DD"/>
    <w:rsid w:val="00D061BF"/>
    <w:rsid w:val="00D06BE3"/>
    <w:rsid w:val="00D07DFF"/>
    <w:rsid w:val="00D10C3F"/>
    <w:rsid w:val="00D115AF"/>
    <w:rsid w:val="00D12086"/>
    <w:rsid w:val="00D13144"/>
    <w:rsid w:val="00D13848"/>
    <w:rsid w:val="00D13EC7"/>
    <w:rsid w:val="00D148D9"/>
    <w:rsid w:val="00D14B46"/>
    <w:rsid w:val="00D1561E"/>
    <w:rsid w:val="00D16B32"/>
    <w:rsid w:val="00D21A48"/>
    <w:rsid w:val="00D2591E"/>
    <w:rsid w:val="00D26161"/>
    <w:rsid w:val="00D2675E"/>
    <w:rsid w:val="00D27AA9"/>
    <w:rsid w:val="00D32D9A"/>
    <w:rsid w:val="00D33B4D"/>
    <w:rsid w:val="00D35304"/>
    <w:rsid w:val="00D355A9"/>
    <w:rsid w:val="00D361C8"/>
    <w:rsid w:val="00D37903"/>
    <w:rsid w:val="00D400D7"/>
    <w:rsid w:val="00D4057C"/>
    <w:rsid w:val="00D40BB1"/>
    <w:rsid w:val="00D41509"/>
    <w:rsid w:val="00D41BED"/>
    <w:rsid w:val="00D436E0"/>
    <w:rsid w:val="00D43729"/>
    <w:rsid w:val="00D449BA"/>
    <w:rsid w:val="00D44A51"/>
    <w:rsid w:val="00D47019"/>
    <w:rsid w:val="00D47A5E"/>
    <w:rsid w:val="00D47CFC"/>
    <w:rsid w:val="00D50BFA"/>
    <w:rsid w:val="00D5275D"/>
    <w:rsid w:val="00D53658"/>
    <w:rsid w:val="00D53C17"/>
    <w:rsid w:val="00D564FF"/>
    <w:rsid w:val="00D57C02"/>
    <w:rsid w:val="00D57C74"/>
    <w:rsid w:val="00D639FB"/>
    <w:rsid w:val="00D63AFF"/>
    <w:rsid w:val="00D66503"/>
    <w:rsid w:val="00D671A6"/>
    <w:rsid w:val="00D67B8E"/>
    <w:rsid w:val="00D7004A"/>
    <w:rsid w:val="00D71EBA"/>
    <w:rsid w:val="00D727CA"/>
    <w:rsid w:val="00D75B95"/>
    <w:rsid w:val="00D76E69"/>
    <w:rsid w:val="00D804D0"/>
    <w:rsid w:val="00D80AF9"/>
    <w:rsid w:val="00D83F57"/>
    <w:rsid w:val="00D84AA5"/>
    <w:rsid w:val="00D86283"/>
    <w:rsid w:val="00D8733E"/>
    <w:rsid w:val="00D90A04"/>
    <w:rsid w:val="00D93042"/>
    <w:rsid w:val="00D93463"/>
    <w:rsid w:val="00D9557B"/>
    <w:rsid w:val="00D95FBB"/>
    <w:rsid w:val="00D97F75"/>
    <w:rsid w:val="00D97FB5"/>
    <w:rsid w:val="00DA27A3"/>
    <w:rsid w:val="00DA37CA"/>
    <w:rsid w:val="00DA4608"/>
    <w:rsid w:val="00DA48D3"/>
    <w:rsid w:val="00DA4A82"/>
    <w:rsid w:val="00DA53E3"/>
    <w:rsid w:val="00DA58D8"/>
    <w:rsid w:val="00DB146B"/>
    <w:rsid w:val="00DB51C7"/>
    <w:rsid w:val="00DB584D"/>
    <w:rsid w:val="00DB6382"/>
    <w:rsid w:val="00DB6C53"/>
    <w:rsid w:val="00DB7EB3"/>
    <w:rsid w:val="00DC01E7"/>
    <w:rsid w:val="00DC0E1E"/>
    <w:rsid w:val="00DC3D6A"/>
    <w:rsid w:val="00DC3F26"/>
    <w:rsid w:val="00DC3FEF"/>
    <w:rsid w:val="00DC4050"/>
    <w:rsid w:val="00DC50E0"/>
    <w:rsid w:val="00DC6263"/>
    <w:rsid w:val="00DC6336"/>
    <w:rsid w:val="00DC6DD3"/>
    <w:rsid w:val="00DD0CF0"/>
    <w:rsid w:val="00DD13F5"/>
    <w:rsid w:val="00DD2B2B"/>
    <w:rsid w:val="00DD39AB"/>
    <w:rsid w:val="00DE0CE8"/>
    <w:rsid w:val="00DE2388"/>
    <w:rsid w:val="00DE342C"/>
    <w:rsid w:val="00DE3465"/>
    <w:rsid w:val="00DE34CC"/>
    <w:rsid w:val="00DE653C"/>
    <w:rsid w:val="00DE6B74"/>
    <w:rsid w:val="00DE7782"/>
    <w:rsid w:val="00DE7A5E"/>
    <w:rsid w:val="00DE7F99"/>
    <w:rsid w:val="00DF00A9"/>
    <w:rsid w:val="00DF01B0"/>
    <w:rsid w:val="00DF0330"/>
    <w:rsid w:val="00DF15F7"/>
    <w:rsid w:val="00DF165B"/>
    <w:rsid w:val="00DF7C84"/>
    <w:rsid w:val="00E04751"/>
    <w:rsid w:val="00E04BDF"/>
    <w:rsid w:val="00E04EDB"/>
    <w:rsid w:val="00E05654"/>
    <w:rsid w:val="00E05E39"/>
    <w:rsid w:val="00E07B7C"/>
    <w:rsid w:val="00E1050F"/>
    <w:rsid w:val="00E11128"/>
    <w:rsid w:val="00E11389"/>
    <w:rsid w:val="00E12904"/>
    <w:rsid w:val="00E15576"/>
    <w:rsid w:val="00E16B57"/>
    <w:rsid w:val="00E171B2"/>
    <w:rsid w:val="00E17AD6"/>
    <w:rsid w:val="00E21305"/>
    <w:rsid w:val="00E21D2A"/>
    <w:rsid w:val="00E22040"/>
    <w:rsid w:val="00E2313D"/>
    <w:rsid w:val="00E2416F"/>
    <w:rsid w:val="00E269D1"/>
    <w:rsid w:val="00E312FE"/>
    <w:rsid w:val="00E31919"/>
    <w:rsid w:val="00E31FBB"/>
    <w:rsid w:val="00E34169"/>
    <w:rsid w:val="00E341F0"/>
    <w:rsid w:val="00E35BBA"/>
    <w:rsid w:val="00E410A9"/>
    <w:rsid w:val="00E42BA1"/>
    <w:rsid w:val="00E43497"/>
    <w:rsid w:val="00E4627E"/>
    <w:rsid w:val="00E462C3"/>
    <w:rsid w:val="00E464D8"/>
    <w:rsid w:val="00E51F98"/>
    <w:rsid w:val="00E564A8"/>
    <w:rsid w:val="00E567DF"/>
    <w:rsid w:val="00E60305"/>
    <w:rsid w:val="00E60BA6"/>
    <w:rsid w:val="00E621E8"/>
    <w:rsid w:val="00E6258E"/>
    <w:rsid w:val="00E634F5"/>
    <w:rsid w:val="00E644FD"/>
    <w:rsid w:val="00E64573"/>
    <w:rsid w:val="00E64EFE"/>
    <w:rsid w:val="00E66848"/>
    <w:rsid w:val="00E67DA2"/>
    <w:rsid w:val="00E70971"/>
    <w:rsid w:val="00E712F7"/>
    <w:rsid w:val="00E71854"/>
    <w:rsid w:val="00E71A53"/>
    <w:rsid w:val="00E721E9"/>
    <w:rsid w:val="00E72805"/>
    <w:rsid w:val="00E7371F"/>
    <w:rsid w:val="00E77BFB"/>
    <w:rsid w:val="00E8201E"/>
    <w:rsid w:val="00E84321"/>
    <w:rsid w:val="00E84EE3"/>
    <w:rsid w:val="00E84F73"/>
    <w:rsid w:val="00E86459"/>
    <w:rsid w:val="00E912BF"/>
    <w:rsid w:val="00E93A8A"/>
    <w:rsid w:val="00E95946"/>
    <w:rsid w:val="00E976AF"/>
    <w:rsid w:val="00EA0F7A"/>
    <w:rsid w:val="00EA0FE5"/>
    <w:rsid w:val="00EA186B"/>
    <w:rsid w:val="00EA38F2"/>
    <w:rsid w:val="00EA3BDF"/>
    <w:rsid w:val="00EA48A6"/>
    <w:rsid w:val="00EA51EE"/>
    <w:rsid w:val="00EA54BC"/>
    <w:rsid w:val="00EA5DFA"/>
    <w:rsid w:val="00EA7FA2"/>
    <w:rsid w:val="00EB0DAB"/>
    <w:rsid w:val="00EB704F"/>
    <w:rsid w:val="00EB7D70"/>
    <w:rsid w:val="00EC0472"/>
    <w:rsid w:val="00EC04A5"/>
    <w:rsid w:val="00EC1503"/>
    <w:rsid w:val="00EC4621"/>
    <w:rsid w:val="00EC47EB"/>
    <w:rsid w:val="00EC5522"/>
    <w:rsid w:val="00EC5A47"/>
    <w:rsid w:val="00EC6443"/>
    <w:rsid w:val="00EC67A1"/>
    <w:rsid w:val="00EC6C39"/>
    <w:rsid w:val="00EC71EF"/>
    <w:rsid w:val="00ED01F8"/>
    <w:rsid w:val="00ED0878"/>
    <w:rsid w:val="00ED125A"/>
    <w:rsid w:val="00ED44D3"/>
    <w:rsid w:val="00ED5B31"/>
    <w:rsid w:val="00ED5C32"/>
    <w:rsid w:val="00ED65CD"/>
    <w:rsid w:val="00ED761C"/>
    <w:rsid w:val="00ED7F63"/>
    <w:rsid w:val="00EE3A15"/>
    <w:rsid w:val="00EE4D39"/>
    <w:rsid w:val="00EE602B"/>
    <w:rsid w:val="00EE64E3"/>
    <w:rsid w:val="00EE6667"/>
    <w:rsid w:val="00EE6697"/>
    <w:rsid w:val="00EE72C3"/>
    <w:rsid w:val="00EE73DA"/>
    <w:rsid w:val="00EF0436"/>
    <w:rsid w:val="00EF30EF"/>
    <w:rsid w:val="00EF393D"/>
    <w:rsid w:val="00EF416E"/>
    <w:rsid w:val="00EF5A55"/>
    <w:rsid w:val="00EF6B5F"/>
    <w:rsid w:val="00EF7A91"/>
    <w:rsid w:val="00F01AC1"/>
    <w:rsid w:val="00F03066"/>
    <w:rsid w:val="00F03DB1"/>
    <w:rsid w:val="00F03FA6"/>
    <w:rsid w:val="00F05D60"/>
    <w:rsid w:val="00F06101"/>
    <w:rsid w:val="00F0615A"/>
    <w:rsid w:val="00F1265E"/>
    <w:rsid w:val="00F129B7"/>
    <w:rsid w:val="00F13030"/>
    <w:rsid w:val="00F1326A"/>
    <w:rsid w:val="00F1340D"/>
    <w:rsid w:val="00F13573"/>
    <w:rsid w:val="00F1554C"/>
    <w:rsid w:val="00F16177"/>
    <w:rsid w:val="00F17C3C"/>
    <w:rsid w:val="00F21CCB"/>
    <w:rsid w:val="00F23B63"/>
    <w:rsid w:val="00F26102"/>
    <w:rsid w:val="00F26D89"/>
    <w:rsid w:val="00F312F3"/>
    <w:rsid w:val="00F31BF5"/>
    <w:rsid w:val="00F32418"/>
    <w:rsid w:val="00F329DE"/>
    <w:rsid w:val="00F32C77"/>
    <w:rsid w:val="00F33128"/>
    <w:rsid w:val="00F34481"/>
    <w:rsid w:val="00F376D9"/>
    <w:rsid w:val="00F404B6"/>
    <w:rsid w:val="00F40F74"/>
    <w:rsid w:val="00F412CA"/>
    <w:rsid w:val="00F42260"/>
    <w:rsid w:val="00F42CCF"/>
    <w:rsid w:val="00F43B1B"/>
    <w:rsid w:val="00F445C0"/>
    <w:rsid w:val="00F45269"/>
    <w:rsid w:val="00F47780"/>
    <w:rsid w:val="00F47E74"/>
    <w:rsid w:val="00F50D5F"/>
    <w:rsid w:val="00F511F0"/>
    <w:rsid w:val="00F51415"/>
    <w:rsid w:val="00F546BD"/>
    <w:rsid w:val="00F55E27"/>
    <w:rsid w:val="00F608BE"/>
    <w:rsid w:val="00F60EB7"/>
    <w:rsid w:val="00F61E36"/>
    <w:rsid w:val="00F62942"/>
    <w:rsid w:val="00F64D91"/>
    <w:rsid w:val="00F67B1D"/>
    <w:rsid w:val="00F704BF"/>
    <w:rsid w:val="00F71886"/>
    <w:rsid w:val="00F71A88"/>
    <w:rsid w:val="00F71E65"/>
    <w:rsid w:val="00F7340C"/>
    <w:rsid w:val="00F7349A"/>
    <w:rsid w:val="00F76664"/>
    <w:rsid w:val="00F77F3F"/>
    <w:rsid w:val="00F80846"/>
    <w:rsid w:val="00F80C16"/>
    <w:rsid w:val="00F80C94"/>
    <w:rsid w:val="00F82FD4"/>
    <w:rsid w:val="00F8310B"/>
    <w:rsid w:val="00F83FDF"/>
    <w:rsid w:val="00F843FD"/>
    <w:rsid w:val="00F84C1C"/>
    <w:rsid w:val="00F84F7A"/>
    <w:rsid w:val="00F85266"/>
    <w:rsid w:val="00F854DD"/>
    <w:rsid w:val="00F85D5A"/>
    <w:rsid w:val="00F86DBE"/>
    <w:rsid w:val="00F86F82"/>
    <w:rsid w:val="00F87DA0"/>
    <w:rsid w:val="00F90082"/>
    <w:rsid w:val="00F90DE5"/>
    <w:rsid w:val="00F90E68"/>
    <w:rsid w:val="00F94D20"/>
    <w:rsid w:val="00F9718B"/>
    <w:rsid w:val="00F9782E"/>
    <w:rsid w:val="00FA1279"/>
    <w:rsid w:val="00FA2A29"/>
    <w:rsid w:val="00FA50FD"/>
    <w:rsid w:val="00FA6FD1"/>
    <w:rsid w:val="00FA787F"/>
    <w:rsid w:val="00FB4C0E"/>
    <w:rsid w:val="00FB5520"/>
    <w:rsid w:val="00FB699C"/>
    <w:rsid w:val="00FB7DDF"/>
    <w:rsid w:val="00FC0373"/>
    <w:rsid w:val="00FC0718"/>
    <w:rsid w:val="00FC0D3D"/>
    <w:rsid w:val="00FC1617"/>
    <w:rsid w:val="00FC2DD0"/>
    <w:rsid w:val="00FC4D33"/>
    <w:rsid w:val="00FC4DD1"/>
    <w:rsid w:val="00FC5ED7"/>
    <w:rsid w:val="00FC610C"/>
    <w:rsid w:val="00FC6884"/>
    <w:rsid w:val="00FC7344"/>
    <w:rsid w:val="00FD2B3E"/>
    <w:rsid w:val="00FD3523"/>
    <w:rsid w:val="00FD3DEB"/>
    <w:rsid w:val="00FD5627"/>
    <w:rsid w:val="00FD6759"/>
    <w:rsid w:val="00FD6D1A"/>
    <w:rsid w:val="00FE15F2"/>
    <w:rsid w:val="00FE1692"/>
    <w:rsid w:val="00FE3204"/>
    <w:rsid w:val="00FE441A"/>
    <w:rsid w:val="00FE488C"/>
    <w:rsid w:val="00FE601A"/>
    <w:rsid w:val="00FE6389"/>
    <w:rsid w:val="00FE6E12"/>
    <w:rsid w:val="00FE7169"/>
    <w:rsid w:val="00FE792A"/>
    <w:rsid w:val="00FF1F42"/>
    <w:rsid w:val="00FF6897"/>
    <w:rsid w:val="00FF6982"/>
    <w:rsid w:val="00FF7053"/>
    <w:rsid w:val="00FF71F7"/>
    <w:rsid w:val="00FF7A20"/>
    <w:rsid w:val="070C28DE"/>
    <w:rsid w:val="08A20FA0"/>
    <w:rsid w:val="08AC4379"/>
    <w:rsid w:val="095C5ACD"/>
    <w:rsid w:val="0A116B8A"/>
    <w:rsid w:val="0D1B7335"/>
    <w:rsid w:val="0D5F5E5E"/>
    <w:rsid w:val="0DC25855"/>
    <w:rsid w:val="0F4277E5"/>
    <w:rsid w:val="0F442EBA"/>
    <w:rsid w:val="0F6F4F5A"/>
    <w:rsid w:val="10AC3A5A"/>
    <w:rsid w:val="10CC55B8"/>
    <w:rsid w:val="12753A2E"/>
    <w:rsid w:val="1299751E"/>
    <w:rsid w:val="12CC3C28"/>
    <w:rsid w:val="12F66091"/>
    <w:rsid w:val="13CF23CA"/>
    <w:rsid w:val="14CF28FB"/>
    <w:rsid w:val="14D25167"/>
    <w:rsid w:val="14E416AB"/>
    <w:rsid w:val="16AE4F75"/>
    <w:rsid w:val="16E6314C"/>
    <w:rsid w:val="16F21AF1"/>
    <w:rsid w:val="174D6D27"/>
    <w:rsid w:val="17B84989"/>
    <w:rsid w:val="18C9062F"/>
    <w:rsid w:val="18D72D4C"/>
    <w:rsid w:val="18DE2B5A"/>
    <w:rsid w:val="1AFB0F7F"/>
    <w:rsid w:val="1B866CAC"/>
    <w:rsid w:val="1D921938"/>
    <w:rsid w:val="1DDE2DCF"/>
    <w:rsid w:val="1E002D45"/>
    <w:rsid w:val="1F890B18"/>
    <w:rsid w:val="226E2973"/>
    <w:rsid w:val="22857CBD"/>
    <w:rsid w:val="23241D99"/>
    <w:rsid w:val="242F6132"/>
    <w:rsid w:val="244D735A"/>
    <w:rsid w:val="26355556"/>
    <w:rsid w:val="27E15995"/>
    <w:rsid w:val="28E650B6"/>
    <w:rsid w:val="2AF30640"/>
    <w:rsid w:val="2BA54F2C"/>
    <w:rsid w:val="2C07063A"/>
    <w:rsid w:val="2D410C84"/>
    <w:rsid w:val="2DDE6A6D"/>
    <w:rsid w:val="2E6C4895"/>
    <w:rsid w:val="2F0B32F8"/>
    <w:rsid w:val="2F4E3361"/>
    <w:rsid w:val="30B579BF"/>
    <w:rsid w:val="31566D04"/>
    <w:rsid w:val="344057F2"/>
    <w:rsid w:val="36483DFB"/>
    <w:rsid w:val="367F6391"/>
    <w:rsid w:val="368C6ECC"/>
    <w:rsid w:val="39730417"/>
    <w:rsid w:val="39E133F5"/>
    <w:rsid w:val="3B31058A"/>
    <w:rsid w:val="3B5B5E8A"/>
    <w:rsid w:val="3ED56947"/>
    <w:rsid w:val="3F2F6754"/>
    <w:rsid w:val="3FE0432D"/>
    <w:rsid w:val="4010076E"/>
    <w:rsid w:val="40E0575B"/>
    <w:rsid w:val="415E1BCB"/>
    <w:rsid w:val="419158DF"/>
    <w:rsid w:val="433230F1"/>
    <w:rsid w:val="44E67A68"/>
    <w:rsid w:val="45B002FD"/>
    <w:rsid w:val="46E22739"/>
    <w:rsid w:val="46F030A7"/>
    <w:rsid w:val="47D12ED9"/>
    <w:rsid w:val="48A91760"/>
    <w:rsid w:val="4B005D50"/>
    <w:rsid w:val="4B1132B6"/>
    <w:rsid w:val="4B3814C1"/>
    <w:rsid w:val="4C856040"/>
    <w:rsid w:val="4CF54820"/>
    <w:rsid w:val="4D0D35D2"/>
    <w:rsid w:val="4DE37A02"/>
    <w:rsid w:val="4EAD790C"/>
    <w:rsid w:val="4F8545C2"/>
    <w:rsid w:val="50A62A29"/>
    <w:rsid w:val="50F14121"/>
    <w:rsid w:val="530F0D59"/>
    <w:rsid w:val="545033D7"/>
    <w:rsid w:val="54EF52BC"/>
    <w:rsid w:val="555655F3"/>
    <w:rsid w:val="580F70C9"/>
    <w:rsid w:val="58B8779D"/>
    <w:rsid w:val="59BD41B5"/>
    <w:rsid w:val="59E6628D"/>
    <w:rsid w:val="5A721875"/>
    <w:rsid w:val="5ADF1011"/>
    <w:rsid w:val="5BC22E0D"/>
    <w:rsid w:val="5C3866C7"/>
    <w:rsid w:val="5D0220DD"/>
    <w:rsid w:val="5D7243BE"/>
    <w:rsid w:val="5E71734B"/>
    <w:rsid w:val="5EA507C4"/>
    <w:rsid w:val="5F105C3D"/>
    <w:rsid w:val="5F1B5006"/>
    <w:rsid w:val="60307045"/>
    <w:rsid w:val="61406582"/>
    <w:rsid w:val="61BC79B7"/>
    <w:rsid w:val="63A24255"/>
    <w:rsid w:val="647C3D75"/>
    <w:rsid w:val="64E263CC"/>
    <w:rsid w:val="6716225F"/>
    <w:rsid w:val="67A535E2"/>
    <w:rsid w:val="67BC6CAC"/>
    <w:rsid w:val="67CA4DF7"/>
    <w:rsid w:val="683230C8"/>
    <w:rsid w:val="684D3A5E"/>
    <w:rsid w:val="69AE05D1"/>
    <w:rsid w:val="6A1F767C"/>
    <w:rsid w:val="6A5C442C"/>
    <w:rsid w:val="6A8E65B0"/>
    <w:rsid w:val="6A9C6F1F"/>
    <w:rsid w:val="6AF21F10"/>
    <w:rsid w:val="6C267FF8"/>
    <w:rsid w:val="6FE42EA3"/>
    <w:rsid w:val="701337DF"/>
    <w:rsid w:val="71333497"/>
    <w:rsid w:val="71C867F5"/>
    <w:rsid w:val="72601FB5"/>
    <w:rsid w:val="742F4960"/>
    <w:rsid w:val="74A470FC"/>
    <w:rsid w:val="74D774D1"/>
    <w:rsid w:val="750E27C7"/>
    <w:rsid w:val="776158EB"/>
    <w:rsid w:val="77BD7565"/>
    <w:rsid w:val="78300CA6"/>
    <w:rsid w:val="78A84CE1"/>
    <w:rsid w:val="797F1819"/>
    <w:rsid w:val="7A443AC5"/>
    <w:rsid w:val="7A6D5748"/>
    <w:rsid w:val="7AB30DF1"/>
    <w:rsid w:val="7BB15DE1"/>
    <w:rsid w:val="7C87620E"/>
    <w:rsid w:val="7CE96A06"/>
    <w:rsid w:val="7D366D5F"/>
    <w:rsid w:val="7D8364BA"/>
    <w:rsid w:val="7DDD427C"/>
    <w:rsid w:val="7F1E1FD6"/>
    <w:rsid w:val="7FE94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name="heading 8"/>
    <w:lsdException w:qFormat="1" w:uiPriority="9" w:name="heading 9"/>
    <w:lsdException w:unhideWhenUsed="0" w:uiPriority="0" w:semiHidden="0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iPriority="99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nhideWhenUsed="0" w:uiPriority="0" w:semiHidden="0" w:name="table of figures"/>
    <w:lsdException w:uiPriority="99" w:name="envelope address"/>
    <w:lsdException w:uiPriority="99" w:name="envelope return"/>
    <w:lsdException w:uiPriority="99" w:name="footnote reference"/>
    <w:lsdException w:unhideWhenUsed="0" w:uiPriority="0" w:semiHidden="0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nhideWhenUsed="0" w:uiPriority="0" w:semiHidden="0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11" w:semiHidden="0" w:name="Subtitle"/>
    <w:lsdException w:uiPriority="0" w:name="Salutation"/>
    <w:lsdException w:uiPriority="0" w:name="Date"/>
    <w:lsdException w:uiPriority="99" w:name="Body Text First Indent"/>
    <w:lsdException w:uiPriority="0" w:name="Body Text First Indent 2"/>
    <w:lsdException w:uiPriority="99" w:name="Note Heading"/>
    <w:lsdException w:qFormat="1" w:uiPriority="99" w:name="Body Text 2"/>
    <w:lsdException w:qFormat="1"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iPriority="0" w:name="FollowedHyperlink"/>
    <w:lsdException w:qFormat="1" w:unhideWhenUsed="0" w:uiPriority="0" w:semiHidden="0" w:name="Strong"/>
    <w:lsdException w:unhideWhenUsed="0" w:uiPriority="20" w:semiHidden="0" w:name="Emphasis"/>
    <w:lsdException w:uiPriority="99" w:name="Document Map"/>
    <w:lsdException w:uiPriority="0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qFormat="1"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480" w:firstLineChars="200"/>
    </w:pPr>
    <w:rPr>
      <w:rFonts w:eastAsia="宋体" w:asciiTheme="minorHAnsi" w:hAnsiTheme="minorHAnsi" w:cstheme="minorBidi"/>
      <w:kern w:val="2"/>
      <w:sz w:val="24"/>
      <w:szCs w:val="21"/>
      <w:lang w:val="en-US" w:eastAsia="zh-CN" w:bidi="ar-SA"/>
    </w:rPr>
  </w:style>
  <w:style w:type="paragraph" w:styleId="3">
    <w:name w:val="heading 1"/>
    <w:basedOn w:val="1"/>
    <w:next w:val="1"/>
    <w:link w:val="23"/>
    <w:qFormat/>
    <w:uiPriority w:val="9"/>
    <w:pPr>
      <w:keepNext/>
      <w:keepLines/>
      <w:numPr>
        <w:ilvl w:val="0"/>
        <w:numId w:val="1"/>
      </w:numPr>
      <w:suppressLineNumbers/>
      <w:ind w:firstLineChars="0"/>
      <w:jc w:val="center"/>
      <w:outlineLvl w:val="0"/>
    </w:pPr>
    <w:rPr>
      <w:rFonts w:ascii="Times New Roman" w:hAnsi="Times New Roman"/>
      <w:b/>
      <w:bCs/>
      <w:kern w:val="44"/>
      <w:sz w:val="32"/>
      <w:szCs w:val="44"/>
    </w:rPr>
  </w:style>
  <w:style w:type="paragraph" w:styleId="2">
    <w:name w:val="heading 2"/>
    <w:basedOn w:val="1"/>
    <w:next w:val="1"/>
    <w:link w:val="21"/>
    <w:unhideWhenUsed/>
    <w:qFormat/>
    <w:uiPriority w:val="9"/>
    <w:pPr>
      <w:keepNext/>
      <w:keepLines/>
      <w:numPr>
        <w:ilvl w:val="1"/>
        <w:numId w:val="1"/>
      </w:numPr>
      <w:ind w:firstLine="0" w:firstLineChars="0"/>
      <w:jc w:val="center"/>
      <w:outlineLvl w:val="1"/>
    </w:pPr>
    <w:rPr>
      <w:rFonts w:ascii="Times New Roman" w:hAnsi="Times New Roman" w:cstheme="majorBidi"/>
      <w:b/>
      <w:bCs/>
      <w:sz w:val="30"/>
      <w:szCs w:val="32"/>
    </w:rPr>
  </w:style>
  <w:style w:type="paragraph" w:styleId="4">
    <w:name w:val="heading 3"/>
    <w:basedOn w:val="1"/>
    <w:next w:val="1"/>
    <w:link w:val="25"/>
    <w:unhideWhenUsed/>
    <w:qFormat/>
    <w:uiPriority w:val="9"/>
    <w:pPr>
      <w:keepNext/>
      <w:keepLines/>
      <w:numPr>
        <w:ilvl w:val="2"/>
        <w:numId w:val="1"/>
      </w:numPr>
      <w:ind w:firstLineChars="0"/>
      <w:outlineLvl w:val="2"/>
    </w:pPr>
    <w:rPr>
      <w:rFonts w:ascii="Times New Roman" w:hAnsi="Times New Roman"/>
      <w:b/>
      <w:bCs/>
      <w:sz w:val="28"/>
      <w:szCs w:val="32"/>
    </w:rPr>
  </w:style>
  <w:style w:type="paragraph" w:styleId="5">
    <w:name w:val="heading 4"/>
    <w:basedOn w:val="1"/>
    <w:next w:val="1"/>
    <w:link w:val="24"/>
    <w:autoRedefine/>
    <w:unhideWhenUsed/>
    <w:qFormat/>
    <w:uiPriority w:val="9"/>
    <w:pPr>
      <w:keepNext/>
      <w:keepLines/>
      <w:numPr>
        <w:ilvl w:val="3"/>
        <w:numId w:val="1"/>
      </w:numPr>
      <w:ind w:left="0" w:firstLineChars="0"/>
      <w:outlineLvl w:val="3"/>
    </w:pPr>
    <w:rPr>
      <w:rFonts w:ascii="Times New Roman" w:hAnsi="Times New Roman" w:cstheme="majorBidi"/>
      <w:bCs/>
      <w:szCs w:val="28"/>
    </w:rPr>
  </w:style>
  <w:style w:type="paragraph" w:styleId="6">
    <w:name w:val="heading 5"/>
    <w:basedOn w:val="1"/>
    <w:next w:val="1"/>
    <w:link w:val="28"/>
    <w:unhideWhenUsed/>
    <w:qFormat/>
    <w:uiPriority w:val="9"/>
    <w:pPr>
      <w:keepNext/>
      <w:keepLines/>
      <w:numPr>
        <w:ilvl w:val="4"/>
        <w:numId w:val="1"/>
      </w:numPr>
      <w:ind w:left="0" w:firstLineChars="0"/>
      <w:outlineLvl w:val="4"/>
    </w:pPr>
    <w:rPr>
      <w:rFonts w:ascii="Times New Roman" w:hAnsi="Times New Roman"/>
      <w:bCs/>
      <w:szCs w:val="28"/>
    </w:rPr>
  </w:style>
  <w:style w:type="paragraph" w:styleId="7">
    <w:name w:val="heading 6"/>
    <w:basedOn w:val="1"/>
    <w:next w:val="1"/>
    <w:link w:val="40"/>
    <w:unhideWhenUsed/>
    <w:qFormat/>
    <w:uiPriority w:val="9"/>
    <w:pPr>
      <w:keepNext/>
      <w:keepLines/>
      <w:spacing w:before="240" w:after="64" w:line="317" w:lineRule="auto"/>
      <w:outlineLvl w:val="5"/>
    </w:pPr>
    <w:rPr>
      <w:rFonts w:ascii="Arial" w:hAnsi="Arial" w:eastAsia="黑体"/>
      <w:b/>
    </w:rPr>
  </w:style>
  <w:style w:type="paragraph" w:styleId="8">
    <w:name w:val="heading 7"/>
    <w:basedOn w:val="1"/>
    <w:next w:val="1"/>
    <w:link w:val="72"/>
    <w:unhideWhenUsed/>
    <w:qFormat/>
    <w:uiPriority w:val="9"/>
    <w:pPr>
      <w:keepNext/>
      <w:keepLines/>
      <w:spacing w:before="240" w:after="64" w:line="320" w:lineRule="auto"/>
      <w:outlineLvl w:val="6"/>
    </w:pPr>
    <w:rPr>
      <w:b/>
      <w:bCs/>
      <w:szCs w:val="24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Normal Indent"/>
    <w:basedOn w:val="1"/>
    <w:next w:val="1"/>
    <w:qFormat/>
    <w:uiPriority w:val="0"/>
    <w:pPr>
      <w:ind w:firstLine="420"/>
    </w:pPr>
    <w:rPr>
      <w:szCs w:val="20"/>
    </w:rPr>
  </w:style>
  <w:style w:type="paragraph" w:styleId="10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1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toc 1"/>
    <w:basedOn w:val="1"/>
    <w:next w:val="1"/>
    <w:qFormat/>
    <w:uiPriority w:val="0"/>
  </w:style>
  <w:style w:type="paragraph" w:styleId="13">
    <w:name w:val="toc 2"/>
    <w:basedOn w:val="1"/>
    <w:next w:val="1"/>
    <w:qFormat/>
    <w:uiPriority w:val="0"/>
    <w:pPr>
      <w:ind w:left="420" w:leftChars="200"/>
    </w:pPr>
  </w:style>
  <w:style w:type="paragraph" w:styleId="14">
    <w:name w:val="Title"/>
    <w:basedOn w:val="1"/>
    <w:next w:val="1"/>
    <w:link w:val="26"/>
    <w:qFormat/>
    <w:uiPriority w:val="1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table" w:styleId="16">
    <w:name w:val="Table Grid"/>
    <w:basedOn w:val="15"/>
    <w:qFormat/>
    <w:uiPriority w:val="59"/>
    <w:pPr>
      <w:jc w:val="center"/>
    </w:pPr>
    <w:rPr>
      <w:rFonts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shd w:val="clear" w:color="auto" w:fill="auto"/>
      <w:vAlign w:val="center"/>
    </w:tcPr>
    <w:tblStylePr w:type="firstRow">
      <w:rPr>
        <w:rFonts w:eastAsiaTheme="majorEastAsia"/>
      </w:rPr>
      <w:tcPr>
        <w:shd w:val="clear" w:color="auto" w:fill="C6D9F0" w:themeFill="text2" w:themeFillTint="33"/>
      </w:tcPr>
    </w:tblStylePr>
  </w:style>
  <w:style w:type="table" w:styleId="17">
    <w:name w:val="Colorful List Accent 6"/>
    <w:basedOn w:val="15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19">
    <w:name w:val="Strong"/>
    <w:basedOn w:val="18"/>
    <w:qFormat/>
    <w:uiPriority w:val="0"/>
    <w:rPr>
      <w:b/>
    </w:rPr>
  </w:style>
  <w:style w:type="character" w:styleId="20">
    <w:name w:val="Hyperlink"/>
    <w:basedOn w:val="18"/>
    <w:qFormat/>
    <w:uiPriority w:val="0"/>
    <w:rPr>
      <w:color w:val="0000FF"/>
      <w:u w:val="single"/>
    </w:rPr>
  </w:style>
  <w:style w:type="character" w:customStyle="1" w:styleId="21">
    <w:name w:val="标题 2 Char"/>
    <w:basedOn w:val="18"/>
    <w:link w:val="2"/>
    <w:qFormat/>
    <w:uiPriority w:val="9"/>
    <w:rPr>
      <w:rFonts w:ascii="Times New Roman" w:hAnsi="Times New Roman" w:eastAsia="宋体" w:cstheme="majorBidi"/>
      <w:b/>
      <w:bCs/>
      <w:sz w:val="30"/>
      <w:szCs w:val="32"/>
    </w:rPr>
  </w:style>
  <w:style w:type="paragraph" w:customStyle="1" w:styleId="22">
    <w:name w:val="正文1(1)"/>
    <w:basedOn w:val="1"/>
    <w:link w:val="34"/>
    <w:autoRedefine/>
    <w:qFormat/>
    <w:uiPriority w:val="0"/>
    <w:pPr>
      <w:numPr>
        <w:ilvl w:val="5"/>
        <w:numId w:val="1"/>
      </w:numPr>
      <w:ind w:left="0" w:firstLine="480"/>
    </w:pPr>
    <w:rPr>
      <w:rFonts w:ascii="Times New Roman" w:hAnsi="Times New Roman"/>
    </w:rPr>
  </w:style>
  <w:style w:type="character" w:customStyle="1" w:styleId="23">
    <w:name w:val="标题 1 Char"/>
    <w:basedOn w:val="18"/>
    <w:link w:val="3"/>
    <w:qFormat/>
    <w:uiPriority w:val="9"/>
    <w:rPr>
      <w:rFonts w:ascii="Times New Roman" w:hAnsi="Times New Roman" w:eastAsia="宋体"/>
      <w:b/>
      <w:bCs/>
      <w:kern w:val="44"/>
      <w:sz w:val="32"/>
      <w:szCs w:val="44"/>
    </w:rPr>
  </w:style>
  <w:style w:type="character" w:customStyle="1" w:styleId="24">
    <w:name w:val="标题 4 Char"/>
    <w:basedOn w:val="18"/>
    <w:link w:val="5"/>
    <w:qFormat/>
    <w:uiPriority w:val="9"/>
    <w:rPr>
      <w:rFonts w:ascii="Times New Roman" w:hAnsi="Times New Roman" w:eastAsia="宋体" w:cstheme="majorBidi"/>
      <w:bCs/>
      <w:sz w:val="24"/>
      <w:szCs w:val="28"/>
    </w:rPr>
  </w:style>
  <w:style w:type="character" w:customStyle="1" w:styleId="25">
    <w:name w:val="标题 3 Char"/>
    <w:basedOn w:val="18"/>
    <w:link w:val="4"/>
    <w:qFormat/>
    <w:uiPriority w:val="9"/>
    <w:rPr>
      <w:rFonts w:ascii="Times New Roman" w:hAnsi="Times New Roman" w:eastAsia="宋体"/>
      <w:b/>
      <w:bCs/>
      <w:sz w:val="28"/>
      <w:szCs w:val="32"/>
    </w:rPr>
  </w:style>
  <w:style w:type="character" w:customStyle="1" w:styleId="26">
    <w:name w:val="标题 Char"/>
    <w:basedOn w:val="18"/>
    <w:link w:val="14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paragraph" w:customStyle="1" w:styleId="27">
    <w:name w:val="(表格)"/>
    <w:basedOn w:val="1"/>
    <w:link w:val="42"/>
    <w:qFormat/>
    <w:uiPriority w:val="0"/>
    <w:pPr>
      <w:numPr>
        <w:ilvl w:val="7"/>
        <w:numId w:val="1"/>
      </w:numPr>
      <w:spacing w:line="240" w:lineRule="auto"/>
      <w:ind w:firstLineChars="0"/>
      <w:jc w:val="center"/>
    </w:pPr>
    <w:rPr>
      <w:rFonts w:ascii="Times New Roman" w:hAnsi="Times New Roman" w:eastAsia="黑体"/>
    </w:rPr>
  </w:style>
  <w:style w:type="character" w:customStyle="1" w:styleId="28">
    <w:name w:val="标题 5 Char"/>
    <w:basedOn w:val="18"/>
    <w:link w:val="6"/>
    <w:qFormat/>
    <w:uiPriority w:val="9"/>
    <w:rPr>
      <w:rFonts w:ascii="Times New Roman" w:hAnsi="Times New Roman" w:eastAsia="宋体"/>
      <w:bCs/>
      <w:sz w:val="24"/>
      <w:szCs w:val="28"/>
    </w:rPr>
  </w:style>
  <w:style w:type="paragraph" w:customStyle="1" w:styleId="29">
    <w:name w:val="（图片）"/>
    <w:basedOn w:val="1"/>
    <w:next w:val="30"/>
    <w:link w:val="38"/>
    <w:autoRedefine/>
    <w:qFormat/>
    <w:uiPriority w:val="0"/>
    <w:pPr>
      <w:numPr>
        <w:ilvl w:val="8"/>
        <w:numId w:val="1"/>
      </w:numPr>
      <w:spacing w:line="240" w:lineRule="auto"/>
      <w:ind w:left="0" w:firstLineChars="0"/>
      <w:jc w:val="center"/>
    </w:pPr>
    <w:rPr>
      <w:rFonts w:eastAsia="黑体"/>
    </w:rPr>
  </w:style>
  <w:style w:type="paragraph" w:customStyle="1" w:styleId="30">
    <w:name w:val="图"/>
    <w:basedOn w:val="1"/>
    <w:link w:val="41"/>
    <w:qFormat/>
    <w:uiPriority w:val="0"/>
    <w:pPr>
      <w:pBdr>
        <w:top w:val="single" w:color="4F81BD" w:themeColor="accent1" w:sz="12" w:space="1"/>
        <w:left w:val="single" w:color="4F81BD" w:themeColor="accent1" w:sz="12" w:space="4"/>
        <w:bottom w:val="single" w:color="4F81BD" w:themeColor="accent1" w:sz="12" w:space="1"/>
        <w:right w:val="single" w:color="4F81BD" w:themeColor="accent1" w:sz="12" w:space="4"/>
      </w:pBdr>
      <w:spacing w:line="276" w:lineRule="auto"/>
      <w:ind w:firstLine="0" w:firstLineChars="0"/>
      <w:jc w:val="center"/>
    </w:pPr>
    <w:rPr>
      <w:rFonts w:ascii="Times New Roman" w:hAnsi="Times New Roman" w:eastAsia="宋体"/>
      <w:sz w:val="21"/>
    </w:rPr>
  </w:style>
  <w:style w:type="paragraph" w:customStyle="1" w:styleId="31">
    <w:name w:val="正文 1)"/>
    <w:basedOn w:val="1"/>
    <w:link w:val="35"/>
    <w:qFormat/>
    <w:uiPriority w:val="0"/>
    <w:pPr>
      <w:numPr>
        <w:ilvl w:val="6"/>
        <w:numId w:val="1"/>
      </w:numPr>
      <w:ind w:firstLine="200"/>
    </w:pPr>
  </w:style>
  <w:style w:type="paragraph" w:customStyle="1" w:styleId="32">
    <w:name w:val="表格内容居中"/>
    <w:basedOn w:val="1"/>
    <w:link w:val="33"/>
    <w:qFormat/>
    <w:uiPriority w:val="0"/>
    <w:pPr>
      <w:spacing w:line="360" w:lineRule="exact"/>
      <w:ind w:firstLine="0" w:firstLineChars="0"/>
      <w:jc w:val="center"/>
    </w:pPr>
    <w:rPr>
      <w:rFonts w:ascii="Times New Roman" w:hAnsi="Times New Roman"/>
      <w:sz w:val="21"/>
    </w:rPr>
  </w:style>
  <w:style w:type="character" w:customStyle="1" w:styleId="33">
    <w:name w:val="表格内容居中 Char"/>
    <w:basedOn w:val="18"/>
    <w:link w:val="32"/>
    <w:qFormat/>
    <w:uiPriority w:val="0"/>
    <w:rPr>
      <w:rFonts w:ascii="Times New Roman" w:hAnsi="Times New Roman" w:eastAsia="宋体"/>
    </w:rPr>
  </w:style>
  <w:style w:type="character" w:customStyle="1" w:styleId="34">
    <w:name w:val="正文1(1) Char"/>
    <w:link w:val="22"/>
    <w:qFormat/>
    <w:uiPriority w:val="0"/>
    <w:rPr>
      <w:rFonts w:ascii="Times New Roman" w:hAnsi="Times New Roman" w:eastAsia="宋体"/>
      <w:sz w:val="24"/>
    </w:rPr>
  </w:style>
  <w:style w:type="character" w:customStyle="1" w:styleId="35">
    <w:name w:val="正文 1) Char"/>
    <w:link w:val="31"/>
    <w:qFormat/>
    <w:uiPriority w:val="0"/>
    <w:rPr>
      <w:rFonts w:eastAsia="宋体"/>
      <w:sz w:val="24"/>
    </w:rPr>
  </w:style>
  <w:style w:type="paragraph" w:customStyle="1" w:styleId="36">
    <w:name w:val="表格内容左对齐1"/>
    <w:basedOn w:val="32"/>
    <w:link w:val="37"/>
    <w:qFormat/>
    <w:uiPriority w:val="0"/>
    <w:pPr>
      <w:widowControl/>
      <w:spacing w:line="240" w:lineRule="auto"/>
      <w:ind w:firstLine="420" w:firstLineChars="200"/>
      <w:jc w:val="left"/>
    </w:pPr>
    <w:rPr>
      <w:rFonts w:ascii="宋体" w:hAnsi="宋体" w:cs="宋体"/>
      <w:kern w:val="0"/>
      <w:szCs w:val="24"/>
    </w:rPr>
  </w:style>
  <w:style w:type="character" w:customStyle="1" w:styleId="37">
    <w:name w:val="表格内容左对齐1 Char"/>
    <w:basedOn w:val="33"/>
    <w:link w:val="36"/>
    <w:qFormat/>
    <w:uiPriority w:val="0"/>
    <w:rPr>
      <w:rFonts w:ascii="宋体" w:hAnsi="宋体" w:eastAsia="宋体" w:cs="宋体"/>
      <w:kern w:val="0"/>
      <w:szCs w:val="24"/>
    </w:rPr>
  </w:style>
  <w:style w:type="character" w:customStyle="1" w:styleId="38">
    <w:name w:val="（图片） Char"/>
    <w:link w:val="29"/>
    <w:qFormat/>
    <w:uiPriority w:val="0"/>
    <w:rPr>
      <w:rFonts w:eastAsia="黑体"/>
      <w:sz w:val="24"/>
    </w:rPr>
  </w:style>
  <w:style w:type="table" w:customStyle="1" w:styleId="39">
    <w:name w:val="网格型1"/>
    <w:basedOn w:val="15"/>
    <w:qFormat/>
    <w:uiPriority w:val="59"/>
    <w:pPr>
      <w:jc w:val="center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shd w:val="clear" w:color="auto" w:fill="auto"/>
      <w:vAlign w:val="center"/>
    </w:tcPr>
    <w:tblStylePr w:type="firstRow">
      <w:rPr>
        <w:rFonts w:eastAsiaTheme="majorEastAsia"/>
      </w:rPr>
      <w:tcPr>
        <w:shd w:val="clear" w:color="auto" w:fill="C6D9F0" w:themeFill="text2" w:themeFillTint="33"/>
      </w:tcPr>
    </w:tblStylePr>
  </w:style>
  <w:style w:type="character" w:customStyle="1" w:styleId="40">
    <w:name w:val="标题 6 Char"/>
    <w:basedOn w:val="18"/>
    <w:link w:val="7"/>
    <w:qFormat/>
    <w:uiPriority w:val="9"/>
    <w:rPr>
      <w:rFonts w:ascii="Arial" w:hAnsi="Arial" w:eastAsia="黑体"/>
      <w:b/>
      <w:sz w:val="24"/>
    </w:rPr>
  </w:style>
  <w:style w:type="character" w:customStyle="1" w:styleId="41">
    <w:name w:val="图 Char"/>
    <w:link w:val="30"/>
    <w:qFormat/>
    <w:uiPriority w:val="0"/>
    <w:rPr>
      <w:rFonts w:ascii="Times New Roman" w:hAnsi="Times New Roman" w:eastAsia="宋体"/>
    </w:rPr>
  </w:style>
  <w:style w:type="character" w:customStyle="1" w:styleId="42">
    <w:name w:val="(表格) Char"/>
    <w:link w:val="27"/>
    <w:qFormat/>
    <w:locked/>
    <w:uiPriority w:val="0"/>
    <w:rPr>
      <w:rFonts w:ascii="Times New Roman" w:hAnsi="Times New Roman" w:eastAsia="黑体"/>
      <w:sz w:val="24"/>
    </w:rPr>
  </w:style>
  <w:style w:type="table" w:customStyle="1" w:styleId="43">
    <w:name w:val="Table Normal"/>
    <w:unhideWhenUsed/>
    <w:qFormat/>
    <w:uiPriority w:val="2"/>
    <w:pPr>
      <w:widowControl w:val="0"/>
      <w:autoSpaceDE w:val="0"/>
      <w:autoSpaceDN w:val="0"/>
    </w:pPr>
    <w:rPr>
      <w:rFonts w:ascii="Calibri" w:hAnsi="Calibri" w:eastAsia="宋体" w:cs="Times New Roman"/>
      <w:kern w:val="0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4">
    <w:name w:val="东塔表格13"/>
    <w:basedOn w:val="15"/>
    <w:qFormat/>
    <w:uiPriority w:val="59"/>
    <w:pPr>
      <w:jc w:val="center"/>
    </w:pPr>
    <w:rPr>
      <w:rFonts w:eastAsia="宋体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shd w:val="clear" w:color="auto" w:fill="auto"/>
      <w:vAlign w:val="center"/>
    </w:tcPr>
    <w:tblStylePr w:type="firstRow">
      <w:rPr>
        <w:rFonts w:eastAsiaTheme="majorEastAsia"/>
      </w:rPr>
      <w:tcPr>
        <w:shd w:val="clear" w:color="auto" w:fill="C6D9F0" w:themeFill="text2" w:themeFillTint="33"/>
      </w:tcPr>
    </w:tblStylePr>
  </w:style>
  <w:style w:type="table" w:customStyle="1" w:styleId="45">
    <w:name w:val="东塔表格14"/>
    <w:basedOn w:val="15"/>
    <w:qFormat/>
    <w:uiPriority w:val="59"/>
    <w:pPr>
      <w:jc w:val="center"/>
    </w:pPr>
    <w:rPr>
      <w:rFonts w:eastAsia="宋体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shd w:val="clear" w:color="auto" w:fill="auto"/>
      <w:vAlign w:val="center"/>
    </w:tcPr>
    <w:tblStylePr w:type="firstRow">
      <w:rPr>
        <w:rFonts w:eastAsiaTheme="majorEastAsia"/>
      </w:rPr>
      <w:tcPr>
        <w:shd w:val="clear" w:color="auto" w:fill="C6D9F0" w:themeFill="text2" w:themeFillTint="33"/>
      </w:tcPr>
    </w:tblStylePr>
  </w:style>
  <w:style w:type="table" w:customStyle="1" w:styleId="46">
    <w:name w:val="东塔表格15"/>
    <w:basedOn w:val="15"/>
    <w:qFormat/>
    <w:uiPriority w:val="59"/>
    <w:pPr>
      <w:jc w:val="center"/>
    </w:pPr>
    <w:rPr>
      <w:rFonts w:eastAsia="宋体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shd w:val="clear" w:color="auto" w:fill="auto"/>
      <w:vAlign w:val="center"/>
    </w:tcPr>
    <w:tblStylePr w:type="firstRow">
      <w:rPr>
        <w:rFonts w:eastAsiaTheme="majorEastAsia"/>
      </w:rPr>
      <w:tcPr>
        <w:shd w:val="clear" w:color="auto" w:fill="C6D9F0" w:themeFill="text2" w:themeFillTint="33"/>
      </w:tcPr>
    </w:tblStylePr>
  </w:style>
  <w:style w:type="paragraph" w:customStyle="1" w:styleId="47">
    <w:name w:val="表格内容左对齐"/>
    <w:basedOn w:val="1"/>
    <w:next w:val="1"/>
    <w:link w:val="48"/>
    <w:qFormat/>
    <w:uiPriority w:val="0"/>
    <w:pPr>
      <w:spacing w:line="240" w:lineRule="auto"/>
    </w:pPr>
    <w:rPr>
      <w:sz w:val="21"/>
    </w:rPr>
  </w:style>
  <w:style w:type="character" w:customStyle="1" w:styleId="48">
    <w:name w:val="表格内容左对齐 Char"/>
    <w:basedOn w:val="18"/>
    <w:link w:val="47"/>
    <w:qFormat/>
    <w:uiPriority w:val="0"/>
    <w:rPr>
      <w:rFonts w:eastAsia="宋体"/>
    </w:rPr>
  </w:style>
  <w:style w:type="table" w:customStyle="1" w:styleId="49">
    <w:name w:val="东塔表格11"/>
    <w:basedOn w:val="15"/>
    <w:qFormat/>
    <w:uiPriority w:val="59"/>
    <w:pPr>
      <w:jc w:val="center"/>
    </w:pPr>
    <w:rPr>
      <w:rFonts w:eastAsia="宋体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shd w:val="clear" w:color="auto" w:fill="auto"/>
      <w:vAlign w:val="center"/>
    </w:tcPr>
    <w:tblStylePr w:type="firstRow">
      <w:rPr>
        <w:rFonts w:eastAsiaTheme="majorEastAsia"/>
      </w:rPr>
      <w:tcPr>
        <w:shd w:val="clear" w:color="auto" w:fill="C6D9F0" w:themeFill="text2" w:themeFillTint="33"/>
      </w:tcPr>
    </w:tblStylePr>
  </w:style>
  <w:style w:type="table" w:customStyle="1" w:styleId="50">
    <w:name w:val="东塔表格12"/>
    <w:basedOn w:val="15"/>
    <w:qFormat/>
    <w:uiPriority w:val="59"/>
    <w:pPr>
      <w:jc w:val="center"/>
    </w:pPr>
    <w:rPr>
      <w:rFonts w:eastAsia="宋体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shd w:val="clear" w:color="auto" w:fill="auto"/>
      <w:vAlign w:val="center"/>
    </w:tcPr>
    <w:tblStylePr w:type="firstRow">
      <w:rPr>
        <w:rFonts w:eastAsiaTheme="majorEastAsia"/>
      </w:rPr>
      <w:tcPr>
        <w:shd w:val="clear" w:color="auto" w:fill="C6D9F0" w:themeFill="text2" w:themeFillTint="33"/>
      </w:tcPr>
    </w:tblStylePr>
  </w:style>
  <w:style w:type="table" w:customStyle="1" w:styleId="51">
    <w:name w:val="网格型2"/>
    <w:basedOn w:val="15"/>
    <w:qFormat/>
    <w:uiPriority w:val="59"/>
    <w:pPr>
      <w:jc w:val="center"/>
    </w:pPr>
    <w:rPr>
      <w:rFonts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shd w:val="clear" w:color="auto" w:fill="auto"/>
      <w:vAlign w:val="center"/>
    </w:tcPr>
    <w:tblStylePr w:type="firstRow">
      <w:rPr>
        <w:rFonts w:eastAsiaTheme="majorEastAsia"/>
      </w:rPr>
      <w:tcPr>
        <w:shd w:val="clear" w:color="auto" w:fill="C6D9F0" w:themeFill="text2" w:themeFillTint="33"/>
      </w:tcPr>
    </w:tblStylePr>
  </w:style>
  <w:style w:type="table" w:customStyle="1" w:styleId="52">
    <w:name w:val="网格型3"/>
    <w:basedOn w:val="15"/>
    <w:qFormat/>
    <w:uiPriority w:val="59"/>
    <w:pPr>
      <w:jc w:val="center"/>
    </w:pPr>
    <w:rPr>
      <w:rFonts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shd w:val="clear" w:color="auto" w:fill="auto"/>
      <w:vAlign w:val="center"/>
    </w:tcPr>
    <w:tblStylePr w:type="firstRow">
      <w:rPr>
        <w:rFonts w:eastAsiaTheme="majorEastAsia"/>
      </w:rPr>
      <w:tcPr>
        <w:shd w:val="clear" w:color="auto" w:fill="C6D9F0" w:themeFill="text2" w:themeFillTint="33"/>
      </w:tcPr>
    </w:tblStylePr>
  </w:style>
  <w:style w:type="table" w:customStyle="1" w:styleId="53">
    <w:name w:val="网格型11"/>
    <w:basedOn w:val="15"/>
    <w:qFormat/>
    <w:uiPriority w:val="59"/>
    <w:pPr>
      <w:jc w:val="center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shd w:val="clear" w:color="auto" w:fill="auto"/>
      <w:vAlign w:val="center"/>
    </w:tcPr>
    <w:tblStylePr w:type="firstRow">
      <w:rPr>
        <w:rFonts w:eastAsiaTheme="majorEastAsia"/>
      </w:rPr>
      <w:tcPr>
        <w:shd w:val="clear" w:color="auto" w:fill="C6D9F0" w:themeFill="text2" w:themeFillTint="33"/>
      </w:tcPr>
    </w:tblStylePr>
  </w:style>
  <w:style w:type="table" w:customStyle="1" w:styleId="54">
    <w:name w:val="标书表格"/>
    <w:basedOn w:val="15"/>
    <w:qFormat/>
    <w:uiPriority w:val="99"/>
    <w:pPr>
      <w:jc w:val="center"/>
    </w:pPr>
    <w:rPr>
      <w:rFonts w:eastAsia="宋体"/>
    </w:rPr>
    <w:tblPr>
      <w:tblBorders>
        <w:top w:val="double" w:color="auto" w:sz="4" w:space="0"/>
        <w:left w:val="double" w:color="auto" w:sz="4" w:space="0"/>
        <w:bottom w:val="double" w:color="auto" w:sz="4" w:space="0"/>
        <w:right w:val="double" w:color="auto" w:sz="4" w:space="0"/>
        <w:insideH w:val="single" w:color="auto" w:sz="6" w:space="0"/>
        <w:insideV w:val="single" w:color="auto" w:sz="6" w:space="0"/>
      </w:tblBorders>
    </w:tblPr>
    <w:tcPr>
      <w:vAlign w:val="center"/>
    </w:tcPr>
    <w:tblStylePr w:type="firstRow">
      <w:rPr>
        <w:rFonts w:eastAsia="宋体"/>
        <w:b/>
        <w:sz w:val="21"/>
      </w:rPr>
      <w:tcPr>
        <w:shd w:val="clear" w:color="auto" w:fill="CFAE78"/>
      </w:tcPr>
    </w:tblStylePr>
  </w:style>
  <w:style w:type="table" w:customStyle="1" w:styleId="55">
    <w:name w:val="网格型4"/>
    <w:basedOn w:val="15"/>
    <w:qFormat/>
    <w:uiPriority w:val="59"/>
    <w:pPr>
      <w:jc w:val="center"/>
    </w:pPr>
    <w:rPr>
      <w:rFonts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shd w:val="clear" w:color="auto" w:fill="auto"/>
      <w:vAlign w:val="center"/>
    </w:tcPr>
    <w:tblStylePr w:type="firstRow">
      <w:rPr>
        <w:rFonts w:eastAsiaTheme="majorEastAsia"/>
      </w:rPr>
      <w:tcPr>
        <w:shd w:val="clear" w:color="auto" w:fill="C6D9F0" w:themeFill="text2" w:themeFillTint="33"/>
      </w:tcPr>
    </w:tblStylePr>
  </w:style>
  <w:style w:type="table" w:customStyle="1" w:styleId="56">
    <w:name w:val="网格型5"/>
    <w:basedOn w:val="15"/>
    <w:qFormat/>
    <w:uiPriority w:val="59"/>
    <w:pPr>
      <w:jc w:val="center"/>
    </w:pPr>
    <w:rPr>
      <w:rFonts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shd w:val="clear" w:color="auto" w:fill="auto"/>
      <w:vAlign w:val="center"/>
    </w:tcPr>
    <w:tblStylePr w:type="firstRow">
      <w:rPr>
        <w:rFonts w:eastAsiaTheme="majorEastAsia"/>
      </w:rPr>
      <w:tcPr>
        <w:shd w:val="clear" w:color="auto" w:fill="C6D9F0" w:themeFill="text2" w:themeFillTint="33"/>
      </w:tcPr>
    </w:tblStylePr>
  </w:style>
  <w:style w:type="table" w:customStyle="1" w:styleId="57">
    <w:name w:val="网格型6"/>
    <w:basedOn w:val="15"/>
    <w:qFormat/>
    <w:uiPriority w:val="59"/>
    <w:pPr>
      <w:jc w:val="center"/>
    </w:pPr>
    <w:rPr>
      <w:rFonts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shd w:val="clear" w:color="auto" w:fill="auto"/>
      <w:vAlign w:val="center"/>
    </w:tcPr>
    <w:tblStylePr w:type="firstRow">
      <w:rPr>
        <w:rFonts w:eastAsiaTheme="majorEastAsia"/>
      </w:rPr>
      <w:tcPr>
        <w:shd w:val="clear" w:color="auto" w:fill="C6D9F0" w:themeFill="text2" w:themeFillTint="33"/>
      </w:tcPr>
    </w:tblStylePr>
  </w:style>
  <w:style w:type="table" w:customStyle="1" w:styleId="58">
    <w:name w:val="东塔表格16"/>
    <w:basedOn w:val="15"/>
    <w:qFormat/>
    <w:uiPriority w:val="59"/>
    <w:pPr>
      <w:jc w:val="center"/>
    </w:pPr>
    <w:rPr>
      <w:rFonts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shd w:val="clear" w:color="auto" w:fill="auto"/>
      <w:vAlign w:val="center"/>
    </w:tcPr>
    <w:tblStylePr w:type="firstRow">
      <w:rPr>
        <w:rFonts w:eastAsiaTheme="majorEastAsia"/>
      </w:rPr>
      <w:tcPr>
        <w:shd w:val="clear" w:color="auto" w:fill="C6D9F0" w:themeFill="text2" w:themeFillTint="33"/>
      </w:tcPr>
    </w:tblStylePr>
  </w:style>
  <w:style w:type="table" w:customStyle="1" w:styleId="59">
    <w:name w:val="东塔表格17"/>
    <w:basedOn w:val="15"/>
    <w:qFormat/>
    <w:uiPriority w:val="59"/>
    <w:pPr>
      <w:jc w:val="center"/>
    </w:pPr>
    <w:rPr>
      <w:rFonts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shd w:val="clear" w:color="auto" w:fill="auto"/>
      <w:vAlign w:val="center"/>
    </w:tcPr>
    <w:tblStylePr w:type="firstRow">
      <w:rPr>
        <w:rFonts w:eastAsiaTheme="majorEastAsia"/>
      </w:rPr>
      <w:tcPr>
        <w:shd w:val="clear" w:color="auto" w:fill="C6D9F0" w:themeFill="text2" w:themeFillTint="33"/>
      </w:tcPr>
    </w:tblStylePr>
  </w:style>
  <w:style w:type="table" w:customStyle="1" w:styleId="60">
    <w:name w:val="东塔表格18"/>
    <w:basedOn w:val="15"/>
    <w:qFormat/>
    <w:uiPriority w:val="59"/>
    <w:pPr>
      <w:jc w:val="center"/>
    </w:pPr>
    <w:rPr>
      <w:rFonts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shd w:val="clear" w:color="auto" w:fill="auto"/>
      <w:vAlign w:val="center"/>
    </w:tcPr>
    <w:tblStylePr w:type="firstRow">
      <w:rPr>
        <w:rFonts w:eastAsiaTheme="majorEastAsia"/>
      </w:rPr>
      <w:tcPr>
        <w:shd w:val="clear" w:color="auto" w:fill="C6D9F0" w:themeFill="text2" w:themeFillTint="33"/>
      </w:tcPr>
    </w:tblStylePr>
  </w:style>
  <w:style w:type="table" w:customStyle="1" w:styleId="61">
    <w:name w:val="东塔表格19"/>
    <w:basedOn w:val="15"/>
    <w:qFormat/>
    <w:uiPriority w:val="59"/>
    <w:pPr>
      <w:jc w:val="center"/>
    </w:pPr>
    <w:rPr>
      <w:rFonts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shd w:val="clear" w:color="auto" w:fill="auto"/>
      <w:vAlign w:val="center"/>
    </w:tcPr>
    <w:tblStylePr w:type="firstRow">
      <w:rPr>
        <w:rFonts w:eastAsiaTheme="majorEastAsia"/>
      </w:rPr>
      <w:tcPr>
        <w:shd w:val="clear" w:color="auto" w:fill="C6D9F0" w:themeFill="text2" w:themeFillTint="33"/>
      </w:tcPr>
    </w:tblStylePr>
  </w:style>
  <w:style w:type="table" w:customStyle="1" w:styleId="62">
    <w:name w:val="网格型7"/>
    <w:basedOn w:val="15"/>
    <w:qFormat/>
    <w:uiPriority w:val="59"/>
    <w:pPr>
      <w:jc w:val="center"/>
    </w:pPr>
    <w:rPr>
      <w:rFonts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shd w:val="clear" w:color="auto" w:fill="auto"/>
      <w:vAlign w:val="center"/>
    </w:tcPr>
    <w:tblStylePr w:type="firstRow">
      <w:rPr>
        <w:rFonts w:eastAsiaTheme="majorEastAsia"/>
      </w:rPr>
      <w:tcPr>
        <w:shd w:val="clear" w:color="auto" w:fill="C6D9F0" w:themeFill="text2" w:themeFillTint="33"/>
      </w:tcPr>
    </w:tblStylePr>
  </w:style>
  <w:style w:type="table" w:customStyle="1" w:styleId="63">
    <w:name w:val="Plain Table 5"/>
    <w:basedOn w:val="15"/>
    <w:qFormat/>
    <w:uiPriority w:val="45"/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7E7E7E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7E7E7E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7E7E7E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7E7E7E" w:themeColor="text1" w:themeTint="80" w:sz="4" w:space="0"/>
        </w:tcBorders>
        <w:shd w:val="clear" w:color="auto" w:fill="FFFFFF" w:themeFill="background1"/>
      </w:tc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64">
    <w:name w:val="Grid Table 1 Light"/>
    <w:basedOn w:val="15"/>
    <w:qFormat/>
    <w:uiPriority w:val="46"/>
    <w:tblPr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65">
    <w:name w:val="Grid Table 1 Light Accent 1"/>
    <w:basedOn w:val="15"/>
    <w:qFormat/>
    <w:uiPriority w:val="46"/>
    <w:tblPr>
      <w:tblBorders>
        <w:top w:val="single" w:color="B8CCE4" w:themeColor="accent1" w:themeTint="66" w:sz="4" w:space="0"/>
        <w:left w:val="single" w:color="B8CCE4" w:themeColor="accent1" w:themeTint="66" w:sz="4" w:space="0"/>
        <w:bottom w:val="single" w:color="B8CCE4" w:themeColor="accent1" w:themeTint="66" w:sz="4" w:space="0"/>
        <w:right w:val="single" w:color="B8CCE4" w:themeColor="accent1" w:themeTint="66" w:sz="4" w:space="0"/>
        <w:insideH w:val="single" w:color="B8CCE4" w:themeColor="accent1" w:themeTint="66" w:sz="4" w:space="0"/>
        <w:insideV w:val="single" w:color="B8CCE4" w:themeColor="accent1" w:themeTint="66" w:sz="4" w:space="0"/>
      </w:tblBorders>
    </w:tblPr>
    <w:tblStylePr w:type="firstRow">
      <w:rPr>
        <w:b/>
        <w:bCs/>
      </w:rPr>
      <w:tcPr>
        <w:tcBorders>
          <w:bottom w:val="single" w:color="95B3D7" w:themeColor="accent1" w:themeTint="99" w:sz="12" w:space="0"/>
        </w:tcBorders>
      </w:tcPr>
    </w:tblStylePr>
    <w:tblStylePr w:type="lastRow">
      <w:rPr>
        <w:b/>
        <w:bCs/>
      </w:rPr>
      <w:tcPr>
        <w:tcBorders>
          <w:top w:val="double" w:color="95B3D7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66">
    <w:name w:val="Grid Table 1 Light Accent 5"/>
    <w:basedOn w:val="15"/>
    <w:qFormat/>
    <w:uiPriority w:val="46"/>
    <w:tblPr>
      <w:tblBorders>
        <w:top w:val="single" w:color="B6DDE8" w:themeColor="accent5" w:themeTint="66" w:sz="4" w:space="0"/>
        <w:left w:val="single" w:color="B6DDE8" w:themeColor="accent5" w:themeTint="66" w:sz="4" w:space="0"/>
        <w:bottom w:val="single" w:color="B6DDE8" w:themeColor="accent5" w:themeTint="66" w:sz="4" w:space="0"/>
        <w:right w:val="single" w:color="B6DDE8" w:themeColor="accent5" w:themeTint="66" w:sz="4" w:space="0"/>
        <w:insideH w:val="single" w:color="B6DDE8" w:themeColor="accent5" w:themeTint="66" w:sz="4" w:space="0"/>
        <w:insideV w:val="single" w:color="B6DDE8" w:themeColor="accent5" w:themeTint="66" w:sz="4" w:space="0"/>
      </w:tblBorders>
    </w:tblPr>
    <w:tblStylePr w:type="firstRow">
      <w:rPr>
        <w:b/>
        <w:bCs/>
      </w:rPr>
      <w:tcPr>
        <w:tcBorders>
          <w:bottom w:val="single" w:color="92CDDC" w:themeColor="accent5" w:themeTint="99" w:sz="12" w:space="0"/>
        </w:tcBorders>
      </w:tcPr>
    </w:tblStylePr>
    <w:tblStylePr w:type="lastRow">
      <w:rPr>
        <w:b/>
        <w:bCs/>
      </w:rPr>
      <w:tcPr>
        <w:tcBorders>
          <w:top w:val="double" w:color="92CDDC" w:themeColor="accent5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67">
    <w:name w:val="正文1"/>
    <w:qFormat/>
    <w:uiPriority w:val="0"/>
    <w:pPr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table" w:customStyle="1" w:styleId="68">
    <w:name w:val="无格式表格 51"/>
    <w:basedOn w:val="15"/>
    <w:qFormat/>
    <w:uiPriority w:val="45"/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7E7E7E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7E7E7E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7E7E7E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7E7E7E" w:themeColor="text1" w:themeTint="80" w:sz="4" w:space="0"/>
        </w:tcBorders>
        <w:shd w:val="clear" w:color="auto" w:fill="FFFFFF" w:themeFill="background1"/>
      </w:tc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69">
    <w:name w:val="网格表 1 浅色1"/>
    <w:basedOn w:val="15"/>
    <w:qFormat/>
    <w:uiPriority w:val="46"/>
    <w:tblPr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70">
    <w:name w:val="网格表 1 浅色 - 着色 11"/>
    <w:basedOn w:val="15"/>
    <w:qFormat/>
    <w:uiPriority w:val="46"/>
    <w:tblPr>
      <w:tblBorders>
        <w:top w:val="single" w:color="B8CCE4" w:themeColor="accent1" w:themeTint="66" w:sz="4" w:space="0"/>
        <w:left w:val="single" w:color="B8CCE4" w:themeColor="accent1" w:themeTint="66" w:sz="4" w:space="0"/>
        <w:bottom w:val="single" w:color="B8CCE4" w:themeColor="accent1" w:themeTint="66" w:sz="4" w:space="0"/>
        <w:right w:val="single" w:color="B8CCE4" w:themeColor="accent1" w:themeTint="66" w:sz="4" w:space="0"/>
        <w:insideH w:val="single" w:color="B8CCE4" w:themeColor="accent1" w:themeTint="66" w:sz="4" w:space="0"/>
        <w:insideV w:val="single" w:color="B8CCE4" w:themeColor="accent1" w:themeTint="66" w:sz="4" w:space="0"/>
      </w:tblBorders>
    </w:tblPr>
    <w:tblStylePr w:type="firstRow">
      <w:rPr>
        <w:b/>
        <w:bCs/>
      </w:rPr>
      <w:tcPr>
        <w:tcBorders>
          <w:bottom w:val="single" w:color="95B3D7" w:themeColor="accent1" w:themeTint="99" w:sz="12" w:space="0"/>
        </w:tcBorders>
      </w:tcPr>
    </w:tblStylePr>
    <w:tblStylePr w:type="lastRow">
      <w:rPr>
        <w:b/>
        <w:bCs/>
      </w:rPr>
      <w:tcPr>
        <w:tcBorders>
          <w:top w:val="double" w:color="95B3D7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71">
    <w:name w:val="网格表 1 浅色 - 着色 51"/>
    <w:basedOn w:val="15"/>
    <w:qFormat/>
    <w:uiPriority w:val="46"/>
    <w:tblPr>
      <w:tblBorders>
        <w:top w:val="single" w:color="B6DDE8" w:themeColor="accent5" w:themeTint="66" w:sz="4" w:space="0"/>
        <w:left w:val="single" w:color="B6DDE8" w:themeColor="accent5" w:themeTint="66" w:sz="4" w:space="0"/>
        <w:bottom w:val="single" w:color="B6DDE8" w:themeColor="accent5" w:themeTint="66" w:sz="4" w:space="0"/>
        <w:right w:val="single" w:color="B6DDE8" w:themeColor="accent5" w:themeTint="66" w:sz="4" w:space="0"/>
        <w:insideH w:val="single" w:color="B6DDE8" w:themeColor="accent5" w:themeTint="66" w:sz="4" w:space="0"/>
        <w:insideV w:val="single" w:color="B6DDE8" w:themeColor="accent5" w:themeTint="66" w:sz="4" w:space="0"/>
      </w:tblBorders>
    </w:tblPr>
    <w:tblStylePr w:type="firstRow">
      <w:rPr>
        <w:b/>
        <w:bCs/>
      </w:rPr>
      <w:tcPr>
        <w:tcBorders>
          <w:bottom w:val="single" w:color="92CDDC" w:themeColor="accent5" w:themeTint="99" w:sz="12" w:space="0"/>
        </w:tcBorders>
      </w:tcPr>
    </w:tblStylePr>
    <w:tblStylePr w:type="lastRow">
      <w:rPr>
        <w:b/>
        <w:bCs/>
      </w:rPr>
      <w:tcPr>
        <w:tcBorders>
          <w:top w:val="double" w:color="92CDDC" w:themeColor="accent5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72">
    <w:name w:val="标题 7 Char"/>
    <w:basedOn w:val="18"/>
    <w:link w:val="8"/>
    <w:qFormat/>
    <w:uiPriority w:val="9"/>
    <w:rPr>
      <w:rFonts w:eastAsia="宋体"/>
      <w:b/>
      <w:bCs/>
      <w:sz w:val="24"/>
      <w:szCs w:val="24"/>
    </w:rPr>
  </w:style>
  <w:style w:type="table" w:customStyle="1" w:styleId="73">
    <w:name w:val="华润城万象天地表样"/>
    <w:basedOn w:val="15"/>
    <w:qFormat/>
    <w:uiPriority w:val="0"/>
    <w:rPr>
      <w:rFonts w:ascii="宋体" w:hAnsi="宋体" w:eastAsia="Malgun Gothic" w:cs="Times New Roman"/>
      <w:kern w:val="0"/>
      <w:sz w:val="20"/>
      <w:szCs w:val="20"/>
    </w:rPr>
    <w:tblPr>
      <w:tblBorders>
        <w:top w:val="double" w:color="auto" w:sz="4" w:space="0"/>
        <w:left w:val="double" w:color="auto" w:sz="4" w:space="0"/>
        <w:bottom w:val="double" w:color="auto" w:sz="4" w:space="0"/>
        <w:right w:val="double" w:color="auto" w:sz="4" w:space="0"/>
        <w:insideH w:val="single" w:color="auto" w:sz="6" w:space="0"/>
        <w:insideV w:val="single" w:color="auto" w:sz="6" w:space="0"/>
      </w:tblBorders>
      <w:tblCellMar>
        <w:top w:w="57" w:type="dxa"/>
        <w:bottom w:w="57" w:type="dxa"/>
      </w:tblCellMar>
    </w:tblPr>
    <w:tblStylePr w:type="firstRow">
      <w:tcPr>
        <w:shd w:val="clear" w:color="000000" w:fill="C6D9F0" w:themeFill="text2" w:themeFillTint="33"/>
      </w:tcPr>
    </w:tblStylePr>
    <w:tblStylePr w:type="firstCol">
      <w:tcPr>
        <w:tcBorders>
          <w:top w:val="double" w:color="auto" w:sz="4" w:space="0"/>
          <w:left w:val="double" w:color="auto" w:sz="4" w:space="0"/>
          <w:bottom w:val="double" w:color="auto" w:sz="4" w:space="0"/>
          <w:right w:val="single" w:color="auto" w:sz="6" w:space="0"/>
          <w:insideH w:val="nil"/>
          <w:insideV w:val="nil"/>
          <w:tl2br w:val="nil"/>
          <w:tr2bl w:val="nil"/>
        </w:tcBorders>
        <w:shd w:val="clear" w:color="000000" w:fill="FBD4B4" w:themeFill="accent6" w:themeFillTint="66"/>
      </w:tcPr>
    </w:tblStylePr>
  </w:style>
  <w:style w:type="paragraph" w:customStyle="1" w:styleId="74">
    <w:name w:val="方案正文"/>
    <w:basedOn w:val="9"/>
    <w:next w:val="10"/>
    <w:autoRedefine/>
    <w:qFormat/>
    <w:uiPriority w:val="0"/>
    <w:pPr>
      <w:ind w:firstLine="480" w:firstLineChars="200"/>
      <w:jc w:val="both"/>
    </w:pPr>
    <w:rPr>
      <w:rFonts w:ascii="Times New Roman" w:hAnsi="Times New Roman" w:cs="Times New Roman"/>
      <w:bCs/>
      <w:color w:val="000000"/>
      <w:szCs w:val="24"/>
    </w:rPr>
  </w:style>
  <w:style w:type="paragraph" w:customStyle="1" w:styleId="75">
    <w:name w:val="表格内文字"/>
    <w:next w:val="1"/>
    <w:qFormat/>
    <w:uiPriority w:val="0"/>
    <w:pPr>
      <w:widowControl w:val="0"/>
      <w:spacing w:line="360" w:lineRule="auto"/>
      <w:jc w:val="center"/>
    </w:pPr>
    <w:rPr>
      <w:rFonts w:ascii="Times New Roman" w:hAnsi="Times New Roman" w:eastAsia="宋体" w:cs="Times New Roman"/>
      <w:sz w:val="24"/>
    </w:rPr>
  </w:style>
  <w:style w:type="paragraph" w:customStyle="1" w:styleId="76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character" w:customStyle="1" w:styleId="77">
    <w:name w:val="font31"/>
    <w:basedOn w:val="18"/>
    <w:qFormat/>
    <w:uiPriority w:val="0"/>
    <w:rPr>
      <w:rFonts w:hint="eastAsia" w:ascii="宋体" w:hAnsi="宋体" w:eastAsia="宋体" w:cs="宋体"/>
      <w:color w:val="000000"/>
      <w:sz w:val="29"/>
      <w:szCs w:val="29"/>
      <w:u w:val="none"/>
    </w:rPr>
  </w:style>
  <w:style w:type="character" w:customStyle="1" w:styleId="78">
    <w:name w:val="font21"/>
    <w:basedOn w:val="18"/>
    <w:qFormat/>
    <w:uiPriority w:val="0"/>
    <w:rPr>
      <w:rFonts w:hint="default" w:ascii="Times New Roman" w:hAnsi="Times New Roman" w:cs="Times New Roman"/>
      <w:color w:val="000000"/>
      <w:sz w:val="29"/>
      <w:szCs w:val="29"/>
      <w:u w:val="none"/>
    </w:rPr>
  </w:style>
  <w:style w:type="paragraph" w:customStyle="1" w:styleId="79">
    <w:name w:val="Table Paragraph"/>
    <w:basedOn w:val="1"/>
    <w:qFormat/>
    <w:uiPriority w:val="1"/>
    <w:rPr>
      <w:rFonts w:ascii="宋体" w:hAnsi="宋体" w:eastAsia="宋体" w:cs="宋体"/>
      <w:szCs w:val="24"/>
      <w:lang w:val="zh-CN" w:bidi="zh-CN"/>
    </w:rPr>
  </w:style>
  <w:style w:type="character" w:customStyle="1" w:styleId="80">
    <w:name w:val="font41"/>
    <w:basedOn w:val="18"/>
    <w:qFormat/>
    <w:uiPriority w:val="0"/>
    <w:rPr>
      <w:rFonts w:hint="eastAsia" w:ascii="宋体" w:hAnsi="宋体" w:eastAsia="宋体" w:cs="宋体"/>
      <w:color w:val="000000"/>
      <w:sz w:val="29"/>
      <w:szCs w:val="29"/>
      <w:u w:val="none"/>
    </w:rPr>
  </w:style>
  <w:style w:type="character" w:customStyle="1" w:styleId="81">
    <w:name w:val="font01"/>
    <w:basedOn w:val="1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>
          <a:blip xmlns:r="http://schemas.openxmlformats.org/officeDocument/2006/relationships" r:embed="rId1" cstate="print"/>
          <a:stretch>
            <a:fillRect/>
          </a:stretch>
        </a:blipFill>
      </a:spPr>
      <a:bodyPr wrap="square" lIns="0" tIns="0" rIns="0" bIns="0" rtlCol="0"/>
      <a:lstStyle/>
    </a:sp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518344-2977-4723-B8D6-9260D59B70E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2161</Words>
  <Characters>2596</Characters>
  <Lines>2217</Lines>
  <Paragraphs>624</Paragraphs>
  <TotalTime>28</TotalTime>
  <ScaleCrop>false</ScaleCrop>
  <LinksUpToDate>false</LinksUpToDate>
  <CharactersWithSpaces>2596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2024-09-12T07:18:00Z</dcterms:created>
  <dc:creator>坤</dc:creator>
  <cp:lastModifiedBy>鲤鱼之梦</cp:lastModifiedBy>
  <cp:lastPrinted>2024-09-13T09:58:00Z</cp:lastPrinted>
  <dcterms:modified xsi:type="dcterms:W3CDTF">2026-06-28T09:43:25Z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2CE4827A70334D1AA28F380858B4EF30_13</vt:lpwstr>
  </property>
  <property fmtid="{D5CDD505-2E9C-101B-9397-08002B2CF9AE}" pid="4" name="KSOTemplateDocerSaveRecord">
    <vt:lpwstr>eyJoZGlkIjoiOTE4OTBhMTM1ZGIxMWEzOTBkY2FmZjNiMWNkNjllYmIiLCJ1c2VySWQiOiIzMjU3MjEwMzIifQ==</vt:lpwstr>
  </property>
</Properties>
</file>