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F6EDA">
      <w:pPr>
        <w:pStyle w:val="14"/>
        <w:bidi w:val="0"/>
        <w:ind w:left="0" w:leftChars="0" w:firstLine="0" w:firstLineChars="0"/>
        <w:jc w:val="center"/>
        <w:rPr>
          <w:sz w:val="36"/>
          <w:szCs w:val="36"/>
        </w:rPr>
      </w:pPr>
      <w:r>
        <w:rPr>
          <w:sz w:val="36"/>
          <w:szCs w:val="36"/>
          <w:lang w:val="en-US" w:eastAsia="zh-CN"/>
        </w:rPr>
        <w:t>6.1：技术任务书（沥青混凝土）</w:t>
      </w:r>
    </w:p>
    <w:p w14:paraId="3538CDB6">
      <w:pPr>
        <w:pStyle w:val="3"/>
        <w:bidi w:val="0"/>
      </w:pPr>
      <w:r>
        <w:t>工程概况</w:t>
      </w:r>
      <w:bookmarkStart w:id="0" w:name="_GoBack"/>
      <w:bookmarkEnd w:id="0"/>
    </w:p>
    <w:p w14:paraId="6C78996A">
      <w:pPr>
        <w:pStyle w:val="4"/>
        <w:bidi w:val="0"/>
      </w:pPr>
      <w:r>
        <w:t>施工场地概况</w:t>
      </w:r>
    </w:p>
    <w:p w14:paraId="6B7F9F55">
      <w:pPr>
        <w:keepNext w:val="0"/>
        <w:keepLines w:val="0"/>
        <w:widowControl/>
        <w:suppressLineNumbers w:val="0"/>
        <w:jc w:val="left"/>
      </w:pPr>
      <w:r>
        <w:rPr>
          <w:rFonts w:ascii="宋体" w:hAnsi="宋体" w:eastAsia="宋体" w:cs="宋体"/>
          <w:kern w:val="0"/>
          <w:sz w:val="24"/>
          <w:szCs w:val="24"/>
          <w:lang w:val="en-US" w:eastAsia="zh-CN" w:bidi="ar"/>
        </w:rPr>
        <w:t>1.投标人需全面熟悉各学校场地现状、施工边界、校园管控要求、教学时段安排、机械进出条件，明确校园出入口位置、通行权限、道路限高限宽及承载能力，所有施工机械、材料运输车辆必须严格按照校方审批通过的进出场路径、通行时段行驶，严禁擅自更改路线、占用校园其他道路、碾压绿化带、消防通道。</w:t>
      </w:r>
    </w:p>
    <w:p w14:paraId="79AB17CE">
      <w:pPr>
        <w:keepNext w:val="0"/>
        <w:keepLines w:val="0"/>
        <w:widowControl/>
        <w:suppressLineNumbers w:val="0"/>
        <w:jc w:val="left"/>
      </w:pPr>
      <w:r>
        <w:rPr>
          <w:rFonts w:ascii="宋体" w:hAnsi="宋体" w:eastAsia="宋体" w:cs="宋体"/>
          <w:kern w:val="0"/>
          <w:sz w:val="24"/>
          <w:szCs w:val="24"/>
          <w:lang w:val="en-US" w:eastAsia="zh-CN" w:bidi="ar"/>
        </w:rPr>
        <w:t>2.机械与车辆进出场必须避开学生上下学高峰时段，确需在上述时段通行的，必须提前1个工作日报校方书面批准，安排专人全程指挥引导。</w:t>
      </w:r>
    </w:p>
    <w:p w14:paraId="61BD281C">
      <w:pPr>
        <w:keepNext w:val="0"/>
        <w:keepLines w:val="0"/>
        <w:widowControl/>
        <w:suppressLineNumbers w:val="0"/>
        <w:jc w:val="left"/>
      </w:pPr>
      <w:r>
        <w:rPr>
          <w:rFonts w:ascii="宋体" w:hAnsi="宋体" w:eastAsia="宋体" w:cs="宋体"/>
          <w:kern w:val="0"/>
          <w:sz w:val="24"/>
          <w:szCs w:val="24"/>
          <w:lang w:val="en-US" w:eastAsia="zh-CN" w:bidi="ar"/>
        </w:rPr>
        <w:t>3.车辆在校园内行驶速度不得超过5km/h，严禁鸣笛、超速、抢行，运输车辆出场前必须冲洗车轮、车厢，严禁带泥上路、沿途撒漏，严格遵守珠海市城市道路运输管理相关规定；AC-16中粒沥青混合料、AC-35C粗粒沥青混合料运输时，篷布覆盖须更严密，防止集料离析。</w:t>
      </w:r>
    </w:p>
    <w:p w14:paraId="3C213668">
      <w:pPr>
        <w:keepNext w:val="0"/>
        <w:keepLines w:val="0"/>
        <w:widowControl/>
        <w:suppressLineNumbers w:val="0"/>
        <w:jc w:val="left"/>
      </w:pPr>
      <w:r>
        <w:rPr>
          <w:rFonts w:ascii="宋体" w:hAnsi="宋体" w:eastAsia="宋体" w:cs="宋体"/>
          <w:kern w:val="0"/>
          <w:sz w:val="24"/>
          <w:szCs w:val="24"/>
          <w:lang w:val="en-US" w:eastAsia="zh-CN" w:bidi="ar"/>
        </w:rPr>
        <w:t>4.摊铺机、压路机、铣刨机等大型机械进场前，须提前24h报备校方，进场后必须停放在划定的封闭施工区域内，严禁在校园内随意停放、转场；机械转场必须全程封闭、专人引导，避开学生活动区域。所有进场施工机械必须验收合格，具备年检合格证、特种设备操作证，报监理备案后方可使用，严禁使用报废、无合格证、带病运行的机械。</w:t>
      </w:r>
    </w:p>
    <w:p w14:paraId="6534EA8D">
      <w:pPr>
        <w:keepNext w:val="0"/>
        <w:keepLines w:val="0"/>
        <w:widowControl/>
        <w:suppressLineNumbers w:val="0"/>
        <w:jc w:val="left"/>
      </w:pPr>
      <w:r>
        <w:rPr>
          <w:rFonts w:ascii="宋体" w:hAnsi="宋体" w:eastAsia="宋体" w:cs="宋体"/>
          <w:kern w:val="0"/>
          <w:sz w:val="24"/>
          <w:szCs w:val="24"/>
          <w:lang w:val="en-US" w:eastAsia="zh-CN" w:bidi="ar"/>
        </w:rPr>
        <w:t>5.施工废水、废料、垃圾的排放及清运路线，严格执行校方指定处置要求。</w:t>
      </w:r>
    </w:p>
    <w:p w14:paraId="6A640AD9">
      <w:pPr>
        <w:keepNext w:val="0"/>
        <w:keepLines w:val="0"/>
        <w:widowControl/>
        <w:suppressLineNumbers w:val="0"/>
        <w:jc w:val="left"/>
      </w:pPr>
      <w:r>
        <w:rPr>
          <w:rFonts w:ascii="宋体" w:hAnsi="宋体" w:eastAsia="宋体" w:cs="宋体"/>
          <w:kern w:val="0"/>
          <w:sz w:val="24"/>
          <w:szCs w:val="24"/>
          <w:lang w:val="en-US" w:eastAsia="zh-CN" w:bidi="ar"/>
        </w:rPr>
        <w:t>6.施工全过程服从校方日常管理、教学秩序管控，遵守临时活动及考试期间停工要求。</w:t>
      </w:r>
    </w:p>
    <w:p w14:paraId="1A149A28">
      <w:pPr>
        <w:pStyle w:val="4"/>
        <w:bidi w:val="0"/>
      </w:pPr>
      <w:r>
        <w:t>工期要求</w:t>
      </w:r>
    </w:p>
    <w:p w14:paraId="301B69A4">
      <w:pPr>
        <w:keepNext w:val="0"/>
        <w:keepLines w:val="0"/>
        <w:widowControl/>
        <w:suppressLineNumbers w:val="0"/>
        <w:jc w:val="left"/>
      </w:pPr>
      <w:r>
        <w:rPr>
          <w:rFonts w:ascii="宋体" w:hAnsi="宋体" w:eastAsia="宋体" w:cs="宋体"/>
          <w:kern w:val="0"/>
          <w:sz w:val="24"/>
          <w:szCs w:val="24"/>
          <w:lang w:val="en-US" w:eastAsia="zh-CN" w:bidi="ar"/>
        </w:rPr>
        <w:t>1.本项目总工期：120日历天，中标方须严格按照招标人下达的总工期及各校区节点工期计划组织施工，确保按期完工。</w:t>
      </w:r>
    </w:p>
    <w:p w14:paraId="39C28760">
      <w:pPr>
        <w:keepNext w:val="0"/>
        <w:keepLines w:val="0"/>
        <w:widowControl/>
        <w:suppressLineNumbers w:val="0"/>
        <w:jc w:val="left"/>
      </w:pPr>
      <w:r>
        <w:rPr>
          <w:rFonts w:ascii="宋体" w:hAnsi="宋体" w:eastAsia="宋体" w:cs="宋体"/>
          <w:kern w:val="0"/>
          <w:sz w:val="24"/>
          <w:szCs w:val="24"/>
          <w:lang w:val="en-US" w:eastAsia="zh-CN" w:bidi="ar"/>
        </w:rPr>
        <w:t>2.各校区的施工先后顺序，招标人有权根据校方实际需求调整。</w:t>
      </w:r>
    </w:p>
    <w:p w14:paraId="2E30FE5C">
      <w:pPr>
        <w:pStyle w:val="3"/>
        <w:bidi w:val="0"/>
      </w:pPr>
      <w:r>
        <w:t>编制依据</w:t>
      </w:r>
    </w:p>
    <w:p w14:paraId="167C8F80">
      <w:pPr>
        <w:keepNext w:val="0"/>
        <w:keepLines w:val="0"/>
        <w:widowControl/>
        <w:suppressLineNumbers w:val="0"/>
        <w:jc w:val="left"/>
      </w:pPr>
      <w:r>
        <w:rPr>
          <w:rFonts w:ascii="宋体" w:hAnsi="宋体" w:eastAsia="宋体" w:cs="宋体"/>
          <w:kern w:val="0"/>
          <w:sz w:val="24"/>
          <w:szCs w:val="24"/>
          <w:lang w:val="en-US" w:eastAsia="zh-CN" w:bidi="ar"/>
        </w:rPr>
        <w:t>为确保本项目施工过程合规、质量可控，严格遵循相关技术要求及规范标准，特汇总本项目所需各类技术资料及规范，明确各项依据，为项目施工、验收及管理工作提供支撑。</w:t>
      </w:r>
    </w:p>
    <w:tbl>
      <w:tblPr>
        <w:tblW w:w="93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69"/>
        <w:gridCol w:w="5971"/>
        <w:gridCol w:w="2534"/>
      </w:tblGrid>
      <w:tr w14:paraId="7165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blHeader/>
        </w:trPr>
        <w:tc>
          <w:tcPr>
            <w:tcW w:w="869" w:type="dxa"/>
            <w:tcBorders>
              <w:top w:val="single" w:color="000000" w:themeColor="dark1"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78490C4E">
            <w:pPr>
              <w:pStyle w:val="31"/>
              <w:bidi w:val="0"/>
              <w:rPr>
                <w:b/>
                <w:i w:val="0"/>
                <w:color w:val="000000" w:themeColor="dark1"/>
                <w14:textFill>
                  <w14:solidFill>
                    <w14:schemeClr w14:val="dk1"/>
                  </w14:solidFill>
                </w14:textFill>
              </w:rPr>
            </w:pPr>
            <w:r>
              <w:rPr>
                <w:b/>
                <w:i w:val="0"/>
                <w:color w:val="000000" w:themeColor="dark1"/>
                <w:lang w:val="en-US" w:eastAsia="zh-CN"/>
                <w14:textFill>
                  <w14:solidFill>
                    <w14:schemeClr w14:val="dk1"/>
                  </w14:solidFill>
                </w14:textFill>
              </w:rPr>
              <w:t>序号</w:t>
            </w:r>
          </w:p>
        </w:tc>
        <w:tc>
          <w:tcPr>
            <w:tcW w:w="5971" w:type="dxa"/>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31349B36">
            <w:pPr>
              <w:pStyle w:val="31"/>
              <w:bidi w:val="0"/>
              <w:rPr>
                <w:b/>
                <w:i w:val="0"/>
                <w:color w:val="000000" w:themeColor="dark1"/>
                <w14:textFill>
                  <w14:solidFill>
                    <w14:schemeClr w14:val="dk1"/>
                  </w14:solidFill>
                </w14:textFill>
              </w:rPr>
            </w:pPr>
            <w:r>
              <w:rPr>
                <w:b/>
                <w:i w:val="0"/>
                <w:color w:val="000000" w:themeColor="dark1"/>
                <w:lang w:val="en-US" w:eastAsia="zh-CN"/>
                <w14:textFill>
                  <w14:solidFill>
                    <w14:schemeClr w14:val="dk1"/>
                  </w14:solidFill>
                </w14:textFill>
              </w:rPr>
              <w:t>资料/规范名称</w:t>
            </w:r>
          </w:p>
        </w:tc>
        <w:tc>
          <w:tcPr>
            <w:tcW w:w="2534" w:type="dxa"/>
            <w:tcBorders>
              <w:top w:val="single" w:color="000000" w:themeColor="dark1"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488460E9">
            <w:pPr>
              <w:pStyle w:val="31"/>
              <w:bidi w:val="0"/>
              <w:rPr>
                <w:b/>
                <w:i w:val="0"/>
                <w:color w:val="000000" w:themeColor="dark1"/>
                <w14:textFill>
                  <w14:solidFill>
                    <w14:schemeClr w14:val="dk1"/>
                  </w14:solidFill>
                </w14:textFill>
              </w:rPr>
            </w:pPr>
            <w:r>
              <w:rPr>
                <w:b/>
                <w:i w:val="0"/>
                <w:color w:val="000000" w:themeColor="dark1"/>
                <w:lang w:val="en-US" w:eastAsia="zh-CN"/>
                <w14:textFill>
                  <w14:solidFill>
                    <w14:schemeClr w14:val="dk1"/>
                  </w14:solidFill>
                </w14:textFill>
              </w:rPr>
              <w:t>规范编号</w:t>
            </w:r>
          </w:p>
        </w:tc>
      </w:tr>
      <w:tr w14:paraId="79E3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6A68945A">
            <w:pPr>
              <w:pStyle w:val="31"/>
              <w:bidi w:val="0"/>
              <w:rPr>
                <w:b w:val="0"/>
                <w:i w:val="0"/>
                <w:color w:val="000000"/>
              </w:rPr>
            </w:pPr>
            <w:r>
              <w:rPr>
                <w:b w:val="0"/>
                <w:i w:val="0"/>
                <w:color w:val="000000"/>
                <w:lang w:val="en-US" w:eastAsia="zh-CN"/>
              </w:rPr>
              <w:t>1</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170AF5C7">
            <w:pPr>
              <w:pStyle w:val="31"/>
              <w:bidi w:val="0"/>
              <w:rPr>
                <w:b w:val="0"/>
                <w:i w:val="0"/>
                <w:color w:val="000000"/>
              </w:rPr>
            </w:pPr>
            <w:r>
              <w:rPr>
                <w:b w:val="0"/>
                <w:i w:val="0"/>
                <w:color w:val="000000"/>
                <w:lang w:val="en-US" w:eastAsia="zh-CN"/>
              </w:rPr>
              <w:t>本项目设计文件、设计沥青层做法一览表及相关技术资料</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31693BFB">
            <w:pPr>
              <w:pStyle w:val="31"/>
              <w:bidi w:val="0"/>
              <w:rPr>
                <w:b w:val="0"/>
                <w:i w:val="0"/>
                <w:color w:val="000000"/>
              </w:rPr>
            </w:pPr>
            <w:r>
              <w:rPr>
                <w:b w:val="0"/>
                <w:i w:val="0"/>
                <w:color w:val="000000"/>
                <w:lang w:val="en-US" w:eastAsia="zh-CN"/>
              </w:rPr>
              <w:t>/</w:t>
            </w:r>
          </w:p>
        </w:tc>
      </w:tr>
      <w:tr w14:paraId="2F4C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7FFF3BBA">
            <w:pPr>
              <w:pStyle w:val="31"/>
              <w:bidi w:val="0"/>
              <w:rPr>
                <w:b w:val="0"/>
                <w:i w:val="0"/>
                <w:color w:val="000000"/>
              </w:rPr>
            </w:pPr>
            <w:r>
              <w:rPr>
                <w:b w:val="0"/>
                <w:i w:val="0"/>
                <w:color w:val="000000"/>
                <w:lang w:val="en-US" w:eastAsia="zh-CN"/>
              </w:rPr>
              <w:t>2</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45D57D92">
            <w:pPr>
              <w:pStyle w:val="31"/>
              <w:bidi w:val="0"/>
              <w:rPr>
                <w:b w:val="0"/>
                <w:i w:val="0"/>
                <w:color w:val="000000"/>
              </w:rPr>
            </w:pPr>
            <w:r>
              <w:rPr>
                <w:b w:val="0"/>
                <w:i w:val="0"/>
                <w:color w:val="000000"/>
                <w:lang w:val="en-US" w:eastAsia="zh-CN"/>
              </w:rPr>
              <w:t>公路沥青路面施工技术规范</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38A61FC5">
            <w:pPr>
              <w:pStyle w:val="31"/>
              <w:bidi w:val="0"/>
              <w:rPr>
                <w:b w:val="0"/>
                <w:i w:val="0"/>
                <w:color w:val="000000"/>
              </w:rPr>
            </w:pPr>
            <w:r>
              <w:rPr>
                <w:b w:val="0"/>
                <w:i w:val="0"/>
                <w:color w:val="000000"/>
                <w:lang w:val="en-US" w:eastAsia="zh-CN"/>
              </w:rPr>
              <w:t>JTGF40</w:t>
            </w:r>
          </w:p>
        </w:tc>
      </w:tr>
      <w:tr w14:paraId="7D5B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1053316D">
            <w:pPr>
              <w:pStyle w:val="31"/>
              <w:bidi w:val="0"/>
              <w:rPr>
                <w:b w:val="0"/>
                <w:i w:val="0"/>
                <w:color w:val="000000"/>
              </w:rPr>
            </w:pPr>
            <w:r>
              <w:rPr>
                <w:b w:val="0"/>
                <w:i w:val="0"/>
                <w:color w:val="000000"/>
                <w:lang w:val="en-US" w:eastAsia="zh-CN"/>
              </w:rPr>
              <w:t>3</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49F8B34E">
            <w:pPr>
              <w:pStyle w:val="31"/>
              <w:bidi w:val="0"/>
              <w:rPr>
                <w:b w:val="0"/>
                <w:i w:val="0"/>
                <w:color w:val="000000"/>
              </w:rPr>
            </w:pPr>
            <w:r>
              <w:rPr>
                <w:b w:val="0"/>
                <w:i w:val="0"/>
                <w:color w:val="000000"/>
                <w:lang w:val="en-US" w:eastAsia="zh-CN"/>
              </w:rPr>
              <w:t>城镇道路工程施工与质量验收规范</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1F5084F2">
            <w:pPr>
              <w:pStyle w:val="31"/>
              <w:bidi w:val="0"/>
              <w:rPr>
                <w:b w:val="0"/>
                <w:i w:val="0"/>
                <w:color w:val="000000"/>
              </w:rPr>
            </w:pPr>
            <w:r>
              <w:rPr>
                <w:b w:val="0"/>
                <w:i w:val="0"/>
                <w:color w:val="000000"/>
                <w:lang w:val="en-US" w:eastAsia="zh-CN"/>
              </w:rPr>
              <w:t>CJJ1</w:t>
            </w:r>
          </w:p>
        </w:tc>
      </w:tr>
      <w:tr w14:paraId="77929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24F7CC1F">
            <w:pPr>
              <w:pStyle w:val="31"/>
              <w:bidi w:val="0"/>
              <w:rPr>
                <w:b w:val="0"/>
                <w:i w:val="0"/>
                <w:color w:val="000000"/>
              </w:rPr>
            </w:pPr>
            <w:r>
              <w:rPr>
                <w:b w:val="0"/>
                <w:i w:val="0"/>
                <w:color w:val="000000"/>
                <w:lang w:val="en-US" w:eastAsia="zh-CN"/>
              </w:rPr>
              <w:t>4</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3AC11F55">
            <w:pPr>
              <w:pStyle w:val="31"/>
              <w:bidi w:val="0"/>
              <w:rPr>
                <w:b w:val="0"/>
                <w:i w:val="0"/>
                <w:color w:val="000000"/>
              </w:rPr>
            </w:pPr>
            <w:r>
              <w:rPr>
                <w:b w:val="0"/>
                <w:i w:val="0"/>
                <w:color w:val="000000"/>
                <w:lang w:val="en-US" w:eastAsia="zh-CN"/>
              </w:rPr>
              <w:t>中小学合成材料面层运动场地</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012B01F6">
            <w:pPr>
              <w:pStyle w:val="31"/>
              <w:bidi w:val="0"/>
              <w:rPr>
                <w:b w:val="0"/>
                <w:i w:val="0"/>
                <w:color w:val="000000"/>
              </w:rPr>
            </w:pPr>
            <w:r>
              <w:rPr>
                <w:b w:val="0"/>
                <w:i w:val="0"/>
                <w:color w:val="000000"/>
                <w:lang w:val="en-US" w:eastAsia="zh-CN"/>
              </w:rPr>
              <w:t>GB36246-2018</w:t>
            </w:r>
          </w:p>
        </w:tc>
      </w:tr>
      <w:tr w14:paraId="0A7A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5ED75075">
            <w:pPr>
              <w:pStyle w:val="31"/>
              <w:bidi w:val="0"/>
              <w:rPr>
                <w:b w:val="0"/>
                <w:i w:val="0"/>
                <w:color w:val="000000"/>
              </w:rPr>
            </w:pPr>
            <w:r>
              <w:rPr>
                <w:b w:val="0"/>
                <w:i w:val="0"/>
                <w:color w:val="000000"/>
                <w:lang w:val="en-US" w:eastAsia="zh-CN"/>
              </w:rPr>
              <w:t>5</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51F70927">
            <w:pPr>
              <w:pStyle w:val="31"/>
              <w:bidi w:val="0"/>
              <w:rPr>
                <w:b w:val="0"/>
                <w:i w:val="0"/>
                <w:color w:val="000000"/>
              </w:rPr>
            </w:pPr>
            <w:r>
              <w:rPr>
                <w:b w:val="0"/>
                <w:i w:val="0"/>
                <w:color w:val="000000"/>
                <w:lang w:val="en-US" w:eastAsia="zh-CN"/>
              </w:rPr>
              <w:t>合成材料跑道面层工程技术标准</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78B40F6A">
            <w:pPr>
              <w:pStyle w:val="31"/>
              <w:bidi w:val="0"/>
              <w:rPr>
                <w:b w:val="0"/>
                <w:i w:val="0"/>
                <w:color w:val="000000"/>
              </w:rPr>
            </w:pPr>
            <w:r>
              <w:rPr>
                <w:b w:val="0"/>
                <w:i w:val="0"/>
                <w:color w:val="000000"/>
                <w:lang w:val="en-US" w:eastAsia="zh-CN"/>
              </w:rPr>
              <w:t>GB/T51480-2024</w:t>
            </w:r>
          </w:p>
        </w:tc>
      </w:tr>
      <w:tr w14:paraId="7AFCC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605895C2">
            <w:pPr>
              <w:pStyle w:val="31"/>
              <w:bidi w:val="0"/>
              <w:rPr>
                <w:b w:val="0"/>
                <w:i w:val="0"/>
                <w:color w:val="000000"/>
              </w:rPr>
            </w:pPr>
            <w:r>
              <w:rPr>
                <w:b w:val="0"/>
                <w:i w:val="0"/>
                <w:color w:val="000000"/>
                <w:lang w:val="en-US" w:eastAsia="zh-CN"/>
              </w:rPr>
              <w:t>6</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4BBA91D9">
            <w:pPr>
              <w:pStyle w:val="31"/>
              <w:bidi w:val="0"/>
              <w:rPr>
                <w:b w:val="0"/>
                <w:i w:val="0"/>
                <w:color w:val="000000"/>
              </w:rPr>
            </w:pPr>
            <w:r>
              <w:rPr>
                <w:b w:val="0"/>
                <w:i w:val="0"/>
                <w:color w:val="000000"/>
                <w:lang w:val="en-US" w:eastAsia="zh-CN"/>
              </w:rPr>
              <w:t>建筑地基基础工程施工质量验收标准</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37B3AE79">
            <w:pPr>
              <w:pStyle w:val="31"/>
              <w:bidi w:val="0"/>
              <w:rPr>
                <w:b w:val="0"/>
                <w:i w:val="0"/>
                <w:color w:val="000000"/>
              </w:rPr>
            </w:pPr>
            <w:r>
              <w:rPr>
                <w:b w:val="0"/>
                <w:i w:val="0"/>
                <w:color w:val="000000"/>
                <w:lang w:val="en-US" w:eastAsia="zh-CN"/>
              </w:rPr>
              <w:t>GB50202</w:t>
            </w:r>
          </w:p>
        </w:tc>
      </w:tr>
      <w:tr w14:paraId="3B1C7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07F37DBA">
            <w:pPr>
              <w:pStyle w:val="31"/>
              <w:bidi w:val="0"/>
              <w:rPr>
                <w:b w:val="0"/>
                <w:i w:val="0"/>
                <w:color w:val="000000"/>
              </w:rPr>
            </w:pPr>
            <w:r>
              <w:rPr>
                <w:b w:val="0"/>
                <w:i w:val="0"/>
                <w:color w:val="000000"/>
                <w:lang w:val="en-US" w:eastAsia="zh-CN"/>
              </w:rPr>
              <w:t>7</w:t>
            </w:r>
          </w:p>
        </w:tc>
        <w:tc>
          <w:tcPr>
            <w:tcW w:w="5971" w:type="dxa"/>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tcMar>
              <w:top w:w="120" w:type="dxa"/>
              <w:left w:w="120" w:type="dxa"/>
              <w:bottom w:w="120" w:type="dxa"/>
              <w:right w:w="120" w:type="dxa"/>
            </w:tcMar>
            <w:vAlign w:val="top"/>
          </w:tcPr>
          <w:p w14:paraId="6F7FF31E">
            <w:pPr>
              <w:pStyle w:val="31"/>
              <w:bidi w:val="0"/>
              <w:rPr>
                <w:b w:val="0"/>
                <w:i w:val="0"/>
                <w:color w:val="000000"/>
              </w:rPr>
            </w:pPr>
            <w:r>
              <w:rPr>
                <w:b w:val="0"/>
                <w:i w:val="0"/>
                <w:color w:val="000000"/>
                <w:lang w:val="en-US" w:eastAsia="zh-CN"/>
              </w:rPr>
              <w:t>混凝土结构工程施工质量验收规范</w:t>
            </w:r>
          </w:p>
        </w:tc>
        <w:tc>
          <w:tcPr>
            <w:tcW w:w="253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top w:w="120" w:type="dxa"/>
              <w:left w:w="120" w:type="dxa"/>
              <w:bottom w:w="120" w:type="dxa"/>
              <w:right w:w="120" w:type="dxa"/>
            </w:tcMar>
            <w:vAlign w:val="top"/>
          </w:tcPr>
          <w:p w14:paraId="57802668">
            <w:pPr>
              <w:pStyle w:val="31"/>
              <w:bidi w:val="0"/>
              <w:rPr>
                <w:b w:val="0"/>
                <w:i w:val="0"/>
                <w:color w:val="000000"/>
              </w:rPr>
            </w:pPr>
            <w:r>
              <w:rPr>
                <w:b w:val="0"/>
                <w:i w:val="0"/>
                <w:color w:val="000000"/>
                <w:lang w:val="en-US" w:eastAsia="zh-CN"/>
              </w:rPr>
              <w:t>GB50204</w:t>
            </w:r>
          </w:p>
        </w:tc>
      </w:tr>
      <w:tr w14:paraId="253A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trPr>
        <w:tc>
          <w:tcPr>
            <w:tcW w:w="869" w:type="dxa"/>
            <w:tcBorders>
              <w:top w:val="single" w:color="999999" w:themeColor="dark1" w:themeTint="66" w:sz="6" w:space="0"/>
              <w:left w:val="single" w:color="000000" w:themeColor="dark1" w:sz="6" w:space="0"/>
              <w:bottom w:val="single" w:color="000000" w:themeColor="dark1" w:sz="6" w:space="0"/>
              <w:right w:val="single" w:color="999999" w:themeColor="dark1" w:themeTint="66" w:sz="6" w:space="0"/>
            </w:tcBorders>
            <w:shd w:val="clear" w:color="auto" w:fill="FFFFFF"/>
            <w:tcMar>
              <w:top w:w="120" w:type="dxa"/>
              <w:left w:w="120" w:type="dxa"/>
              <w:bottom w:w="120" w:type="dxa"/>
              <w:right w:w="120" w:type="dxa"/>
            </w:tcMar>
            <w:vAlign w:val="top"/>
          </w:tcPr>
          <w:p w14:paraId="267F1AD4">
            <w:pPr>
              <w:pStyle w:val="31"/>
              <w:bidi w:val="0"/>
              <w:rPr>
                <w:b w:val="0"/>
                <w:i w:val="0"/>
                <w:color w:val="000000"/>
              </w:rPr>
            </w:pPr>
            <w:r>
              <w:rPr>
                <w:b w:val="0"/>
                <w:i w:val="0"/>
                <w:color w:val="000000"/>
                <w:lang w:val="en-US" w:eastAsia="zh-CN"/>
              </w:rPr>
              <w:t>8</w:t>
            </w:r>
          </w:p>
        </w:tc>
        <w:tc>
          <w:tcPr>
            <w:tcW w:w="5971" w:type="dxa"/>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tcMar>
              <w:top w:w="120" w:type="dxa"/>
              <w:left w:w="120" w:type="dxa"/>
              <w:bottom w:w="120" w:type="dxa"/>
              <w:right w:w="120" w:type="dxa"/>
            </w:tcMar>
            <w:vAlign w:val="top"/>
          </w:tcPr>
          <w:p w14:paraId="7D62474A">
            <w:pPr>
              <w:pStyle w:val="31"/>
              <w:bidi w:val="0"/>
              <w:rPr>
                <w:b w:val="0"/>
                <w:i w:val="0"/>
                <w:color w:val="000000"/>
              </w:rPr>
            </w:pPr>
            <w:r>
              <w:rPr>
                <w:b w:val="0"/>
                <w:i w:val="0"/>
                <w:color w:val="000000"/>
                <w:lang w:val="en-US" w:eastAsia="zh-CN"/>
              </w:rPr>
              <w:t>国家、广东省、珠海市现行的安全生产、文明施工、环境保护、校园安全管理、中小学教学秩序保障相关法律法规及规范标准</w:t>
            </w:r>
          </w:p>
        </w:tc>
        <w:tc>
          <w:tcPr>
            <w:tcW w:w="2534" w:type="dxa"/>
            <w:tcBorders>
              <w:top w:val="single" w:color="999999" w:themeColor="dark1" w:themeTint="66" w:sz="6" w:space="0"/>
              <w:left w:val="single" w:color="999999" w:themeColor="dark1" w:themeTint="66" w:sz="6" w:space="0"/>
              <w:bottom w:val="single" w:color="000000" w:themeColor="dark1" w:sz="6" w:space="0"/>
              <w:right w:val="single" w:color="000000" w:themeColor="dark1" w:sz="6" w:space="0"/>
            </w:tcBorders>
            <w:shd w:val="clear" w:color="auto" w:fill="FFFFFF"/>
            <w:tcMar>
              <w:top w:w="120" w:type="dxa"/>
              <w:left w:w="120" w:type="dxa"/>
              <w:bottom w:w="120" w:type="dxa"/>
              <w:right w:w="120" w:type="dxa"/>
            </w:tcMar>
            <w:vAlign w:val="top"/>
          </w:tcPr>
          <w:p w14:paraId="514B8D70">
            <w:pPr>
              <w:pStyle w:val="31"/>
              <w:bidi w:val="0"/>
              <w:rPr>
                <w:b w:val="0"/>
                <w:i w:val="0"/>
                <w:color w:val="000000"/>
              </w:rPr>
            </w:pPr>
            <w:r>
              <w:rPr>
                <w:b w:val="0"/>
                <w:i w:val="0"/>
                <w:color w:val="000000"/>
                <w:lang w:val="en-US" w:eastAsia="zh-CN"/>
              </w:rPr>
              <w:t>/</w:t>
            </w:r>
          </w:p>
        </w:tc>
      </w:tr>
    </w:tbl>
    <w:p w14:paraId="723D6F91">
      <w:pPr>
        <w:pStyle w:val="3"/>
        <w:bidi w:val="0"/>
      </w:pPr>
      <w:r>
        <w:t>材料技术要求</w:t>
      </w:r>
    </w:p>
    <w:p w14:paraId="4E953367">
      <w:pPr>
        <w:pStyle w:val="4"/>
        <w:bidi w:val="0"/>
      </w:pPr>
      <w:r>
        <w:t>改性沥青结合料</w:t>
      </w:r>
    </w:p>
    <w:p w14:paraId="69F97F7E">
      <w:pPr>
        <w:keepNext w:val="0"/>
        <w:keepLines w:val="0"/>
        <w:widowControl/>
        <w:suppressLineNumbers w:val="0"/>
        <w:jc w:val="left"/>
      </w:pPr>
      <w:r>
        <w:rPr>
          <w:rFonts w:ascii="宋体" w:hAnsi="宋体" w:eastAsia="宋体" w:cs="宋体"/>
          <w:kern w:val="0"/>
          <w:sz w:val="24"/>
          <w:szCs w:val="24"/>
          <w:lang w:val="en-US" w:eastAsia="zh-CN" w:bidi="ar"/>
        </w:rPr>
        <w:t>1.改性沥青技术性能须符合《公路沥青路面施工技术规范》JTGF40的要求，针入度（25℃）40~60（0.1mm）、延度（5℃）≥20cm、软化点≥60℃、运动粘度（135℃）≤3Pa·s等核心指标须满足规范标准，适用于AC-10、AC-16、AC-35C三种规格沥青混凝土。</w:t>
      </w:r>
    </w:p>
    <w:p w14:paraId="6F369BAE">
      <w:pPr>
        <w:keepNext w:val="0"/>
        <w:keepLines w:val="0"/>
        <w:widowControl/>
        <w:suppressLineNumbers w:val="0"/>
        <w:jc w:val="left"/>
      </w:pPr>
      <w:r>
        <w:rPr>
          <w:rFonts w:ascii="宋体" w:hAnsi="宋体" w:eastAsia="宋体" w:cs="宋体"/>
          <w:kern w:val="0"/>
          <w:sz w:val="24"/>
          <w:szCs w:val="24"/>
          <w:lang w:val="en-US" w:eastAsia="zh-CN" w:bidi="ar"/>
        </w:rPr>
        <w:t>2.严禁使用煤焦油沥青及含煤焦油成分的改性沥青，严禁使用回收废旧沥青加工的再生沥青，严禁使用非标改性沥青。</w:t>
      </w:r>
    </w:p>
    <w:p w14:paraId="0695E16E">
      <w:pPr>
        <w:keepNext w:val="0"/>
        <w:keepLines w:val="0"/>
        <w:widowControl/>
        <w:suppressLineNumbers w:val="0"/>
        <w:jc w:val="left"/>
      </w:pPr>
      <w:r>
        <w:rPr>
          <w:rFonts w:ascii="宋体" w:hAnsi="宋体" w:eastAsia="宋体" w:cs="宋体"/>
          <w:kern w:val="0"/>
          <w:sz w:val="24"/>
          <w:szCs w:val="24"/>
          <w:lang w:val="en-US" w:eastAsia="zh-CN" w:bidi="ar"/>
        </w:rPr>
        <w:t>3.沥青进场须提供完整的出厂合格证、厂家检验报告、环保检测报告，进场后按批次（每批次不超过50t）见证取样复检，复检合格后方可使用，严禁使用不合格、过期、来源不明的沥青材料。</w:t>
      </w:r>
    </w:p>
    <w:p w14:paraId="44B667FE">
      <w:pPr>
        <w:pStyle w:val="4"/>
        <w:bidi w:val="0"/>
      </w:pPr>
      <w:r>
        <w:t>集料与矿粉</w:t>
      </w:r>
    </w:p>
    <w:p w14:paraId="23EBCA3F">
      <w:pPr>
        <w:pStyle w:val="5"/>
        <w:bidi w:val="0"/>
      </w:pPr>
      <w:r>
        <w:t>通用要求</w:t>
      </w:r>
    </w:p>
    <w:p w14:paraId="53DEB880">
      <w:pPr>
        <w:keepNext w:val="0"/>
        <w:keepLines w:val="0"/>
        <w:widowControl/>
        <w:suppressLineNumbers w:val="0"/>
        <w:jc w:val="left"/>
      </w:pPr>
      <w:r>
        <w:rPr>
          <w:rFonts w:ascii="宋体" w:hAnsi="宋体" w:eastAsia="宋体" w:cs="宋体"/>
          <w:kern w:val="0"/>
          <w:sz w:val="24"/>
          <w:szCs w:val="24"/>
          <w:lang w:val="en-US" w:eastAsia="zh-CN" w:bidi="ar"/>
        </w:rPr>
        <w:t>1.粗集料：采用坚硬、耐磨、洁净的玄武岩或辉绿岩碎石，无风化、无杂质、无软弱颗粒；严禁使用再生集料、回收废旧集料加工的碎石。</w:t>
      </w:r>
    </w:p>
    <w:p w14:paraId="5320926A">
      <w:pPr>
        <w:keepNext w:val="0"/>
        <w:keepLines w:val="0"/>
        <w:widowControl/>
        <w:suppressLineNumbers w:val="0"/>
        <w:jc w:val="left"/>
      </w:pPr>
      <w:r>
        <w:rPr>
          <w:rFonts w:ascii="宋体" w:hAnsi="宋体" w:eastAsia="宋体" w:cs="宋体"/>
          <w:kern w:val="0"/>
          <w:sz w:val="24"/>
          <w:szCs w:val="24"/>
          <w:lang w:val="en-US" w:eastAsia="zh-CN" w:bidi="ar"/>
        </w:rPr>
        <w:t>2.细集料：采用洁净、干燥、无风化、无杂质的机制砂，严禁使用海砂、山皮砂、风化砂。</w:t>
      </w:r>
    </w:p>
    <w:p w14:paraId="193D6FF5">
      <w:pPr>
        <w:keepNext w:val="0"/>
        <w:keepLines w:val="0"/>
        <w:widowControl/>
        <w:suppressLineNumbers w:val="0"/>
        <w:jc w:val="left"/>
      </w:pPr>
      <w:r>
        <w:rPr>
          <w:rFonts w:ascii="宋体" w:hAnsi="宋体" w:eastAsia="宋体" w:cs="宋体"/>
          <w:kern w:val="0"/>
          <w:sz w:val="24"/>
          <w:szCs w:val="24"/>
          <w:lang w:val="en-US" w:eastAsia="zh-CN" w:bidi="ar"/>
        </w:rPr>
        <w:t>3.矿粉：采用石灰岩等憎水性石料磨制的矿粉，干燥、洁净，无结块，亲水系数≤1，塑性指数≤4，不得使用回收粉尘。</w:t>
      </w:r>
    </w:p>
    <w:p w14:paraId="48D62FF5">
      <w:pPr>
        <w:keepNext w:val="0"/>
        <w:keepLines w:val="0"/>
        <w:widowControl/>
        <w:suppressLineNumbers w:val="0"/>
        <w:jc w:val="left"/>
      </w:pPr>
      <w:r>
        <w:rPr>
          <w:rFonts w:ascii="宋体" w:hAnsi="宋体" w:eastAsia="宋体" w:cs="宋体"/>
          <w:kern w:val="0"/>
          <w:sz w:val="24"/>
          <w:szCs w:val="24"/>
          <w:lang w:val="en-US" w:eastAsia="zh-CN" w:bidi="ar"/>
        </w:rPr>
        <w:t>4.所有集料、矿粉的有害物质限量须符合GB36246-2018规范要求，进场须提供对应检测报告。</w:t>
      </w:r>
    </w:p>
    <w:p w14:paraId="006CF548">
      <w:pPr>
        <w:pStyle w:val="5"/>
        <w:bidi w:val="0"/>
      </w:pPr>
      <w:r>
        <w:t>AC-10细粒改性沥青混凝土集料要求</w:t>
      </w:r>
    </w:p>
    <w:p w14:paraId="06CD4DD5">
      <w:pPr>
        <w:keepNext w:val="0"/>
        <w:keepLines w:val="0"/>
        <w:widowControl/>
        <w:suppressLineNumbers w:val="0"/>
        <w:jc w:val="left"/>
      </w:pPr>
      <w:r>
        <w:rPr>
          <w:rFonts w:ascii="宋体" w:hAnsi="宋体" w:eastAsia="宋体" w:cs="宋体"/>
          <w:kern w:val="0"/>
          <w:sz w:val="24"/>
          <w:szCs w:val="24"/>
          <w:lang w:val="en-US" w:eastAsia="zh-CN" w:bidi="ar"/>
        </w:rPr>
        <w:t>1.粗集料：粒径符合AC-10级配要求（最大粒径≤10mm），压碎值≤26%，洛杉矶磨耗值≤28%，含泥量≤1%，针片状颗粒含量≤15%。</w:t>
      </w:r>
    </w:p>
    <w:p w14:paraId="2CD4C6B8">
      <w:pPr>
        <w:keepNext w:val="0"/>
        <w:keepLines w:val="0"/>
        <w:widowControl/>
        <w:suppressLineNumbers w:val="0"/>
        <w:jc w:val="left"/>
      </w:pPr>
      <w:r>
        <w:rPr>
          <w:rFonts w:ascii="宋体" w:hAnsi="宋体" w:eastAsia="宋体" w:cs="宋体"/>
          <w:kern w:val="0"/>
          <w:sz w:val="24"/>
          <w:szCs w:val="24"/>
          <w:lang w:val="en-US" w:eastAsia="zh-CN" w:bidi="ar"/>
        </w:rPr>
        <w:t>2.细集料：细度模数2.3~3.0，含泥量≤3%。</w:t>
      </w:r>
    </w:p>
    <w:p w14:paraId="0A2C352C">
      <w:pPr>
        <w:pStyle w:val="5"/>
        <w:bidi w:val="0"/>
      </w:pPr>
      <w:r>
        <w:t>AC-16中粒改性沥青混凝土集料要求</w:t>
      </w:r>
    </w:p>
    <w:p w14:paraId="6ACE560A">
      <w:pPr>
        <w:keepNext w:val="0"/>
        <w:keepLines w:val="0"/>
        <w:widowControl/>
        <w:suppressLineNumbers w:val="0"/>
        <w:jc w:val="left"/>
      </w:pPr>
      <w:r>
        <w:rPr>
          <w:rFonts w:ascii="宋体" w:hAnsi="宋体" w:eastAsia="宋体" w:cs="宋体"/>
          <w:kern w:val="0"/>
          <w:sz w:val="24"/>
          <w:szCs w:val="24"/>
          <w:lang w:val="en-US" w:eastAsia="zh-CN" w:bidi="ar"/>
        </w:rPr>
        <w:t>1.粗集料：粒径符合AC-16级配要求（最大粒径≤16mm），压碎值≤26%，洛杉矶磨耗值≤28%，含泥量≤1%，针片状颗粒含量≤18%。</w:t>
      </w:r>
    </w:p>
    <w:p w14:paraId="65557064">
      <w:pPr>
        <w:keepNext w:val="0"/>
        <w:keepLines w:val="0"/>
        <w:widowControl/>
        <w:suppressLineNumbers w:val="0"/>
        <w:jc w:val="left"/>
      </w:pPr>
      <w:r>
        <w:rPr>
          <w:rFonts w:ascii="宋体" w:hAnsi="宋体" w:eastAsia="宋体" w:cs="宋体"/>
          <w:kern w:val="0"/>
          <w:sz w:val="24"/>
          <w:szCs w:val="24"/>
          <w:lang w:val="en-US" w:eastAsia="zh-CN" w:bidi="ar"/>
        </w:rPr>
        <w:t>2.细集料：细度模数2.3~3.5，含泥量≤3%，确保与粗集料搭配后级配连续、密实。</w:t>
      </w:r>
    </w:p>
    <w:p w14:paraId="2213E58D">
      <w:pPr>
        <w:pStyle w:val="5"/>
        <w:bidi w:val="0"/>
      </w:pPr>
      <w:r>
        <w:t>AC-35C粗粒改性沥青混凝土集料要求</w:t>
      </w:r>
    </w:p>
    <w:p w14:paraId="23E6DB9C">
      <w:pPr>
        <w:keepNext w:val="0"/>
        <w:keepLines w:val="0"/>
        <w:widowControl/>
        <w:suppressLineNumbers w:val="0"/>
        <w:jc w:val="left"/>
      </w:pPr>
      <w:r>
        <w:rPr>
          <w:rFonts w:ascii="宋体" w:hAnsi="宋体" w:eastAsia="宋体" w:cs="宋体"/>
          <w:kern w:val="0"/>
          <w:sz w:val="24"/>
          <w:szCs w:val="24"/>
          <w:lang w:val="en-US" w:eastAsia="zh-CN" w:bidi="ar"/>
        </w:rPr>
        <w:t>1.粗集料：粒径符合AC-35C密级配沥青混凝土级配要求（最大粒径≤35mm），选用高强度、高耐磨玄武岩或辉绿岩碎石，压碎值≤24%，洛杉矶磨耗值≤26%，含泥量≤0.8%，针片状颗粒含量≤12%，无超粒径颗粒、无风化软弱颗粒，整体集料硬度、耐磨性优于AC-16集料标准，适配基层承重、抗形变、抗碾压需求。</w:t>
      </w:r>
    </w:p>
    <w:p w14:paraId="56531141">
      <w:pPr>
        <w:keepNext w:val="0"/>
        <w:keepLines w:val="0"/>
        <w:widowControl/>
        <w:suppressLineNumbers w:val="0"/>
        <w:jc w:val="left"/>
      </w:pPr>
      <w:r>
        <w:rPr>
          <w:rFonts w:ascii="宋体" w:hAnsi="宋体" w:eastAsia="宋体" w:cs="宋体"/>
          <w:kern w:val="0"/>
          <w:sz w:val="24"/>
          <w:szCs w:val="24"/>
          <w:lang w:val="en-US" w:eastAsia="zh-CN" w:bidi="ar"/>
        </w:rPr>
        <w:t>2.细集料：采用洁净干燥机制砂，细度模数2.5~3.8，含泥量≤2%，级配连续稳定，粗细集料搭配后整体密实性好、空隙率可控，有效提升沥青层整体稳定性和抗水损能力。</w:t>
      </w:r>
    </w:p>
    <w:p w14:paraId="3E46AA86">
      <w:pPr>
        <w:keepNext w:val="0"/>
        <w:keepLines w:val="0"/>
        <w:widowControl/>
        <w:suppressLineNumbers w:val="0"/>
        <w:jc w:val="left"/>
      </w:pPr>
      <w:r>
        <w:rPr>
          <w:rFonts w:ascii="宋体" w:hAnsi="宋体" w:eastAsia="宋体" w:cs="宋体"/>
          <w:kern w:val="0"/>
          <w:sz w:val="24"/>
          <w:szCs w:val="24"/>
          <w:lang w:val="en-US" w:eastAsia="zh-CN" w:bidi="ar"/>
        </w:rPr>
        <w:t>3.矿粉：严格遵循3.2.1通用要求，亲水系数≤0.9，塑性指数≤3，细度达标、无结块，增强沥青与集料粘结力，杜绝脱层、松散病害。</w:t>
      </w:r>
    </w:p>
    <w:p w14:paraId="7F0B6144">
      <w:pPr>
        <w:pStyle w:val="4"/>
        <w:bidi w:val="0"/>
      </w:pPr>
      <w:r>
        <w:t>沥青混凝土技术要求</w:t>
      </w:r>
    </w:p>
    <w:p w14:paraId="469C0121">
      <w:pPr>
        <w:pStyle w:val="5"/>
        <w:bidi w:val="0"/>
      </w:pPr>
      <w:r>
        <w:t>AC-10细粒改性沥青混凝土</w:t>
      </w:r>
    </w:p>
    <w:p w14:paraId="406C48D6">
      <w:pPr>
        <w:keepNext w:val="0"/>
        <w:keepLines w:val="0"/>
        <w:widowControl/>
        <w:suppressLineNumbers w:val="0"/>
        <w:jc w:val="left"/>
      </w:pPr>
      <w:r>
        <w:rPr>
          <w:rFonts w:ascii="宋体" w:hAnsi="宋体" w:eastAsia="宋体" w:cs="宋体"/>
          <w:kern w:val="0"/>
          <w:sz w:val="24"/>
          <w:szCs w:val="24"/>
          <w:lang w:val="en-US" w:eastAsia="zh-CN" w:bidi="ar"/>
        </w:rPr>
        <w:t>1.必须通过目标配合比设计、生产配合比设计、生产配合比验证三个阶段确定正式施工配合比，配合比报告须报监理、建设单位审批后方可批量生产；30mm、40mm厚度的AC-10配合比须根据厚度调整，确保适配对应厚度施工及使用需求。</w:t>
      </w:r>
    </w:p>
    <w:p w14:paraId="39024B46">
      <w:pPr>
        <w:keepNext w:val="0"/>
        <w:keepLines w:val="0"/>
        <w:widowControl/>
        <w:suppressLineNumbers w:val="0"/>
        <w:jc w:val="left"/>
      </w:pPr>
      <w:r>
        <w:rPr>
          <w:rFonts w:ascii="宋体" w:hAnsi="宋体" w:eastAsia="宋体" w:cs="宋体"/>
          <w:kern w:val="0"/>
          <w:sz w:val="24"/>
          <w:szCs w:val="24"/>
          <w:lang w:val="en-US" w:eastAsia="zh-CN" w:bidi="ar"/>
        </w:rPr>
        <w:t>2.矿料级配须严格符合AC-10密级配沥青混凝土级配范围，马歇尔稳定度≥8kN，流值2~4mm，空隙率3%~6%，沥青饱和度65%~75%，残留稳定度≥85%，冻融劈裂强度比≥80%，各项指标须符合JTGF40规范要求。</w:t>
      </w:r>
    </w:p>
    <w:p w14:paraId="722340F3">
      <w:pPr>
        <w:keepNext w:val="0"/>
        <w:keepLines w:val="0"/>
        <w:widowControl/>
        <w:suppressLineNumbers w:val="0"/>
        <w:jc w:val="left"/>
      </w:pPr>
      <w:r>
        <w:rPr>
          <w:rFonts w:ascii="宋体" w:hAnsi="宋体" w:eastAsia="宋体" w:cs="宋体"/>
          <w:kern w:val="0"/>
          <w:sz w:val="24"/>
          <w:szCs w:val="24"/>
          <w:lang w:val="en-US" w:eastAsia="zh-CN" w:bidi="ar"/>
        </w:rPr>
        <w:t>3.设计压实厚度分别为40mm（新建/翻新跑道、篮球场、丙烯酸地面）、30mm（广昌小学跑道修复上层），油石比偏差控制在±0.2%以内，严禁擅自调整配合比、降低沥青用量、更改集料规格。</w:t>
      </w:r>
    </w:p>
    <w:p w14:paraId="63D7A83C">
      <w:pPr>
        <w:keepNext w:val="0"/>
        <w:keepLines w:val="0"/>
        <w:widowControl/>
        <w:suppressLineNumbers w:val="0"/>
        <w:jc w:val="left"/>
      </w:pPr>
      <w:r>
        <w:rPr>
          <w:rFonts w:ascii="宋体" w:hAnsi="宋体" w:eastAsia="宋体" w:cs="宋体"/>
          <w:kern w:val="0"/>
          <w:sz w:val="24"/>
          <w:szCs w:val="24"/>
          <w:lang w:val="en-US" w:eastAsia="zh-CN" w:bidi="ar"/>
        </w:rPr>
        <w:t>4.成品混合料的VOC、重金属、多环芳烃等有害物质限量须符合GB36246-2018规范要求，每批次混合料出厂须提供环保检测报告，进场后见证取样复检。</w:t>
      </w:r>
    </w:p>
    <w:p w14:paraId="69DCEE60">
      <w:pPr>
        <w:pStyle w:val="5"/>
        <w:bidi w:val="0"/>
      </w:pPr>
      <w:r>
        <w:t>AC-16中粒改性沥青混凝土</w:t>
      </w:r>
    </w:p>
    <w:p w14:paraId="737A0251">
      <w:pPr>
        <w:keepNext w:val="0"/>
        <w:keepLines w:val="0"/>
        <w:widowControl/>
        <w:suppressLineNumbers w:val="0"/>
        <w:jc w:val="left"/>
      </w:pPr>
      <w:r>
        <w:rPr>
          <w:rFonts w:ascii="宋体" w:hAnsi="宋体" w:eastAsia="宋体" w:cs="宋体"/>
          <w:kern w:val="0"/>
          <w:sz w:val="24"/>
          <w:szCs w:val="24"/>
          <w:lang w:val="en-US" w:eastAsia="zh-CN" w:bidi="ar"/>
        </w:rPr>
        <w:t>1.必须通过目标配合比设计、生产配合比设计、生产配合比验证三个阶段确定正式施工配合比，配合比报告须报监理、建设单位审批后方可批量生产，明确与AC-10配合比的差异，严禁混用配合比。</w:t>
      </w:r>
    </w:p>
    <w:p w14:paraId="73605CB8">
      <w:pPr>
        <w:keepNext w:val="0"/>
        <w:keepLines w:val="0"/>
        <w:widowControl/>
        <w:suppressLineNumbers w:val="0"/>
        <w:jc w:val="left"/>
      </w:pPr>
      <w:r>
        <w:rPr>
          <w:rFonts w:ascii="宋体" w:hAnsi="宋体" w:eastAsia="宋体" w:cs="宋体"/>
          <w:kern w:val="0"/>
          <w:sz w:val="24"/>
          <w:szCs w:val="24"/>
          <w:lang w:val="en-US" w:eastAsia="zh-CN" w:bidi="ar"/>
        </w:rPr>
        <w:t>2.矿料级配须严格符合AC-16密级配沥青混凝土级配范围，马歇尔稳定度≥8kN，流值2~4.5mm，空隙率3%~6%，沥青饱和度65%~75%，残留稳定度≥85%，冻融劈裂强度比≥80%，各项指标须符合JTGF40规范要求，适配跑道修复的承重及分层粘结需求。</w:t>
      </w:r>
    </w:p>
    <w:p w14:paraId="6570D760">
      <w:pPr>
        <w:keepNext w:val="0"/>
        <w:keepLines w:val="0"/>
        <w:widowControl/>
        <w:suppressLineNumbers w:val="0"/>
        <w:jc w:val="left"/>
      </w:pPr>
      <w:r>
        <w:rPr>
          <w:rFonts w:ascii="宋体" w:hAnsi="宋体" w:eastAsia="宋体" w:cs="宋体"/>
          <w:kern w:val="0"/>
          <w:sz w:val="24"/>
          <w:szCs w:val="24"/>
          <w:lang w:val="en-US" w:eastAsia="zh-CN" w:bidi="ar"/>
        </w:rPr>
        <w:t>3.设计压实厚度为40mm，油石比控制在4.5%~5.5%，偏差控制在±0.2%以内，严禁擅自调整配合比、降低沥青用量、更改集料规格。</w:t>
      </w:r>
    </w:p>
    <w:p w14:paraId="01177C18">
      <w:pPr>
        <w:keepNext w:val="0"/>
        <w:keepLines w:val="0"/>
        <w:widowControl/>
        <w:suppressLineNumbers w:val="0"/>
        <w:jc w:val="left"/>
      </w:pPr>
      <w:r>
        <w:rPr>
          <w:rFonts w:ascii="宋体" w:hAnsi="宋体" w:eastAsia="宋体" w:cs="宋体"/>
          <w:kern w:val="0"/>
          <w:sz w:val="24"/>
          <w:szCs w:val="24"/>
          <w:lang w:val="en-US" w:eastAsia="zh-CN" w:bidi="ar"/>
        </w:rPr>
        <w:t>4.成品混合料的VOC、重金属、多环芳烃等有害物质限量须符合GB36246-2018规范要求，每批次混合料出厂须提供环保检测报告，进场后见证取样复检；表面粗糙度须满足与上层30厚AC-10沥青混凝土的粘结要求，无明显离析、结块。</w:t>
      </w:r>
    </w:p>
    <w:p w14:paraId="38940F51">
      <w:pPr>
        <w:pStyle w:val="5"/>
        <w:bidi w:val="0"/>
      </w:pPr>
      <w:r>
        <w:t>AC-35C粗粒改性沥青混凝土</w:t>
      </w:r>
    </w:p>
    <w:p w14:paraId="7595F0BD">
      <w:pPr>
        <w:keepNext w:val="0"/>
        <w:keepLines w:val="0"/>
        <w:widowControl/>
        <w:suppressLineNumbers w:val="0"/>
        <w:jc w:val="left"/>
      </w:pPr>
      <w:r>
        <w:rPr>
          <w:rFonts w:ascii="宋体" w:hAnsi="宋体" w:eastAsia="宋体" w:cs="宋体"/>
          <w:kern w:val="0"/>
          <w:sz w:val="24"/>
          <w:szCs w:val="24"/>
          <w:lang w:val="en-US" w:eastAsia="zh-CN" w:bidi="ar"/>
        </w:rPr>
        <w:t>1.配合比设计：必须通过目标配合比设计、生产配合比设计、生产配合比验证三个阶段确定专属施工配合比，单独编制配合比报告，报监理、建设单位、校方审批通过后方可批量生产，严禁与AC-10、AC-16混合料混用配合比、拌合设备。</w:t>
      </w:r>
    </w:p>
    <w:p w14:paraId="65B4E24F">
      <w:pPr>
        <w:keepNext w:val="0"/>
        <w:keepLines w:val="0"/>
        <w:widowControl/>
        <w:suppressLineNumbers w:val="0"/>
        <w:jc w:val="left"/>
      </w:pPr>
      <w:r>
        <w:rPr>
          <w:rFonts w:ascii="宋体" w:hAnsi="宋体" w:eastAsia="宋体" w:cs="宋体"/>
          <w:kern w:val="0"/>
          <w:sz w:val="24"/>
          <w:szCs w:val="24"/>
          <w:lang w:val="en-US" w:eastAsia="zh-CN" w:bidi="ar"/>
        </w:rPr>
        <w:t>2.核心性能指标：矿料级配严格符合AC-35C粗粒密级配改性沥青混凝土规范范围，马歇尔稳定度≥9kN，流值2.5~4.5mm，空隙率3.5%~6.5%，沥青饱和度63%~73%，残留稳定度≥88%，冻融劈裂强度比≥83%，高温稳定性、水稳定性、抗形变性能满足校园运动场地基层重载、耐磨、抗裂施工要求，全部指标符合JTGF40规范标准。</w:t>
      </w:r>
    </w:p>
    <w:p w14:paraId="13681CC9">
      <w:pPr>
        <w:keepNext w:val="0"/>
        <w:keepLines w:val="0"/>
        <w:widowControl/>
        <w:suppressLineNumbers w:val="0"/>
        <w:jc w:val="left"/>
      </w:pPr>
      <w:r>
        <w:rPr>
          <w:rFonts w:ascii="宋体" w:hAnsi="宋体" w:eastAsia="宋体" w:cs="宋体"/>
          <w:kern w:val="0"/>
          <w:sz w:val="24"/>
          <w:szCs w:val="24"/>
          <w:lang w:val="en-US" w:eastAsia="zh-CN" w:bidi="ar"/>
        </w:rPr>
        <w:t>3.施工参数：设计压实厚度为60mm/80mm（按各校区场地设计图纸执行），专属油石比控制在4.2%~5.0%，偏差严格控制在±0.2%以内，严禁私自调整集料级配、降低沥青用量、更换原材料规格。AC-35C作为底层承重结构，需保证整体均匀密实，为上层AC-16、AC-10沥青面层提供稳定支撑。</w:t>
      </w:r>
    </w:p>
    <w:p w14:paraId="175F472B">
      <w:pPr>
        <w:keepNext w:val="0"/>
        <w:keepLines w:val="0"/>
        <w:widowControl/>
        <w:suppressLineNumbers w:val="0"/>
        <w:jc w:val="left"/>
      </w:pPr>
      <w:r>
        <w:rPr>
          <w:rFonts w:ascii="宋体" w:hAnsi="宋体" w:eastAsia="宋体" w:cs="宋体"/>
          <w:kern w:val="0"/>
          <w:sz w:val="24"/>
          <w:szCs w:val="24"/>
          <w:lang w:val="en-US" w:eastAsia="zh-CN" w:bidi="ar"/>
        </w:rPr>
        <w:t>4.环保及质量要求：成品混合料VOC、重金属、多环芳烃等有害物质限量严格符合GB36246-2018中小学场地规范要求，每批次出厂附带完整环保检测报告、质量合格证，进场后独立见证取样复检，不合格批次严禁使用、即刻清场；混合料无粗细集料离析、无结团、无花白料，整体均匀性良好。</w:t>
      </w:r>
    </w:p>
    <w:p w14:paraId="6B939ACC">
      <w:pPr>
        <w:pStyle w:val="4"/>
        <w:bidi w:val="0"/>
      </w:pPr>
      <w:r>
        <w:t>粘层沥青</w:t>
      </w:r>
    </w:p>
    <w:p w14:paraId="7AD43AD6">
      <w:pPr>
        <w:keepNext w:val="0"/>
        <w:keepLines w:val="0"/>
        <w:widowControl/>
        <w:suppressLineNumbers w:val="0"/>
        <w:jc w:val="left"/>
      </w:pPr>
      <w:r>
        <w:rPr>
          <w:rFonts w:ascii="宋体" w:hAnsi="宋体" w:eastAsia="宋体" w:cs="宋体"/>
          <w:kern w:val="0"/>
          <w:sz w:val="24"/>
          <w:szCs w:val="24"/>
          <w:lang w:val="en-US" w:eastAsia="zh-CN" w:bidi="ar"/>
        </w:rPr>
        <w:t>采用阳离子改性乳化沥青，技术性能符合JTGF40规范要求，喷洒用量设计值为0.3~0.6L/㎡，具体用量根据现场基层情况、沥青规格（AC-10/AC-16/AC-35C）及厚度经试验段确定，破乳速度、粘度、蒸发残留物含量≥50%等指标须满足规范要求；严禁使用含煤焦油成分的粘层油，严禁使用非标乳化沥青；广昌小学跑道修复两层沥青之间须额外喷洒粘层油，确保粘结紧密。AC-35C底层与AC-16中层、AC-16中层与AC-10上层之间均需均匀喷洒粘层油，分层粘结、杜绝空鼓分层。</w:t>
      </w:r>
    </w:p>
    <w:p w14:paraId="2EAE82AE">
      <w:pPr>
        <w:pStyle w:val="4"/>
        <w:bidi w:val="0"/>
      </w:pPr>
      <w:r>
        <w:t>材料进场验收通用要求</w:t>
      </w:r>
    </w:p>
    <w:p w14:paraId="272A561C">
      <w:pPr>
        <w:keepNext w:val="0"/>
        <w:keepLines w:val="0"/>
        <w:widowControl/>
        <w:suppressLineNumbers w:val="0"/>
        <w:jc w:val="left"/>
      </w:pPr>
      <w:r>
        <w:rPr>
          <w:rFonts w:ascii="宋体" w:hAnsi="宋体" w:eastAsia="宋体" w:cs="宋体"/>
          <w:kern w:val="0"/>
          <w:sz w:val="24"/>
          <w:szCs w:val="24"/>
          <w:lang w:val="en-US" w:eastAsia="zh-CN" w:bidi="ar"/>
        </w:rPr>
        <w:t>1.所有材料进场前24h，须向监理单位、建设单位提交材料报验申请，附完整的质量证明文件；AC-10（30mm、40mm）、AC-16（40mm）、AC-35C（60mm/80mm）三种规格/厚度的沥青混合料须分开报验、独立标识、分批次堆放，严禁混批验收、混料使用。</w:t>
      </w:r>
    </w:p>
    <w:p w14:paraId="71D12D70">
      <w:pPr>
        <w:keepNext w:val="0"/>
        <w:keepLines w:val="0"/>
        <w:widowControl/>
        <w:suppressLineNumbers w:val="0"/>
        <w:jc w:val="left"/>
      </w:pPr>
      <w:r>
        <w:rPr>
          <w:rFonts w:ascii="宋体" w:hAnsi="宋体" w:eastAsia="宋体" w:cs="宋体"/>
          <w:kern w:val="0"/>
          <w:sz w:val="24"/>
          <w:szCs w:val="24"/>
          <w:lang w:val="en-US" w:eastAsia="zh-CN" w:bidi="ar"/>
        </w:rPr>
        <w:t>2.材料到场后，监理、建设单位、校方共同核查外观、规格、品牌与投标文件一致性，按规范要求见证取样送检，未验收合格的材料严禁卸车、使用，不合格材料须24h内清运出场；AC-16中粒沥青混凝土需额外核查集料粒径分布、表面粗糙度，30mm厚AC-10沥青混凝土需重点核查集料细腻度，AC-35C粗粒沥青混凝土重点核查最大粒径、集料强度、级配均匀性，杜绝超径、离析混合料进场。</w:t>
      </w:r>
    </w:p>
    <w:p w14:paraId="369F056B">
      <w:pPr>
        <w:pStyle w:val="3"/>
        <w:bidi w:val="0"/>
      </w:pPr>
      <w:r>
        <w:t>施工技术要求</w:t>
      </w:r>
    </w:p>
    <w:p w14:paraId="4E160AE4">
      <w:pPr>
        <w:pStyle w:val="4"/>
        <w:bidi w:val="0"/>
      </w:pPr>
      <w:r>
        <w:t>试验段施工强制要求</w:t>
      </w:r>
    </w:p>
    <w:p w14:paraId="6C34F8AF">
      <w:pPr>
        <w:keepNext w:val="0"/>
        <w:keepLines w:val="0"/>
        <w:widowControl/>
        <w:suppressLineNumbers w:val="0"/>
        <w:jc w:val="left"/>
      </w:pPr>
      <w:r>
        <w:rPr>
          <w:rFonts w:ascii="宋体" w:hAnsi="宋体" w:eastAsia="宋体" w:cs="宋体"/>
          <w:kern w:val="0"/>
          <w:sz w:val="24"/>
          <w:szCs w:val="24"/>
          <w:lang w:val="en-US" w:eastAsia="zh-CN" w:bidi="ar"/>
        </w:rPr>
        <w:t>1.正式沥青摊铺施工前，必须以一个校区作为试验段施工，试验段所用材料、机械、人员、工艺须与正式施工一致。</w:t>
      </w:r>
    </w:p>
    <w:p w14:paraId="246C8F14">
      <w:pPr>
        <w:keepNext w:val="0"/>
        <w:keepLines w:val="0"/>
        <w:widowControl/>
        <w:suppressLineNumbers w:val="0"/>
        <w:jc w:val="left"/>
      </w:pPr>
      <w:r>
        <w:rPr>
          <w:rFonts w:ascii="宋体" w:hAnsi="宋体" w:eastAsia="宋体" w:cs="宋体"/>
          <w:kern w:val="0"/>
          <w:sz w:val="24"/>
          <w:szCs w:val="24"/>
          <w:lang w:val="en-US" w:eastAsia="zh-CN" w:bidi="ar"/>
        </w:rPr>
        <w:t>2.试验段须验证以下核心参数，形成试验段总结报告（分规格/厚度单独编制，含AC-10、AC-16、AC-35C），报监理、建设单位、校方审批通过后，方可全面铺开施工：</w:t>
      </w:r>
    </w:p>
    <w:p w14:paraId="6736FF85">
      <w:pPr>
        <w:keepNext w:val="0"/>
        <w:keepLines w:val="0"/>
        <w:widowControl/>
        <w:suppressLineNumbers w:val="0"/>
        <w:jc w:val="left"/>
      </w:pPr>
      <w:r>
        <w:rPr>
          <w:rFonts w:ascii="宋体" w:hAnsi="宋体" w:eastAsia="宋体" w:cs="宋体"/>
          <w:kern w:val="0"/>
          <w:sz w:val="24"/>
          <w:szCs w:val="24"/>
          <w:lang w:val="en-US" w:eastAsia="zh-CN" w:bidi="ar"/>
        </w:rPr>
        <w:t>(1)沥青混合料的拌合参数、松铺系数（AC-16参考值1.20~1.30，AC-10参考值1.15~1.25，AC-35C参考值1.25~1.35）；</w:t>
      </w:r>
    </w:p>
    <w:p w14:paraId="70F3D460">
      <w:pPr>
        <w:keepNext w:val="0"/>
        <w:keepLines w:val="0"/>
        <w:widowControl/>
        <w:suppressLineNumbers w:val="0"/>
        <w:jc w:val="left"/>
      </w:pPr>
      <w:r>
        <w:rPr>
          <w:rFonts w:ascii="宋体" w:hAnsi="宋体" w:eastAsia="宋体" w:cs="宋体"/>
          <w:kern w:val="0"/>
          <w:sz w:val="24"/>
          <w:szCs w:val="24"/>
          <w:lang w:val="en-US" w:eastAsia="zh-CN" w:bidi="ar"/>
        </w:rPr>
        <w:t>(2)摊铺速度、碾压设备组合、碾压遍数、碾压速度、碾压温度等压实工艺；</w:t>
      </w:r>
    </w:p>
    <w:p w14:paraId="44E69825">
      <w:pPr>
        <w:keepNext w:val="0"/>
        <w:keepLines w:val="0"/>
        <w:widowControl/>
        <w:suppressLineNumbers w:val="0"/>
        <w:jc w:val="left"/>
      </w:pPr>
      <w:r>
        <w:rPr>
          <w:rFonts w:ascii="宋体" w:hAnsi="宋体" w:eastAsia="宋体" w:cs="宋体"/>
          <w:kern w:val="0"/>
          <w:sz w:val="24"/>
          <w:szCs w:val="24"/>
          <w:lang w:val="en-US" w:eastAsia="zh-CN" w:bidi="ar"/>
        </w:rPr>
        <w:t>(3)粘层油的最佳喷洒用量（结合沥青规格、厚度及基层情况调整，三层沥青分层粘结用量需单独验证）；</w:t>
      </w:r>
    </w:p>
    <w:p w14:paraId="3E69893B">
      <w:pPr>
        <w:keepNext w:val="0"/>
        <w:keepLines w:val="0"/>
        <w:widowControl/>
        <w:suppressLineNumbers w:val="0"/>
        <w:jc w:val="left"/>
      </w:pPr>
      <w:r>
        <w:rPr>
          <w:rFonts w:ascii="宋体" w:hAnsi="宋体" w:eastAsia="宋体" w:cs="宋体"/>
          <w:kern w:val="0"/>
          <w:sz w:val="24"/>
          <w:szCs w:val="24"/>
          <w:lang w:val="en-US" w:eastAsia="zh-CN" w:bidi="ar"/>
        </w:rPr>
        <w:t>(4)施工缝处理工艺、平整度、压实度控制效果；</w:t>
      </w:r>
    </w:p>
    <w:p w14:paraId="10D91BA9">
      <w:pPr>
        <w:keepNext w:val="0"/>
        <w:keepLines w:val="0"/>
        <w:widowControl/>
        <w:suppressLineNumbers w:val="0"/>
        <w:jc w:val="left"/>
      </w:pPr>
      <w:r>
        <w:rPr>
          <w:rFonts w:ascii="宋体" w:hAnsi="宋体" w:eastAsia="宋体" w:cs="宋体"/>
          <w:kern w:val="0"/>
          <w:sz w:val="24"/>
          <w:szCs w:val="24"/>
          <w:lang w:val="en-US" w:eastAsia="zh-CN" w:bidi="ar"/>
        </w:rPr>
        <w:t>(5)人员配置、安全防护、降噪降烟措施的有效性；</w:t>
      </w:r>
    </w:p>
    <w:p w14:paraId="36409AD2">
      <w:pPr>
        <w:keepNext w:val="0"/>
        <w:keepLines w:val="0"/>
        <w:widowControl/>
        <w:suppressLineNumbers w:val="0"/>
        <w:jc w:val="left"/>
      </w:pPr>
      <w:r>
        <w:rPr>
          <w:rFonts w:ascii="宋体" w:hAnsi="宋体" w:eastAsia="宋体" w:cs="宋体"/>
          <w:kern w:val="0"/>
          <w:sz w:val="24"/>
          <w:szCs w:val="24"/>
          <w:lang w:val="en-US" w:eastAsia="zh-CN" w:bidi="ar"/>
        </w:rPr>
        <w:t>3.试验段验收不合格的，须重新摊铺试验段，直至合格。</w:t>
      </w:r>
    </w:p>
    <w:p w14:paraId="74C4AEEB">
      <w:pPr>
        <w:pStyle w:val="4"/>
        <w:bidi w:val="0"/>
      </w:pPr>
      <w:r>
        <w:t>沥青混凝土施工</w:t>
      </w:r>
    </w:p>
    <w:p w14:paraId="71CE424D">
      <w:pPr>
        <w:pStyle w:val="5"/>
        <w:bidi w:val="0"/>
      </w:pPr>
      <w:r>
        <w:t>拌合要求</w:t>
      </w:r>
    </w:p>
    <w:p w14:paraId="3597B921">
      <w:pPr>
        <w:keepNext w:val="0"/>
        <w:keepLines w:val="0"/>
        <w:widowControl/>
        <w:suppressLineNumbers w:val="0"/>
        <w:jc w:val="left"/>
      </w:pPr>
      <w:r>
        <w:rPr>
          <w:rFonts w:ascii="宋体" w:hAnsi="宋体" w:eastAsia="宋体" w:cs="宋体"/>
          <w:kern w:val="0"/>
          <w:sz w:val="24"/>
          <w:szCs w:val="24"/>
          <w:lang w:val="en-US" w:eastAsia="zh-CN" w:bidi="ar"/>
        </w:rPr>
        <w:t>1.采用间歇式沥青拌合站生产，拌合站计量系统须经法定计量机构校验合格，计量精度符合规范要求；AC-10（30mm、40mm）、AC-16（40mm）、AC-35C（60mm/80mm）三种规格/厚度沥青混凝土须分开拌合、分区存放、专属标识，严禁混用拌合设备、混用配合比，拌合时须明确标注批次、规格、摊铺厚度及使用部位。</w:t>
      </w:r>
    </w:p>
    <w:p w14:paraId="043B0231">
      <w:pPr>
        <w:keepNext w:val="0"/>
        <w:keepLines w:val="0"/>
        <w:widowControl/>
        <w:suppressLineNumbers w:val="0"/>
        <w:jc w:val="left"/>
      </w:pPr>
      <w:r>
        <w:rPr>
          <w:rFonts w:ascii="宋体" w:hAnsi="宋体" w:eastAsia="宋体" w:cs="宋体"/>
          <w:kern w:val="0"/>
          <w:sz w:val="24"/>
          <w:szCs w:val="24"/>
          <w:lang w:val="en-US" w:eastAsia="zh-CN" w:bidi="ar"/>
        </w:rPr>
        <w:t>2.温度控制：SBS改性沥青加热温度160~165℃，集料加热温度190~220℃，AC-10混合料（30mm、40mm）出料温度170~185℃，AC-16混合料（40mm）出料温度165~180℃，AC-35C混合料出料温度160~175℃；所有混合料出料温度超过195℃的直接废弃，严禁使用。</w:t>
      </w:r>
    </w:p>
    <w:p w14:paraId="189255A4">
      <w:pPr>
        <w:keepNext w:val="0"/>
        <w:keepLines w:val="0"/>
        <w:widowControl/>
        <w:suppressLineNumbers w:val="0"/>
        <w:jc w:val="left"/>
      </w:pPr>
      <w:r>
        <w:rPr>
          <w:rFonts w:ascii="宋体" w:hAnsi="宋体" w:eastAsia="宋体" w:cs="宋体"/>
          <w:kern w:val="0"/>
          <w:sz w:val="24"/>
          <w:szCs w:val="24"/>
          <w:lang w:val="en-US" w:eastAsia="zh-CN" w:bidi="ar"/>
        </w:rPr>
        <w:t>3.拌合时间：AC-10混合料（30mm、40mm）干拌时间不少于5s，湿拌时间不少于45s；AC-16混合料（40mm）干拌时间不少于8s，湿拌时间不少于50s；AC-35C混合料干拌时间不少于10s，湿拌时间不少于55s，确保所有规格混合料拌合均匀，无花白料、无结团成块、无粗细集料离析现象。</w:t>
      </w:r>
    </w:p>
    <w:p w14:paraId="2EB3DD17">
      <w:pPr>
        <w:keepNext w:val="0"/>
        <w:keepLines w:val="0"/>
        <w:widowControl/>
        <w:suppressLineNumbers w:val="0"/>
        <w:jc w:val="left"/>
      </w:pPr>
      <w:r>
        <w:rPr>
          <w:rFonts w:ascii="宋体" w:hAnsi="宋体" w:eastAsia="宋体" w:cs="宋体"/>
          <w:kern w:val="0"/>
          <w:sz w:val="24"/>
          <w:szCs w:val="24"/>
          <w:lang w:val="en-US" w:eastAsia="zh-CN" w:bidi="ar"/>
        </w:rPr>
        <w:t>4.每台班按规范要求取样检测，分别完成AC-10（30mm、40mm）、AC-16（40mm）、AC-35C（60mm/80mm）混合料的马歇尔试验、油石比检测、矿料级配筛分、环保指标检测，检测不合格的批次严禁出厂。</w:t>
      </w:r>
    </w:p>
    <w:p w14:paraId="7B6FCE96">
      <w:pPr>
        <w:pStyle w:val="5"/>
        <w:bidi w:val="0"/>
      </w:pPr>
      <w:r>
        <w:t>运输要求</w:t>
      </w:r>
    </w:p>
    <w:p w14:paraId="39B3EB07">
      <w:pPr>
        <w:keepNext w:val="0"/>
        <w:keepLines w:val="0"/>
        <w:widowControl/>
        <w:suppressLineNumbers w:val="0"/>
        <w:jc w:val="left"/>
      </w:pPr>
      <w:r>
        <w:rPr>
          <w:rFonts w:ascii="宋体" w:hAnsi="宋体" w:eastAsia="宋体" w:cs="宋体"/>
          <w:kern w:val="0"/>
          <w:sz w:val="24"/>
          <w:szCs w:val="24"/>
          <w:lang w:val="en-US" w:eastAsia="zh-CN" w:bidi="ar"/>
        </w:rPr>
        <w:t>1.采用自卸汽车运输，车厢清理干净，侧板和底板涂刷非柴油类隔离剂；AC-16中粒沥青混合料、AC-35C粗粒沥青混合料运输车厢须加装防滑衬垫，防止大粒径集料离析、堆积；运输过程中采用加厚篷布全覆盖保温、防雨、防污染、防烟气泄漏，AC-35C需加密篷布固定，杜绝边角漏料、降温过快。</w:t>
      </w:r>
    </w:p>
    <w:p w14:paraId="7F7FADFF">
      <w:pPr>
        <w:keepNext w:val="0"/>
        <w:keepLines w:val="0"/>
        <w:widowControl/>
        <w:suppressLineNumbers w:val="0"/>
        <w:jc w:val="left"/>
      </w:pPr>
      <w:r>
        <w:rPr>
          <w:rFonts w:ascii="宋体" w:hAnsi="宋体" w:eastAsia="宋体" w:cs="宋体"/>
          <w:kern w:val="0"/>
          <w:sz w:val="24"/>
          <w:szCs w:val="24"/>
          <w:lang w:val="en-US" w:eastAsia="zh-CN" w:bidi="ar"/>
        </w:rPr>
        <w:t>2.混合料运至施工现场的温度：AC-10（30mm、40mm）不低于165℃，AC-16（40mm）不低于160℃，AC-35C不低于155℃；温度低于对应标准或超过190℃的混合料直接废弃，严禁使用。</w:t>
      </w:r>
    </w:p>
    <w:p w14:paraId="5D38BAA8">
      <w:pPr>
        <w:keepNext w:val="0"/>
        <w:keepLines w:val="0"/>
        <w:widowControl/>
        <w:suppressLineNumbers w:val="0"/>
        <w:jc w:val="left"/>
      </w:pPr>
      <w:r>
        <w:rPr>
          <w:rFonts w:ascii="宋体" w:hAnsi="宋体" w:eastAsia="宋体" w:cs="宋体"/>
          <w:kern w:val="0"/>
          <w:sz w:val="24"/>
          <w:szCs w:val="24"/>
          <w:lang w:val="en-US" w:eastAsia="zh-CN" w:bidi="ar"/>
        </w:rPr>
        <w:t>3.运输车辆数量须与拌合能力、摊铺速度、校方批准的施工时段精准匹配，确保摊铺连续不间断，严禁停机待料；AC-16、AC-35C沥青混合料运输车辆数量可适当增加，规避大粒径集料离析、降温过快问题，保障连续施工。</w:t>
      </w:r>
    </w:p>
    <w:p w14:paraId="44AFE192">
      <w:pPr>
        <w:pStyle w:val="5"/>
        <w:bidi w:val="0"/>
      </w:pPr>
      <w:r>
        <w:t>摊铺要求</w:t>
      </w:r>
    </w:p>
    <w:p w14:paraId="0942C9DF">
      <w:pPr>
        <w:keepNext w:val="0"/>
        <w:keepLines w:val="0"/>
        <w:widowControl/>
        <w:suppressLineNumbers w:val="0"/>
        <w:jc w:val="left"/>
      </w:pPr>
      <w:r>
        <w:rPr>
          <w:rFonts w:ascii="宋体" w:hAnsi="宋体" w:eastAsia="宋体" w:cs="宋体"/>
          <w:kern w:val="0"/>
          <w:sz w:val="24"/>
          <w:szCs w:val="24"/>
          <w:lang w:val="en-US" w:eastAsia="zh-CN" w:bidi="ar"/>
        </w:rPr>
        <w:t>1.采用带自动找平功能的沥青摊铺机摊铺，摊铺前提前0.5~1h预热熨平板，预热温度不低于100℃；摊铺AC-16中粒沥青混凝土、30厚AC-10沥青混凝土及AC-35C粗粒沥青混凝土时，熨平板振动频率适配调高，确保底层、面层摊铺密实度达标。</w:t>
      </w:r>
    </w:p>
    <w:p w14:paraId="71FBEB79">
      <w:pPr>
        <w:keepNext w:val="0"/>
        <w:keepLines w:val="0"/>
        <w:widowControl/>
        <w:suppressLineNumbers w:val="0"/>
        <w:jc w:val="left"/>
      </w:pPr>
      <w:r>
        <w:rPr>
          <w:rFonts w:ascii="宋体" w:hAnsi="宋体" w:eastAsia="宋体" w:cs="宋体"/>
          <w:kern w:val="0"/>
          <w:sz w:val="24"/>
          <w:szCs w:val="24"/>
          <w:lang w:val="en-US" w:eastAsia="zh-CN" w:bidi="ar"/>
        </w:rPr>
        <w:t>2.设计压实厚度分别为40mm（AC-10、AC-16）、30mm（AC-10）、60mm/80mm（AC-35C），松铺系数严格按照对应规格/厚度试验段确定的参数执行，摊铺前精准设置找平基准线，分层摊铺、逐层校核，确保各层高程、平整度、横坡符合设计要求。</w:t>
      </w:r>
    </w:p>
    <w:p w14:paraId="5B343F9B">
      <w:pPr>
        <w:keepNext w:val="0"/>
        <w:keepLines w:val="0"/>
        <w:widowControl/>
        <w:suppressLineNumbers w:val="0"/>
        <w:jc w:val="left"/>
      </w:pPr>
      <w:r>
        <w:rPr>
          <w:rFonts w:ascii="宋体" w:hAnsi="宋体" w:eastAsia="宋体" w:cs="宋体"/>
          <w:kern w:val="0"/>
          <w:sz w:val="24"/>
          <w:szCs w:val="24"/>
          <w:lang w:val="en-US" w:eastAsia="zh-CN" w:bidi="ar"/>
        </w:rPr>
        <w:t>3.摊铺速度匀速、连续，AC-10（30mm、40mm）控制在2~4m/min，AC-16（40mm）控制在2~3m/min，AC-35C控制在1.5~2.5m/min，不得随意变速、停机；摊铺过程中设专人实时检查厚度、平整度、集料均匀性，AC-35C重点排查大粒径集料集中、离析、空洞问题，及时调整偏差。</w:t>
      </w:r>
    </w:p>
    <w:p w14:paraId="36E4257A">
      <w:pPr>
        <w:keepNext w:val="0"/>
        <w:keepLines w:val="0"/>
        <w:widowControl/>
        <w:suppressLineNumbers w:val="0"/>
        <w:jc w:val="left"/>
      </w:pPr>
      <w:r>
        <w:rPr>
          <w:rFonts w:ascii="宋体" w:hAnsi="宋体" w:eastAsia="宋体" w:cs="宋体"/>
          <w:kern w:val="0"/>
          <w:sz w:val="24"/>
          <w:szCs w:val="24"/>
          <w:lang w:val="en-US" w:eastAsia="zh-CN" w:bidi="ar"/>
        </w:rPr>
        <w:t>4.摊铺机螺旋布料器高度适配，混合料高度不低于布料器高度的2/3，避免粗细集料离析；摊铺机无法作业的边角、检查井周边、雨水口、弯道异形区域，采用人工扣锹法补料，严禁扬撒离析；AC-16、30厚AC-10及AC-35C人工补料时，须分层补铺、逐层拍实，杜绝空隙过大、压实不足。</w:t>
      </w:r>
    </w:p>
    <w:p w14:paraId="7172F3EE">
      <w:pPr>
        <w:keepNext w:val="0"/>
        <w:keepLines w:val="0"/>
        <w:widowControl/>
        <w:suppressLineNumbers w:val="0"/>
        <w:jc w:val="left"/>
      </w:pPr>
      <w:r>
        <w:rPr>
          <w:rFonts w:ascii="宋体" w:hAnsi="宋体" w:eastAsia="宋体" w:cs="宋体"/>
          <w:kern w:val="0"/>
          <w:sz w:val="24"/>
          <w:szCs w:val="24"/>
          <w:lang w:val="en-US" w:eastAsia="zh-CN" w:bidi="ar"/>
        </w:rPr>
        <w:t>5.严禁在气温低于10℃、雨天、路面潮湿、风力≥5级的天气开展沥青摊铺、粘层油喷洒作业；施工过程中遇降雨，立即停止施工，对已摊铺未碾压的混合料全部废弃，严禁雨后强行施工。</w:t>
      </w:r>
    </w:p>
    <w:p w14:paraId="6A2646AE">
      <w:pPr>
        <w:pStyle w:val="5"/>
        <w:bidi w:val="0"/>
      </w:pPr>
      <w:r>
        <w:t>碾压要求</w:t>
      </w:r>
    </w:p>
    <w:p w14:paraId="299D284D">
      <w:pPr>
        <w:keepNext w:val="0"/>
        <w:keepLines w:val="0"/>
        <w:widowControl/>
        <w:suppressLineNumbers w:val="0"/>
        <w:jc w:val="left"/>
      </w:pPr>
      <w:r>
        <w:rPr>
          <w:rFonts w:ascii="宋体" w:hAnsi="宋体" w:eastAsia="宋体" w:cs="宋体"/>
          <w:kern w:val="0"/>
          <w:sz w:val="24"/>
          <w:szCs w:val="24"/>
          <w:lang w:val="en-US" w:eastAsia="zh-CN" w:bidi="ar"/>
        </w:rPr>
        <w:t>1.碾压遵循“紧跟、慢压、高频、低幅”原则，分初压、复压、终压三个阶段，全程严格控制碾压温度：AC-10（30mm、40mm）初压起始温度不低于160℃，复压温度不低于130℃，终压完成温度不低于90℃；AC-16（40mm）初压起始温度不低于155℃，复压温度不低于125℃，终压完成温度不低于85℃；AC-35C初压起始温度不低于150℃，复压温度不低于120℃，终压完成温度不低于80℃。</w:t>
      </w:r>
    </w:p>
    <w:p w14:paraId="7EF39C2E">
      <w:pPr>
        <w:keepNext w:val="0"/>
        <w:keepLines w:val="0"/>
        <w:widowControl/>
        <w:suppressLineNumbers w:val="0"/>
        <w:jc w:val="left"/>
      </w:pPr>
      <w:r>
        <w:rPr>
          <w:rFonts w:ascii="宋体" w:hAnsi="宋体" w:eastAsia="宋体" w:cs="宋体"/>
          <w:kern w:val="0"/>
          <w:sz w:val="24"/>
          <w:szCs w:val="24"/>
          <w:lang w:val="en-US" w:eastAsia="zh-CN" w:bidi="ar"/>
        </w:rPr>
        <w:t>2.初压：采用双钢轮压路机静压1~2遍，碾压速度2~3km/h，碾压方向由低到高、由边到中，相邻碾压带重叠1/3~1/2轮宽，初压后全面检查平整度、路拱，及时修整表面缺陷。</w:t>
      </w:r>
    </w:p>
    <w:p w14:paraId="04378447">
      <w:pPr>
        <w:keepNext w:val="0"/>
        <w:keepLines w:val="0"/>
        <w:widowControl/>
        <w:suppressLineNumbers w:val="0"/>
        <w:jc w:val="left"/>
      </w:pPr>
      <w:r>
        <w:rPr>
          <w:rFonts w:ascii="宋体" w:hAnsi="宋体" w:eastAsia="宋体" w:cs="宋体"/>
          <w:kern w:val="0"/>
          <w:sz w:val="24"/>
          <w:szCs w:val="24"/>
          <w:lang w:val="en-US" w:eastAsia="zh-CN" w:bidi="ar"/>
        </w:rPr>
        <w:t>3.复压：AC-10（30mm、40mm）采用双钢轮振动压路机振动碾压3~4遍，碾压速度3~4.5km/h，振动频率35~50Hz，振幅0.3~0.8mm；AC-16（40mm）采用重型双钢轮振动压路机振动碾压4~5遍，碾压速度3~4km/h，振动频率35~50Hz，振幅0.4~0.9mm；AC-35C采用重型振动压路机振动碾压5~6遍，碾压速度2.5~3.5km/h，振动频率35~55Hz，振幅0.5~1.0mm；压实度标准：跑道区域AC-10（30mm/40mm）≥95%，AC-16（40mm）≥96%，AC-35C底层≥97%（马歇尔标准密度），篮球场、丙烯酸地面AC-10（40mm）≥95%。</w:t>
      </w:r>
    </w:p>
    <w:p w14:paraId="591E5B0D">
      <w:pPr>
        <w:keepNext w:val="0"/>
        <w:keepLines w:val="0"/>
        <w:widowControl/>
        <w:suppressLineNumbers w:val="0"/>
        <w:jc w:val="left"/>
      </w:pPr>
      <w:r>
        <w:rPr>
          <w:rFonts w:ascii="宋体" w:hAnsi="宋体" w:eastAsia="宋体" w:cs="宋体"/>
          <w:kern w:val="0"/>
          <w:sz w:val="24"/>
          <w:szCs w:val="24"/>
          <w:lang w:val="en-US" w:eastAsia="zh-CN" w:bidi="ar"/>
        </w:rPr>
        <w:t>4.终压：采用双钢轮压路机静压1~2遍，碾压速度2~3km/h，完全消除轮迹，确保表面平整，无＞1mm的阶梯起伏；AC-16中粒沥青终压后，表面须平整、密实，无明显集料凸起；30厚AC-10沥青终压后，表面须细腻、平整，适配后续塑胶面层施工；AC-35C终压后整体密实均匀、无松散、无坑洼，基层整体平整度达标。</w:t>
      </w:r>
    </w:p>
    <w:p w14:paraId="2E86A188">
      <w:pPr>
        <w:keepNext w:val="0"/>
        <w:keepLines w:val="0"/>
        <w:widowControl/>
        <w:suppressLineNumbers w:val="0"/>
        <w:jc w:val="left"/>
      </w:pPr>
      <w:r>
        <w:rPr>
          <w:rFonts w:ascii="宋体" w:hAnsi="宋体" w:eastAsia="宋体" w:cs="宋体"/>
          <w:kern w:val="0"/>
          <w:sz w:val="24"/>
          <w:szCs w:val="24"/>
          <w:lang w:val="en-US" w:eastAsia="zh-CN" w:bidi="ar"/>
        </w:rPr>
        <w:t>5.碾压过程中，严禁压路机在未冷却的沥青层面上掉头、转向、急刹车、长时间停留，严禁油料、杂物掉落至作业面；压路机无法碾压的边角部位，采用小型振动夯或平板夯分层夯实，AC-35C边角、异形区域需增加夯实遍数，确保无压实死角、压实度全域达标。</w:t>
      </w:r>
    </w:p>
    <w:p w14:paraId="0E50E197">
      <w:pPr>
        <w:keepNext w:val="0"/>
        <w:keepLines w:val="0"/>
        <w:widowControl/>
        <w:suppressLineNumbers w:val="0"/>
        <w:jc w:val="left"/>
      </w:pPr>
      <w:r>
        <w:rPr>
          <w:rFonts w:ascii="宋体" w:hAnsi="宋体" w:eastAsia="宋体" w:cs="宋体"/>
          <w:kern w:val="0"/>
          <w:sz w:val="24"/>
          <w:szCs w:val="24"/>
          <w:lang w:val="en-US" w:eastAsia="zh-CN" w:bidi="ar"/>
        </w:rPr>
        <w:t>6.优先选用低噪声、低振动的压路机设备，严禁在禁止施工时段开展碾压作业。</w:t>
      </w:r>
    </w:p>
    <w:p w14:paraId="70F0BBCB">
      <w:pPr>
        <w:pStyle w:val="5"/>
        <w:bidi w:val="0"/>
      </w:pPr>
      <w:r>
        <w:t>施工缝专项处理要求</w:t>
      </w:r>
    </w:p>
    <w:p w14:paraId="3FB71F87">
      <w:pPr>
        <w:keepNext w:val="0"/>
        <w:keepLines w:val="0"/>
        <w:widowControl/>
        <w:suppressLineNumbers w:val="0"/>
        <w:jc w:val="left"/>
      </w:pPr>
      <w:r>
        <w:rPr>
          <w:rFonts w:ascii="宋体" w:hAnsi="宋体" w:eastAsia="宋体" w:cs="宋体"/>
          <w:kern w:val="0"/>
          <w:sz w:val="24"/>
          <w:szCs w:val="24"/>
          <w:lang w:val="en-US" w:eastAsia="zh-CN" w:bidi="ar"/>
        </w:rPr>
        <w:t>1.沥青摊铺须连续作业，尽量减少施工缝；必须设置施工缝时，采用平接缝，横向施工缝须垂直于跑道中心线，严禁斜缝，纵向施工缝须避开跑道主运动区域、篮球场受力区域。</w:t>
      </w:r>
    </w:p>
    <w:p w14:paraId="1BF9AFB7">
      <w:pPr>
        <w:keepNext w:val="0"/>
        <w:keepLines w:val="0"/>
        <w:widowControl/>
        <w:suppressLineNumbers w:val="0"/>
        <w:jc w:val="left"/>
      </w:pPr>
      <w:r>
        <w:rPr>
          <w:rFonts w:ascii="宋体" w:hAnsi="宋体" w:eastAsia="宋体" w:cs="宋体"/>
          <w:kern w:val="0"/>
          <w:sz w:val="24"/>
          <w:szCs w:val="24"/>
          <w:lang w:val="en-US" w:eastAsia="zh-CN" w:bidi="ar"/>
        </w:rPr>
        <w:t>2.施工缝处理时，须将已压实的边缘用切割机切齐、清理干净，涂刷粘层油，对已压实路面进行预热，摊铺新料时预留搭接余量（AC-1030mm预留5~7cm，AC-1040mm预留5~8cm，AC-1640mm预留8~10cm，AC-35C预留10~12cm），碾压时采用跨缝碾压，确保接茬平顺，无明显高差、无松散、无开裂。</w:t>
      </w:r>
    </w:p>
    <w:p w14:paraId="77552416">
      <w:pPr>
        <w:keepNext w:val="0"/>
        <w:keepLines w:val="0"/>
        <w:widowControl/>
        <w:suppressLineNumbers w:val="0"/>
        <w:jc w:val="left"/>
      </w:pPr>
      <w:r>
        <w:rPr>
          <w:rFonts w:ascii="宋体" w:hAnsi="宋体" w:eastAsia="宋体" w:cs="宋体"/>
          <w:kern w:val="0"/>
          <w:sz w:val="24"/>
          <w:szCs w:val="24"/>
          <w:lang w:val="en-US" w:eastAsia="zh-CN" w:bidi="ar"/>
        </w:rPr>
        <w:t>3.相邻两幅及上下层的横向施工缝均应错开1m以上，严禁施工缝集中设置；AC-16中粒沥青及30厚AC-10沥青施工缝处理后，须额外检查压实度，确保无松散现象；广昌小学跑道修复的两层沥青施工缝须错开，严禁重叠；AC-35C底层与上层AC-16、AC-10施工缝必须分层错缝布置，错缝间距不小于1.5m，杜绝通缝病害。</w:t>
      </w:r>
    </w:p>
    <w:p w14:paraId="25738A62">
      <w:pPr>
        <w:pStyle w:val="5"/>
        <w:bidi w:val="0"/>
      </w:pPr>
      <w:r>
        <w:t>排水与坡度控制</w:t>
      </w:r>
    </w:p>
    <w:p w14:paraId="37D88DD6">
      <w:pPr>
        <w:keepNext w:val="0"/>
        <w:keepLines w:val="0"/>
        <w:widowControl/>
        <w:suppressLineNumbers w:val="0"/>
        <w:jc w:val="left"/>
      </w:pPr>
      <w:r>
        <w:rPr>
          <w:rFonts w:ascii="宋体" w:hAnsi="宋体" w:eastAsia="宋体" w:cs="宋体"/>
          <w:kern w:val="0"/>
          <w:sz w:val="24"/>
          <w:szCs w:val="24"/>
          <w:lang w:val="en-US" w:eastAsia="zh-CN" w:bidi="ar"/>
        </w:rPr>
        <w:t>1.沥青层施工须严格控制坡度，所有跑道区域（AC-1030mm/40mm、AC-1640mm、AC-35C60mm/80mm）横向坡度≤1%（优先控制为8‰），纵向坡度≤0.1%；篮球场、丙烯酸地面区域（AC-1040mm）横向坡度≤1%，纵向坡度≤0.5%，全程用水准仪跟踪测量，每摊铺5m校核一次高程与坡度，底层AC-35C坡度精准控制，为面层排水奠定基础。</w:t>
      </w:r>
    </w:p>
    <w:p w14:paraId="5D1EF7A4">
      <w:pPr>
        <w:keepNext w:val="0"/>
        <w:keepLines w:val="0"/>
        <w:widowControl/>
        <w:suppressLineNumbers w:val="0"/>
        <w:jc w:val="left"/>
      </w:pPr>
      <w:r>
        <w:rPr>
          <w:rFonts w:ascii="宋体" w:hAnsi="宋体" w:eastAsia="宋体" w:cs="宋体"/>
          <w:kern w:val="0"/>
          <w:sz w:val="24"/>
          <w:szCs w:val="24"/>
          <w:lang w:val="en-US" w:eastAsia="zh-CN" w:bidi="ar"/>
        </w:rPr>
        <w:t>2.施工完成后须做全面淋水/泼水测试，基层表面应无积水、无明显水膜滞留，三层沥青整体排水顺畅、无积水隐患。</w:t>
      </w:r>
    </w:p>
    <w:p w14:paraId="5AF0BDEA">
      <w:pPr>
        <w:pStyle w:val="3"/>
        <w:bidi w:val="0"/>
      </w:pPr>
      <w:r>
        <w:t>质量检测与验收要求</w:t>
      </w:r>
    </w:p>
    <w:p w14:paraId="084DEB68">
      <w:pPr>
        <w:pStyle w:val="4"/>
        <w:bidi w:val="0"/>
      </w:pPr>
      <w:r>
        <w:t>检测要求</w:t>
      </w:r>
    </w:p>
    <w:p w14:paraId="11F663D2">
      <w:pPr>
        <w:keepNext w:val="0"/>
        <w:keepLines w:val="0"/>
        <w:widowControl/>
        <w:suppressLineNumbers w:val="0"/>
        <w:jc w:val="left"/>
      </w:pPr>
      <w:r>
        <w:rPr>
          <w:rFonts w:ascii="宋体" w:hAnsi="宋体" w:eastAsia="宋体" w:cs="宋体"/>
          <w:kern w:val="0"/>
          <w:sz w:val="24"/>
          <w:szCs w:val="24"/>
          <w:lang w:val="en-US" w:eastAsia="zh-CN" w:bidi="ar"/>
        </w:rPr>
        <w:t>注明：所有检测须参考道路工程相关规范，并结合质监站的具体要求编制检测方案，经确认后再开展各项检测工作，基本的检测如下：</w:t>
      </w:r>
    </w:p>
    <w:p w14:paraId="4AC57E66">
      <w:pPr>
        <w:keepNext w:val="0"/>
        <w:keepLines w:val="0"/>
        <w:widowControl/>
        <w:suppressLineNumbers w:val="0"/>
        <w:jc w:val="left"/>
      </w:pPr>
      <w:r>
        <w:rPr>
          <w:rFonts w:ascii="宋体" w:hAnsi="宋体" w:eastAsia="宋体" w:cs="宋体"/>
          <w:kern w:val="0"/>
          <w:sz w:val="24"/>
          <w:szCs w:val="24"/>
          <w:lang w:val="en-US" w:eastAsia="zh-CN" w:bidi="ar"/>
        </w:rPr>
        <w:t>1.原材料检测：所有进场材料须按规范及本技术要求进行见证取样复检，检测合格后方可使用，所有检测报告须报监理、建设单位、校方备案。</w:t>
      </w:r>
    </w:p>
    <w:p w14:paraId="28626222">
      <w:pPr>
        <w:keepNext w:val="0"/>
        <w:keepLines w:val="0"/>
        <w:widowControl/>
        <w:suppressLineNumbers w:val="0"/>
        <w:jc w:val="left"/>
      </w:pPr>
      <w:r>
        <w:rPr>
          <w:rFonts w:ascii="宋体" w:hAnsi="宋体" w:eastAsia="宋体" w:cs="宋体"/>
          <w:kern w:val="0"/>
          <w:sz w:val="24"/>
          <w:szCs w:val="24"/>
          <w:lang w:val="en-US" w:eastAsia="zh-CN" w:bidi="ar"/>
        </w:rPr>
        <w:t>2.施工过程检测：施工过程中须按规范要求开展实时检测，重点检测以下内容：</w:t>
      </w:r>
    </w:p>
    <w:p w14:paraId="5823F6D1">
      <w:pPr>
        <w:keepNext w:val="0"/>
        <w:keepLines w:val="0"/>
        <w:widowControl/>
        <w:suppressLineNumbers w:val="0"/>
        <w:jc w:val="left"/>
      </w:pPr>
      <w:r>
        <w:rPr>
          <w:rFonts w:ascii="宋体" w:hAnsi="宋体" w:eastAsia="宋体" w:cs="宋体"/>
          <w:kern w:val="0"/>
          <w:sz w:val="24"/>
          <w:szCs w:val="24"/>
          <w:lang w:val="en-US" w:eastAsia="zh-CN" w:bidi="ar"/>
        </w:rPr>
        <w:t>(1)沥青混合料温度检测：拌合出料温度、运输到场温度、摊铺温度、碾压温度，每台班检测不少于3次，记录完整，AC-35C单独测温、单独建档；</w:t>
      </w:r>
    </w:p>
    <w:p w14:paraId="2086228E">
      <w:pPr>
        <w:keepNext w:val="0"/>
        <w:keepLines w:val="0"/>
        <w:widowControl/>
        <w:suppressLineNumbers w:val="0"/>
        <w:jc w:val="left"/>
      </w:pPr>
      <w:r>
        <w:rPr>
          <w:rFonts w:ascii="宋体" w:hAnsi="宋体" w:eastAsia="宋体" w:cs="宋体"/>
          <w:kern w:val="0"/>
          <w:sz w:val="24"/>
          <w:szCs w:val="24"/>
          <w:lang w:val="en-US" w:eastAsia="zh-CN" w:bidi="ar"/>
        </w:rPr>
        <w:t>(2)厚度检测：AC-10（30mm、40mm）、AC-16（40mm）、AC-35C（60mm/80mm）沥青层压实厚度，每500㎡检测不少于3点，偏差控制在±5mm以内，分层厚度单独校核；</w:t>
      </w:r>
    </w:p>
    <w:p w14:paraId="141E002D">
      <w:pPr>
        <w:keepNext w:val="0"/>
        <w:keepLines w:val="0"/>
        <w:widowControl/>
        <w:suppressLineNumbers w:val="0"/>
        <w:jc w:val="left"/>
      </w:pPr>
      <w:r>
        <w:rPr>
          <w:rFonts w:ascii="宋体" w:hAnsi="宋体" w:eastAsia="宋体" w:cs="宋体"/>
          <w:kern w:val="0"/>
          <w:sz w:val="24"/>
          <w:szCs w:val="24"/>
          <w:lang w:val="en-US" w:eastAsia="zh-CN" w:bidi="ar"/>
        </w:rPr>
        <w:t>(3)压实度检测：跑道区域AC-10（30mm、40mm）压实度≥95%，AC-16（40mm）压实度≥96%，AC-35C压实度≥97%，篮球场、丙烯酸地面AC-10（40mm）压实度≥95%，检测频率为每1000㎡检测1点，单位工程检测数量不少于3点，采用钻芯法统一检测；</w:t>
      </w:r>
    </w:p>
    <w:p w14:paraId="4E40190B">
      <w:pPr>
        <w:keepNext w:val="0"/>
        <w:keepLines w:val="0"/>
        <w:widowControl/>
        <w:suppressLineNumbers w:val="0"/>
        <w:jc w:val="left"/>
      </w:pPr>
      <w:r>
        <w:rPr>
          <w:rFonts w:ascii="宋体" w:hAnsi="宋体" w:eastAsia="宋体" w:cs="宋体"/>
          <w:kern w:val="0"/>
          <w:sz w:val="24"/>
          <w:szCs w:val="24"/>
          <w:lang w:val="en-US" w:eastAsia="zh-CN" w:bidi="ar"/>
        </w:rPr>
        <w:t>(4)平整度检测：采用3m直尺检测，偏差≤3mm/3m，每100㎡检测不少于5点，底层、中层、面层逐层检测；</w:t>
      </w:r>
    </w:p>
    <w:p w14:paraId="1D6626E1">
      <w:pPr>
        <w:keepNext w:val="0"/>
        <w:keepLines w:val="0"/>
        <w:widowControl/>
        <w:suppressLineNumbers w:val="0"/>
        <w:jc w:val="left"/>
      </w:pPr>
      <w:r>
        <w:rPr>
          <w:rFonts w:ascii="宋体" w:hAnsi="宋体" w:eastAsia="宋体" w:cs="宋体"/>
          <w:kern w:val="0"/>
          <w:sz w:val="24"/>
          <w:szCs w:val="24"/>
          <w:lang w:val="en-US" w:eastAsia="zh-CN" w:bidi="ar"/>
        </w:rPr>
        <w:t>(5)坡度检测：横向、纵向坡度按设计要求控制，每摊铺5m校核一次高程与坡度，确保符合规范及设计要求；</w:t>
      </w:r>
    </w:p>
    <w:p w14:paraId="25A8942A">
      <w:pPr>
        <w:keepNext w:val="0"/>
        <w:keepLines w:val="0"/>
        <w:widowControl/>
        <w:suppressLineNumbers w:val="0"/>
        <w:jc w:val="left"/>
      </w:pPr>
      <w:r>
        <w:rPr>
          <w:rFonts w:ascii="宋体" w:hAnsi="宋体" w:eastAsia="宋体" w:cs="宋体"/>
          <w:kern w:val="0"/>
          <w:sz w:val="24"/>
          <w:szCs w:val="24"/>
          <w:lang w:val="en-US" w:eastAsia="zh-CN" w:bidi="ar"/>
        </w:rPr>
        <w:t>(6)施工缝检测：检查接茬平顺度、压实度，无松散、开裂、明显高差，每道施工缝检测不少于2点。</w:t>
      </w:r>
    </w:p>
    <w:p w14:paraId="5F41D2C1">
      <w:pPr>
        <w:pStyle w:val="4"/>
        <w:bidi w:val="0"/>
      </w:pPr>
      <w:r>
        <w:t>验收要求</w:t>
      </w:r>
    </w:p>
    <w:p w14:paraId="1108C8C5">
      <w:pPr>
        <w:keepNext w:val="0"/>
        <w:keepLines w:val="0"/>
        <w:widowControl/>
        <w:suppressLineNumbers w:val="0"/>
        <w:jc w:val="left"/>
      </w:pPr>
      <w:r>
        <w:rPr>
          <w:rFonts w:ascii="宋体" w:hAnsi="宋体" w:eastAsia="宋体" w:cs="宋体"/>
          <w:kern w:val="0"/>
          <w:sz w:val="24"/>
          <w:szCs w:val="24"/>
          <w:lang w:val="en-US" w:eastAsia="zh-CN" w:bidi="ar"/>
        </w:rPr>
        <w:t>1.验收标准：严格按照本技术要求、设计文件及相关规范标准验收，重点核查以下内容：</w:t>
      </w:r>
    </w:p>
    <w:p w14:paraId="48802B8E">
      <w:pPr>
        <w:keepNext w:val="0"/>
        <w:keepLines w:val="0"/>
        <w:widowControl/>
        <w:suppressLineNumbers w:val="0"/>
        <w:jc w:val="left"/>
      </w:pPr>
      <w:r>
        <w:rPr>
          <w:rFonts w:ascii="宋体" w:hAnsi="宋体" w:eastAsia="宋体" w:cs="宋体"/>
          <w:kern w:val="0"/>
          <w:sz w:val="24"/>
          <w:szCs w:val="24"/>
          <w:lang w:val="en-US" w:eastAsia="zh-CN" w:bidi="ar"/>
        </w:rPr>
        <w:t>(1)材料规格、品牌、质量符合本技术要求及投标文件承诺，AC-10、AC-16、AC-35C无擅自更换、混用、错用情况；</w:t>
      </w:r>
    </w:p>
    <w:p w14:paraId="5593A0D3">
      <w:pPr>
        <w:keepNext w:val="0"/>
        <w:keepLines w:val="0"/>
        <w:widowControl/>
        <w:suppressLineNumbers w:val="0"/>
        <w:jc w:val="left"/>
      </w:pPr>
      <w:r>
        <w:rPr>
          <w:rFonts w:ascii="宋体" w:hAnsi="宋体" w:eastAsia="宋体" w:cs="宋体"/>
          <w:kern w:val="0"/>
          <w:sz w:val="24"/>
          <w:szCs w:val="24"/>
          <w:lang w:val="en-US" w:eastAsia="zh-CN" w:bidi="ar"/>
        </w:rPr>
        <w:t>(2)AC-10（30mm、40mm）、AC-16（40mm）、AC-35C（60mm/80mm）沥青层厚度、压实度、平整度、坡度等指标符合设计及规范要求，无松散、开裂、积水、离析、分层空鼓等缺陷；</w:t>
      </w:r>
    </w:p>
    <w:p w14:paraId="2A827650">
      <w:pPr>
        <w:keepNext w:val="0"/>
        <w:keepLines w:val="0"/>
        <w:widowControl/>
        <w:suppressLineNumbers w:val="0"/>
        <w:jc w:val="left"/>
      </w:pPr>
      <w:r>
        <w:rPr>
          <w:rFonts w:ascii="宋体" w:hAnsi="宋体" w:eastAsia="宋体" w:cs="宋体"/>
          <w:kern w:val="0"/>
          <w:sz w:val="24"/>
          <w:szCs w:val="24"/>
          <w:lang w:val="en-US" w:eastAsia="zh-CN" w:bidi="ar"/>
        </w:rPr>
        <w:t>(3)施工缝处理平顺，无明显高差、松散、开裂，分层粘结紧密，无分层、空鼓现象，三层沥青施工缝错缝合规；</w:t>
      </w:r>
    </w:p>
    <w:p w14:paraId="190A021E">
      <w:pPr>
        <w:keepNext w:val="0"/>
        <w:keepLines w:val="0"/>
        <w:widowControl/>
        <w:suppressLineNumbers w:val="0"/>
        <w:jc w:val="left"/>
      </w:pPr>
      <w:r>
        <w:rPr>
          <w:rFonts w:ascii="宋体" w:hAnsi="宋体" w:eastAsia="宋体" w:cs="宋体"/>
          <w:kern w:val="0"/>
          <w:sz w:val="24"/>
          <w:szCs w:val="24"/>
          <w:lang w:val="en-US" w:eastAsia="zh-CN" w:bidi="ar"/>
        </w:rPr>
        <w:t>(4)校园设施保护到位，无损坏、遗漏，检查井、雨水口与沥青面层衔接平顺，无下沉、积水现象；</w:t>
      </w:r>
    </w:p>
    <w:p w14:paraId="2881717C">
      <w:pPr>
        <w:keepNext w:val="0"/>
        <w:keepLines w:val="0"/>
        <w:widowControl/>
        <w:suppressLineNumbers w:val="0"/>
        <w:jc w:val="left"/>
      </w:pPr>
      <w:r>
        <w:rPr>
          <w:rFonts w:ascii="宋体" w:hAnsi="宋体" w:eastAsia="宋体" w:cs="宋体"/>
          <w:kern w:val="0"/>
          <w:sz w:val="24"/>
          <w:szCs w:val="24"/>
          <w:lang w:val="en-US" w:eastAsia="zh-CN" w:bidi="ar"/>
        </w:rPr>
        <w:t>(5)施工资料完整、规范，各规格沥青混合料检测报告齐全、分类归档清晰，符合验收要求；</w:t>
      </w:r>
    </w:p>
    <w:p w14:paraId="0A1ABCFF">
      <w:pPr>
        <w:keepNext w:val="0"/>
        <w:keepLines w:val="0"/>
        <w:widowControl/>
        <w:suppressLineNumbers w:val="0"/>
        <w:jc w:val="left"/>
      </w:pPr>
      <w:r>
        <w:rPr>
          <w:rFonts w:ascii="宋体" w:hAnsi="宋体" w:eastAsia="宋体" w:cs="宋体"/>
          <w:kern w:val="0"/>
          <w:sz w:val="24"/>
          <w:szCs w:val="24"/>
          <w:lang w:val="en-US" w:eastAsia="zh-CN" w:bidi="ar"/>
        </w:rPr>
        <w:t>(6)作业面清理干净，无废料、垃圾残留，临时设施已拆除，场地恢复至校方要求标准。</w:t>
      </w:r>
    </w:p>
    <w:p w14:paraId="4D3FD437">
      <w:pPr>
        <w:keepNext w:val="0"/>
        <w:keepLines w:val="0"/>
        <w:widowControl/>
        <w:suppressLineNumbers w:val="0"/>
        <w:jc w:val="left"/>
      </w:pPr>
      <w:r>
        <w:rPr>
          <w:rFonts w:ascii="宋体" w:hAnsi="宋体" w:eastAsia="宋体" w:cs="宋体"/>
          <w:kern w:val="0"/>
          <w:sz w:val="24"/>
          <w:szCs w:val="24"/>
          <w:lang w:val="en-US" w:eastAsia="zh-CN" w:bidi="ar"/>
        </w:rPr>
        <w:t>2.验收异议处理：验收过程中，各方对验收结果有异议的，须委托第三方检测机构进行复检，复检费用由责任方承担；复检合格的，视为验收通过；复检不合格的，中标方须无条件返工，直至验收合格，承担由此造成的全部损失及工期延误责任。</w:t>
      </w:r>
    </w:p>
    <w:p w14:paraId="7B003740">
      <w:pPr>
        <w:pStyle w:val="4"/>
        <w:bidi w:val="0"/>
      </w:pPr>
      <w:r>
        <w:t>质保要求</w:t>
      </w:r>
    </w:p>
    <w:p w14:paraId="497AD124">
      <w:pPr>
        <w:keepNext w:val="0"/>
        <w:keepLines w:val="0"/>
        <w:widowControl/>
        <w:suppressLineNumbers w:val="0"/>
        <w:jc w:val="left"/>
      </w:pPr>
      <w:r>
        <w:rPr>
          <w:rFonts w:ascii="宋体" w:hAnsi="宋体" w:eastAsia="宋体" w:cs="宋体"/>
          <w:kern w:val="0"/>
          <w:sz w:val="24"/>
          <w:szCs w:val="24"/>
          <w:lang w:val="en-US" w:eastAsia="zh-CN" w:bidi="ar"/>
        </w:rPr>
        <w:t>1.本项目沥青工程质保期2年，自竣工验收合格并签署竣工验收报告之日起计算；质保期内，中标方须对AC-10、AC-16、AC-35C全部沥青工程承担免费维修、更换责任，不得推诿、拖延。</w:t>
      </w:r>
    </w:p>
    <w:p w14:paraId="589FEB41">
      <w:pPr>
        <w:keepNext w:val="0"/>
        <w:keepLines w:val="0"/>
        <w:widowControl/>
        <w:suppressLineNumbers w:val="0"/>
        <w:jc w:val="left"/>
      </w:pPr>
      <w:r>
        <w:rPr>
          <w:rFonts w:ascii="宋体" w:hAnsi="宋体" w:eastAsia="宋体" w:cs="宋体"/>
          <w:kern w:val="0"/>
          <w:sz w:val="24"/>
          <w:szCs w:val="24"/>
          <w:lang w:val="en-US" w:eastAsia="zh-CN" w:bidi="ar"/>
        </w:rPr>
        <w:t>2.质保期内，因中标方施工质量、材料质量问题导致各层级沥青层出现开裂、松散、下沉、积水、分层等缺陷，或因施工原因导致后续面层施工出现问题的，中标方须在接到维修通知后24h内（紧急情况4h内）进场处理，维修费用、材料费用、人工费用等全部由中标方承担，维修后须确保符合本技术要求及设计标准，质保期自维修合格之日起重新计算。</w:t>
      </w:r>
    </w:p>
    <w:p w14:paraId="2DE268F4">
      <w:pPr>
        <w:rPr>
          <w:rFonts w:hint="default"/>
          <w:lang w:val="en-US" w:eastAsia="zh-CN"/>
        </w:rPr>
      </w:pPr>
    </w:p>
    <w:sectPr>
      <w:headerReference r:id="rId5" w:type="default"/>
      <w:footerReference r:id="rId6" w:type="default"/>
      <w:pgSz w:w="11906" w:h="16838"/>
      <w:pgMar w:top="1247" w:right="1247" w:bottom="1247" w:left="1247" w:header="680" w:footer="680" w:gutter="17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swiss"/>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635057"/>
      <w:docPartObj>
        <w:docPartGallery w:val="autotext"/>
      </w:docPartObj>
    </w:sdtPr>
    <w:sdtContent>
      <w:p w14:paraId="22EFE8EF">
        <w:pPr>
          <w:tabs>
            <w:tab w:val="center" w:pos="4153"/>
            <w:tab w:val="right" w:pos="8306"/>
          </w:tabs>
          <w:ind w:firstLine="360"/>
          <w:jc w:val="center"/>
        </w:pPr>
        <w:r>
          <w:fldChar w:fldCharType="begin"/>
        </w:r>
        <w:r>
          <w:instrText xml:space="preserve">PAGE   \* MERGEFORMAT</w:instrText>
        </w:r>
        <w:r>
          <w:fldChar w:fldCharType="separate"/>
        </w:r>
        <w:r>
          <w:rPr>
            <w:lang w:val="zh-CN"/>
          </w:rPr>
          <w:t>-</w:t>
        </w:r>
        <w:r>
          <w:t xml:space="preserve"> 533 -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D450">
    <w:pPr>
      <w:pStyle w:val="11"/>
      <w:keepNext w:val="0"/>
      <w:keepLines w:val="0"/>
      <w:pageBreakBefore w:val="0"/>
      <w:widowControl w:val="0"/>
      <w:pBdr>
        <w:bottom w:val="single" w:color="auto" w:sz="4" w:space="0"/>
      </w:pBdr>
      <w:kinsoku/>
      <w:wordWrap/>
      <w:overflowPunct/>
      <w:topLinePunct w:val="0"/>
      <w:bidi w:val="0"/>
      <w:adjustRightInd/>
      <w:snapToGrid w:val="0"/>
      <w:spacing w:line="240" w:lineRule="auto"/>
      <w:ind w:left="0" w:leftChars="0" w:firstLine="0" w:firstLineChars="0"/>
      <w:jc w:val="left"/>
      <w:textAlignment w:val="auto"/>
      <w:rPr>
        <w:rFonts w:hint="default"/>
        <w:lang w:val="en-US"/>
      </w:rPr>
    </w:pPr>
    <w:r>
      <w:rPr>
        <w:rFonts w:hint="eastAsia"/>
        <w:b/>
        <w:bCs/>
        <w:sz w:val="44"/>
        <w:szCs w:val="52"/>
      </w:rPr>
      <w:drawing>
        <wp:inline distT="0" distB="0" distL="114300" distR="114300">
          <wp:extent cx="965835" cy="219710"/>
          <wp:effectExtent l="0" t="0" r="5715" b="8890"/>
          <wp:docPr id="112" name="图片 2" descr="南粤建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descr="南粤建筑"/>
                  <pic:cNvPicPr>
                    <a:picLocks noChangeAspect="1"/>
                  </pic:cNvPicPr>
                </pic:nvPicPr>
                <pic:blipFill>
                  <a:blip r:embed="rId1"/>
                  <a:stretch>
                    <a:fillRect/>
                  </a:stretch>
                </pic:blipFill>
                <pic:spPr>
                  <a:xfrm>
                    <a:off x="0" y="0"/>
                    <a:ext cx="965835" cy="219710"/>
                  </a:xfrm>
                  <a:prstGeom prst="rect">
                    <a:avLst/>
                  </a:prstGeom>
                  <a:noFill/>
                  <a:ln>
                    <a:noFill/>
                  </a:ln>
                </pic:spPr>
              </pic:pic>
            </a:graphicData>
          </a:graphic>
        </wp:inline>
      </w:drawing>
    </w:r>
    <w:r>
      <w:rPr>
        <w:rFonts w:hint="eastAsia"/>
        <w:b/>
        <w:bCs/>
        <w:sz w:val="44"/>
        <w:szCs w:val="52"/>
        <w:lang w:val="en-US" w:eastAsia="zh-CN"/>
      </w:rPr>
      <w:t xml:space="preserve">             </w:t>
    </w:r>
    <w:r>
      <w:rPr>
        <w:rFonts w:hint="eastAsia"/>
      </w:rPr>
      <w:t>珠海市香洲区中小学、幼儿园办学场所及停车场改造提升工程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20CDA"/>
    <w:multiLevelType w:val="multilevel"/>
    <w:tmpl w:val="24620CDA"/>
    <w:lvl w:ilvl="0" w:tentative="0">
      <w:start w:val="1"/>
      <w:numFmt w:val="chineseCountingThousand"/>
      <w:pStyle w:val="2"/>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pStyle w:val="3"/>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suff w:val="space"/>
      <w:lvlText w:val="%2.%3"/>
      <w:lvlJc w:val="left"/>
      <w:pPr>
        <w:ind w:left="0" w:firstLine="0"/>
      </w:pPr>
      <w:rPr>
        <w:rFonts w:hint="default" w:ascii="Times New Roman" w:hAnsi="Times New Roman" w:eastAsia="宋体"/>
        <w:b/>
        <w:i w:val="0"/>
        <w:sz w:val="28"/>
        <w:u w:val="none"/>
      </w:rPr>
    </w:lvl>
    <w:lvl w:ilvl="3" w:tentative="0">
      <w:start w:val="1"/>
      <w:numFmt w:val="decimal"/>
      <w:pStyle w:val="5"/>
      <w:suff w:val="space"/>
      <w:lvlText w:val="%2.%3.%4"/>
      <w:lvlJc w:val="left"/>
      <w:pPr>
        <w:ind w:left="1135" w:firstLine="0"/>
      </w:pPr>
      <w:rPr>
        <w:rFonts w:hint="default" w:ascii="Times New Roman" w:hAnsi="Times New Roman" w:eastAsia="宋体"/>
        <w:b w:val="0"/>
        <w:i w:val="0"/>
        <w:sz w:val="24"/>
        <w:u w:val="none"/>
      </w:rPr>
    </w:lvl>
    <w:lvl w:ilvl="4" w:tentative="0">
      <w:start w:val="1"/>
      <w:numFmt w:val="decimal"/>
      <w:pStyle w:val="6"/>
      <w:suff w:val="space"/>
      <w:lvlText w:val="%2.%3.%4.%5"/>
      <w:lvlJc w:val="left"/>
      <w:pPr>
        <w:ind w:left="710" w:firstLine="0"/>
      </w:pPr>
      <w:rPr>
        <w:rFonts w:hint="default" w:ascii="Times New Roman" w:hAnsi="Times New Roman" w:eastAsia="宋体"/>
        <w:b w:val="0"/>
        <w:i w:val="0"/>
        <w:sz w:val="24"/>
        <w:u w:val="none"/>
      </w:rPr>
    </w:lvl>
    <w:lvl w:ilvl="5" w:tentative="0">
      <w:start w:val="1"/>
      <w:numFmt w:val="decimal"/>
      <w:pStyle w:val="20"/>
      <w:suff w:val="space"/>
      <w:lvlText w:val="(%6)"/>
      <w:lvlJc w:val="left"/>
      <w:pPr>
        <w:ind w:left="425" w:firstLine="284"/>
      </w:pPr>
      <w:rPr>
        <w:rFonts w:hint="default" w:ascii="Times New Roman" w:hAnsi="Times New Roman" w:eastAsia="宋体"/>
        <w:b w:val="0"/>
        <w:i w:val="0"/>
        <w:color w:val="auto"/>
        <w:sz w:val="24"/>
        <w:u w:val="none"/>
      </w:rPr>
    </w:lvl>
    <w:lvl w:ilvl="6" w:tentative="0">
      <w:start w:val="1"/>
      <w:numFmt w:val="decimal"/>
      <w:pStyle w:val="30"/>
      <w:suff w:val="space"/>
      <w:lvlText w:val="%7)"/>
      <w:lvlJc w:val="left"/>
      <w:pPr>
        <w:ind w:left="0" w:firstLine="454"/>
      </w:pPr>
      <w:rPr>
        <w:rFonts w:hint="default" w:ascii="Times New Roman" w:hAnsi="Times New Roman" w:eastAsia="宋体"/>
        <w:b w:val="0"/>
        <w:i w:val="0"/>
        <w:color w:val="auto"/>
        <w:sz w:val="24"/>
        <w:u w:val="none"/>
      </w:rPr>
    </w:lvl>
    <w:lvl w:ilvl="7" w:tentative="0">
      <w:start w:val="1"/>
      <w:numFmt w:val="decimal"/>
      <w:lvlRestart w:val="5"/>
      <w:pStyle w:val="26"/>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pStyle w:val="28"/>
      <w:suff w:val="space"/>
      <w:lvlText w:val="图%1.%2.%3.%4-%9"/>
      <w:lvlJc w:val="left"/>
      <w:pPr>
        <w:ind w:left="3686" w:firstLine="0"/>
      </w:pPr>
      <w:rPr>
        <w:rFonts w:hint="eastAsia"/>
        <w:b w:val="0"/>
        <w:bCs w:val="0"/>
        <w:i w:val="0"/>
        <w:iCs w:val="0"/>
        <w:caps w:val="0"/>
        <w:smallCaps w:val="0"/>
        <w:strike w:val="0"/>
        <w:dstrike w:val="0"/>
        <w:outline w:val="0"/>
        <w:shadow w:val="0"/>
        <w:emboss w:val="0"/>
        <w:imprint w:val="0"/>
        <w:vanish w:val="0"/>
        <w:color w:val="auto"/>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A6"/>
    <w:rsid w:val="0000066D"/>
    <w:rsid w:val="000006BD"/>
    <w:rsid w:val="00000924"/>
    <w:rsid w:val="0000407C"/>
    <w:rsid w:val="00004DFE"/>
    <w:rsid w:val="00005E7D"/>
    <w:rsid w:val="00006D19"/>
    <w:rsid w:val="000102E2"/>
    <w:rsid w:val="00010DC8"/>
    <w:rsid w:val="000118AA"/>
    <w:rsid w:val="00013496"/>
    <w:rsid w:val="00013B6E"/>
    <w:rsid w:val="00015829"/>
    <w:rsid w:val="00015F96"/>
    <w:rsid w:val="000174E3"/>
    <w:rsid w:val="00017B92"/>
    <w:rsid w:val="00020A29"/>
    <w:rsid w:val="00021890"/>
    <w:rsid w:val="00021B13"/>
    <w:rsid w:val="00022B2F"/>
    <w:rsid w:val="000241E0"/>
    <w:rsid w:val="0003011C"/>
    <w:rsid w:val="00030351"/>
    <w:rsid w:val="000306BC"/>
    <w:rsid w:val="0003276C"/>
    <w:rsid w:val="00032968"/>
    <w:rsid w:val="0003332E"/>
    <w:rsid w:val="00033FDA"/>
    <w:rsid w:val="00034227"/>
    <w:rsid w:val="000346CC"/>
    <w:rsid w:val="00034E4F"/>
    <w:rsid w:val="00034EE4"/>
    <w:rsid w:val="00035F71"/>
    <w:rsid w:val="000362FF"/>
    <w:rsid w:val="0003697F"/>
    <w:rsid w:val="00037148"/>
    <w:rsid w:val="0004145D"/>
    <w:rsid w:val="00042154"/>
    <w:rsid w:val="00047500"/>
    <w:rsid w:val="0005050A"/>
    <w:rsid w:val="00050C87"/>
    <w:rsid w:val="00052B0D"/>
    <w:rsid w:val="000544ED"/>
    <w:rsid w:val="000549AE"/>
    <w:rsid w:val="00055F4D"/>
    <w:rsid w:val="00056972"/>
    <w:rsid w:val="00056EB2"/>
    <w:rsid w:val="000579EB"/>
    <w:rsid w:val="00057DCC"/>
    <w:rsid w:val="00061C06"/>
    <w:rsid w:val="00062C39"/>
    <w:rsid w:val="00063D65"/>
    <w:rsid w:val="000654C0"/>
    <w:rsid w:val="00065F5A"/>
    <w:rsid w:val="0006601A"/>
    <w:rsid w:val="0006651E"/>
    <w:rsid w:val="00066CCD"/>
    <w:rsid w:val="00067CC4"/>
    <w:rsid w:val="00070DC2"/>
    <w:rsid w:val="00071804"/>
    <w:rsid w:val="00071A43"/>
    <w:rsid w:val="00074808"/>
    <w:rsid w:val="0007498B"/>
    <w:rsid w:val="00077632"/>
    <w:rsid w:val="00077A0C"/>
    <w:rsid w:val="00077C81"/>
    <w:rsid w:val="00082A45"/>
    <w:rsid w:val="00083706"/>
    <w:rsid w:val="00085386"/>
    <w:rsid w:val="0008754E"/>
    <w:rsid w:val="00087D71"/>
    <w:rsid w:val="00090B88"/>
    <w:rsid w:val="00090D6D"/>
    <w:rsid w:val="00091112"/>
    <w:rsid w:val="00095810"/>
    <w:rsid w:val="00096A2D"/>
    <w:rsid w:val="000A1F97"/>
    <w:rsid w:val="000A2917"/>
    <w:rsid w:val="000A2C24"/>
    <w:rsid w:val="000A327A"/>
    <w:rsid w:val="000A35D9"/>
    <w:rsid w:val="000A5867"/>
    <w:rsid w:val="000A7293"/>
    <w:rsid w:val="000A7A3D"/>
    <w:rsid w:val="000B0460"/>
    <w:rsid w:val="000B11FA"/>
    <w:rsid w:val="000B1708"/>
    <w:rsid w:val="000B4659"/>
    <w:rsid w:val="000B492D"/>
    <w:rsid w:val="000B57E1"/>
    <w:rsid w:val="000B7C84"/>
    <w:rsid w:val="000C033D"/>
    <w:rsid w:val="000C18F7"/>
    <w:rsid w:val="000C1B5D"/>
    <w:rsid w:val="000C299B"/>
    <w:rsid w:val="000C3C0C"/>
    <w:rsid w:val="000C3DC0"/>
    <w:rsid w:val="000C4133"/>
    <w:rsid w:val="000C4EC0"/>
    <w:rsid w:val="000D0850"/>
    <w:rsid w:val="000D0B77"/>
    <w:rsid w:val="000D1DB1"/>
    <w:rsid w:val="000D2949"/>
    <w:rsid w:val="000D3630"/>
    <w:rsid w:val="000D4870"/>
    <w:rsid w:val="000D568C"/>
    <w:rsid w:val="000D5C1F"/>
    <w:rsid w:val="000D5CD9"/>
    <w:rsid w:val="000D67DA"/>
    <w:rsid w:val="000D6EE1"/>
    <w:rsid w:val="000D7743"/>
    <w:rsid w:val="000E04DD"/>
    <w:rsid w:val="000E0929"/>
    <w:rsid w:val="000E0980"/>
    <w:rsid w:val="000E26D0"/>
    <w:rsid w:val="000E34DF"/>
    <w:rsid w:val="000E3AE7"/>
    <w:rsid w:val="000E3FB7"/>
    <w:rsid w:val="000E40B6"/>
    <w:rsid w:val="000E4787"/>
    <w:rsid w:val="000E5A00"/>
    <w:rsid w:val="000E5EF6"/>
    <w:rsid w:val="000F0AF9"/>
    <w:rsid w:val="000F77CC"/>
    <w:rsid w:val="000F7EFD"/>
    <w:rsid w:val="0010015F"/>
    <w:rsid w:val="00102CF6"/>
    <w:rsid w:val="00103FE9"/>
    <w:rsid w:val="00104CBC"/>
    <w:rsid w:val="00105415"/>
    <w:rsid w:val="001064A8"/>
    <w:rsid w:val="0011009E"/>
    <w:rsid w:val="00110DBC"/>
    <w:rsid w:val="00111DFB"/>
    <w:rsid w:val="00112AE9"/>
    <w:rsid w:val="00113099"/>
    <w:rsid w:val="00113F44"/>
    <w:rsid w:val="001171FC"/>
    <w:rsid w:val="00117F5F"/>
    <w:rsid w:val="001224A1"/>
    <w:rsid w:val="00123657"/>
    <w:rsid w:val="001252BE"/>
    <w:rsid w:val="001252F6"/>
    <w:rsid w:val="00125E19"/>
    <w:rsid w:val="00125F3C"/>
    <w:rsid w:val="00126742"/>
    <w:rsid w:val="00126F77"/>
    <w:rsid w:val="0012719D"/>
    <w:rsid w:val="00130333"/>
    <w:rsid w:val="00131556"/>
    <w:rsid w:val="0013197E"/>
    <w:rsid w:val="001319AC"/>
    <w:rsid w:val="00132AB1"/>
    <w:rsid w:val="00132FF3"/>
    <w:rsid w:val="00137B4F"/>
    <w:rsid w:val="00140900"/>
    <w:rsid w:val="00141214"/>
    <w:rsid w:val="0014180E"/>
    <w:rsid w:val="00142DE0"/>
    <w:rsid w:val="00144E89"/>
    <w:rsid w:val="001456DD"/>
    <w:rsid w:val="00145B98"/>
    <w:rsid w:val="00146A0C"/>
    <w:rsid w:val="00146DBB"/>
    <w:rsid w:val="0015026C"/>
    <w:rsid w:val="00150801"/>
    <w:rsid w:val="00150B9B"/>
    <w:rsid w:val="00150D76"/>
    <w:rsid w:val="0015150E"/>
    <w:rsid w:val="00152A5F"/>
    <w:rsid w:val="0015373F"/>
    <w:rsid w:val="00153E42"/>
    <w:rsid w:val="001571AA"/>
    <w:rsid w:val="00157F50"/>
    <w:rsid w:val="001618CB"/>
    <w:rsid w:val="00162CFD"/>
    <w:rsid w:val="00164B60"/>
    <w:rsid w:val="001650CB"/>
    <w:rsid w:val="00165C34"/>
    <w:rsid w:val="00167DD1"/>
    <w:rsid w:val="00170D6E"/>
    <w:rsid w:val="001717D9"/>
    <w:rsid w:val="00174CAF"/>
    <w:rsid w:val="00174ECD"/>
    <w:rsid w:val="00175307"/>
    <w:rsid w:val="00175D61"/>
    <w:rsid w:val="00176BC6"/>
    <w:rsid w:val="00180670"/>
    <w:rsid w:val="0018128A"/>
    <w:rsid w:val="00182B57"/>
    <w:rsid w:val="00182B66"/>
    <w:rsid w:val="001833F3"/>
    <w:rsid w:val="00185121"/>
    <w:rsid w:val="00185D4C"/>
    <w:rsid w:val="001863C7"/>
    <w:rsid w:val="0018724B"/>
    <w:rsid w:val="00190908"/>
    <w:rsid w:val="0019230E"/>
    <w:rsid w:val="00192B3F"/>
    <w:rsid w:val="00194452"/>
    <w:rsid w:val="00196168"/>
    <w:rsid w:val="001A034C"/>
    <w:rsid w:val="001A0F46"/>
    <w:rsid w:val="001A1287"/>
    <w:rsid w:val="001A1894"/>
    <w:rsid w:val="001A1D80"/>
    <w:rsid w:val="001A391B"/>
    <w:rsid w:val="001A408F"/>
    <w:rsid w:val="001A5FFF"/>
    <w:rsid w:val="001A6A0E"/>
    <w:rsid w:val="001A6C33"/>
    <w:rsid w:val="001A7849"/>
    <w:rsid w:val="001B22FE"/>
    <w:rsid w:val="001B27FC"/>
    <w:rsid w:val="001B3183"/>
    <w:rsid w:val="001B3F8F"/>
    <w:rsid w:val="001B46DE"/>
    <w:rsid w:val="001B5BE4"/>
    <w:rsid w:val="001B5DED"/>
    <w:rsid w:val="001B74E2"/>
    <w:rsid w:val="001C0C7C"/>
    <w:rsid w:val="001C12B9"/>
    <w:rsid w:val="001C2307"/>
    <w:rsid w:val="001C33AD"/>
    <w:rsid w:val="001C3F6F"/>
    <w:rsid w:val="001C43F2"/>
    <w:rsid w:val="001C5780"/>
    <w:rsid w:val="001C5E35"/>
    <w:rsid w:val="001C6197"/>
    <w:rsid w:val="001C67C0"/>
    <w:rsid w:val="001D02BB"/>
    <w:rsid w:val="001D11CB"/>
    <w:rsid w:val="001D2A54"/>
    <w:rsid w:val="001D3037"/>
    <w:rsid w:val="001D3465"/>
    <w:rsid w:val="001D475E"/>
    <w:rsid w:val="001D5633"/>
    <w:rsid w:val="001D74C4"/>
    <w:rsid w:val="001E0814"/>
    <w:rsid w:val="001E0833"/>
    <w:rsid w:val="001E0BE1"/>
    <w:rsid w:val="001E1473"/>
    <w:rsid w:val="001E14CB"/>
    <w:rsid w:val="001E1A69"/>
    <w:rsid w:val="001E2C03"/>
    <w:rsid w:val="001E2C9B"/>
    <w:rsid w:val="001E46A4"/>
    <w:rsid w:val="001E5EA7"/>
    <w:rsid w:val="001E611A"/>
    <w:rsid w:val="001E6257"/>
    <w:rsid w:val="001E729E"/>
    <w:rsid w:val="001F02D0"/>
    <w:rsid w:val="001F12B1"/>
    <w:rsid w:val="001F2758"/>
    <w:rsid w:val="001F4D89"/>
    <w:rsid w:val="001F72E7"/>
    <w:rsid w:val="00200144"/>
    <w:rsid w:val="002005F1"/>
    <w:rsid w:val="0020140A"/>
    <w:rsid w:val="002016A4"/>
    <w:rsid w:val="00201D90"/>
    <w:rsid w:val="0020350A"/>
    <w:rsid w:val="00203BEC"/>
    <w:rsid w:val="00203CEC"/>
    <w:rsid w:val="00203F34"/>
    <w:rsid w:val="00204E3B"/>
    <w:rsid w:val="002079EB"/>
    <w:rsid w:val="00211CEA"/>
    <w:rsid w:val="002123B7"/>
    <w:rsid w:val="0021293E"/>
    <w:rsid w:val="0021346F"/>
    <w:rsid w:val="00214F75"/>
    <w:rsid w:val="00216CFB"/>
    <w:rsid w:val="00220BE9"/>
    <w:rsid w:val="00221D55"/>
    <w:rsid w:val="0022205E"/>
    <w:rsid w:val="00223668"/>
    <w:rsid w:val="002244B9"/>
    <w:rsid w:val="00225058"/>
    <w:rsid w:val="00225736"/>
    <w:rsid w:val="002267D9"/>
    <w:rsid w:val="002268E7"/>
    <w:rsid w:val="0022744C"/>
    <w:rsid w:val="002278F9"/>
    <w:rsid w:val="00227F6E"/>
    <w:rsid w:val="00230435"/>
    <w:rsid w:val="00230F10"/>
    <w:rsid w:val="00231508"/>
    <w:rsid w:val="002320C1"/>
    <w:rsid w:val="00232E44"/>
    <w:rsid w:val="002334B0"/>
    <w:rsid w:val="002334DF"/>
    <w:rsid w:val="00234AE1"/>
    <w:rsid w:val="0023586F"/>
    <w:rsid w:val="00236356"/>
    <w:rsid w:val="002367E6"/>
    <w:rsid w:val="00240E62"/>
    <w:rsid w:val="0024153E"/>
    <w:rsid w:val="00242F40"/>
    <w:rsid w:val="002434D1"/>
    <w:rsid w:val="00246191"/>
    <w:rsid w:val="00252133"/>
    <w:rsid w:val="00252C04"/>
    <w:rsid w:val="00253F7E"/>
    <w:rsid w:val="00254C4E"/>
    <w:rsid w:val="00260836"/>
    <w:rsid w:val="00261C4A"/>
    <w:rsid w:val="00262182"/>
    <w:rsid w:val="00262B4E"/>
    <w:rsid w:val="002631D3"/>
    <w:rsid w:val="00265B4D"/>
    <w:rsid w:val="002667A8"/>
    <w:rsid w:val="00266BC9"/>
    <w:rsid w:val="00267060"/>
    <w:rsid w:val="00272C13"/>
    <w:rsid w:val="002744F0"/>
    <w:rsid w:val="0027564A"/>
    <w:rsid w:val="00276752"/>
    <w:rsid w:val="002774FE"/>
    <w:rsid w:val="002807AC"/>
    <w:rsid w:val="00282473"/>
    <w:rsid w:val="0028521D"/>
    <w:rsid w:val="00287241"/>
    <w:rsid w:val="00291DC1"/>
    <w:rsid w:val="00291ED9"/>
    <w:rsid w:val="002939BF"/>
    <w:rsid w:val="002950DC"/>
    <w:rsid w:val="00295897"/>
    <w:rsid w:val="00295A77"/>
    <w:rsid w:val="00296C52"/>
    <w:rsid w:val="00296C8C"/>
    <w:rsid w:val="00296CF9"/>
    <w:rsid w:val="00297261"/>
    <w:rsid w:val="00297E42"/>
    <w:rsid w:val="002A2C45"/>
    <w:rsid w:val="002A2C95"/>
    <w:rsid w:val="002A31A6"/>
    <w:rsid w:val="002A351A"/>
    <w:rsid w:val="002A48BC"/>
    <w:rsid w:val="002A521E"/>
    <w:rsid w:val="002A544C"/>
    <w:rsid w:val="002A612B"/>
    <w:rsid w:val="002A67FE"/>
    <w:rsid w:val="002A784F"/>
    <w:rsid w:val="002B2352"/>
    <w:rsid w:val="002B324C"/>
    <w:rsid w:val="002B419D"/>
    <w:rsid w:val="002B5B62"/>
    <w:rsid w:val="002B5DB6"/>
    <w:rsid w:val="002B72B0"/>
    <w:rsid w:val="002C0CC3"/>
    <w:rsid w:val="002C218E"/>
    <w:rsid w:val="002C2893"/>
    <w:rsid w:val="002C3D41"/>
    <w:rsid w:val="002C49DB"/>
    <w:rsid w:val="002C56AD"/>
    <w:rsid w:val="002C5F0A"/>
    <w:rsid w:val="002C69F1"/>
    <w:rsid w:val="002C6D1A"/>
    <w:rsid w:val="002C75CB"/>
    <w:rsid w:val="002C75CF"/>
    <w:rsid w:val="002D0440"/>
    <w:rsid w:val="002D0458"/>
    <w:rsid w:val="002D2538"/>
    <w:rsid w:val="002D3F4D"/>
    <w:rsid w:val="002D4B39"/>
    <w:rsid w:val="002D5214"/>
    <w:rsid w:val="002D5987"/>
    <w:rsid w:val="002D5C31"/>
    <w:rsid w:val="002D77E4"/>
    <w:rsid w:val="002E07F0"/>
    <w:rsid w:val="002E0D40"/>
    <w:rsid w:val="002E1120"/>
    <w:rsid w:val="002E128B"/>
    <w:rsid w:val="002E1B33"/>
    <w:rsid w:val="002E23FE"/>
    <w:rsid w:val="002E2429"/>
    <w:rsid w:val="002E3925"/>
    <w:rsid w:val="002E39E1"/>
    <w:rsid w:val="002E4F26"/>
    <w:rsid w:val="002E5D0F"/>
    <w:rsid w:val="002E6DAC"/>
    <w:rsid w:val="002E79DB"/>
    <w:rsid w:val="002E7E46"/>
    <w:rsid w:val="002E7F9E"/>
    <w:rsid w:val="002F0F86"/>
    <w:rsid w:val="002F1245"/>
    <w:rsid w:val="002F5DA4"/>
    <w:rsid w:val="002F6BBF"/>
    <w:rsid w:val="002F7F66"/>
    <w:rsid w:val="0030129C"/>
    <w:rsid w:val="00303A3D"/>
    <w:rsid w:val="00304E58"/>
    <w:rsid w:val="0030627B"/>
    <w:rsid w:val="003117E9"/>
    <w:rsid w:val="00312B0F"/>
    <w:rsid w:val="00312EB6"/>
    <w:rsid w:val="003140DE"/>
    <w:rsid w:val="00314AF0"/>
    <w:rsid w:val="00315D83"/>
    <w:rsid w:val="00316D63"/>
    <w:rsid w:val="00317DD6"/>
    <w:rsid w:val="00322B2C"/>
    <w:rsid w:val="0032350A"/>
    <w:rsid w:val="00324C5C"/>
    <w:rsid w:val="003251CC"/>
    <w:rsid w:val="00325F8B"/>
    <w:rsid w:val="00327E0C"/>
    <w:rsid w:val="0033050F"/>
    <w:rsid w:val="003317D1"/>
    <w:rsid w:val="0033397F"/>
    <w:rsid w:val="00333B1C"/>
    <w:rsid w:val="00333CF8"/>
    <w:rsid w:val="003353BB"/>
    <w:rsid w:val="0033618D"/>
    <w:rsid w:val="0033680B"/>
    <w:rsid w:val="00336921"/>
    <w:rsid w:val="00336AEA"/>
    <w:rsid w:val="0033761B"/>
    <w:rsid w:val="00337B09"/>
    <w:rsid w:val="00337DC8"/>
    <w:rsid w:val="00340F9A"/>
    <w:rsid w:val="00341D47"/>
    <w:rsid w:val="00345615"/>
    <w:rsid w:val="003457C6"/>
    <w:rsid w:val="0034624C"/>
    <w:rsid w:val="00350027"/>
    <w:rsid w:val="00350F03"/>
    <w:rsid w:val="00351CB2"/>
    <w:rsid w:val="00353AE8"/>
    <w:rsid w:val="00353D16"/>
    <w:rsid w:val="00353F49"/>
    <w:rsid w:val="003548E2"/>
    <w:rsid w:val="0035752C"/>
    <w:rsid w:val="00361DBF"/>
    <w:rsid w:val="003634C2"/>
    <w:rsid w:val="00363752"/>
    <w:rsid w:val="003659BD"/>
    <w:rsid w:val="00366435"/>
    <w:rsid w:val="00367F23"/>
    <w:rsid w:val="00371398"/>
    <w:rsid w:val="00371663"/>
    <w:rsid w:val="00371C8E"/>
    <w:rsid w:val="00373D17"/>
    <w:rsid w:val="0037483D"/>
    <w:rsid w:val="00374930"/>
    <w:rsid w:val="00374D25"/>
    <w:rsid w:val="00375A67"/>
    <w:rsid w:val="00375FB1"/>
    <w:rsid w:val="0037654D"/>
    <w:rsid w:val="003875B7"/>
    <w:rsid w:val="00390817"/>
    <w:rsid w:val="0039110D"/>
    <w:rsid w:val="00391AD2"/>
    <w:rsid w:val="003929BC"/>
    <w:rsid w:val="00393064"/>
    <w:rsid w:val="00394595"/>
    <w:rsid w:val="003951DA"/>
    <w:rsid w:val="0039587D"/>
    <w:rsid w:val="003959BB"/>
    <w:rsid w:val="00397528"/>
    <w:rsid w:val="0039779A"/>
    <w:rsid w:val="003A17FA"/>
    <w:rsid w:val="003A29AF"/>
    <w:rsid w:val="003A2E6B"/>
    <w:rsid w:val="003A34A7"/>
    <w:rsid w:val="003A3860"/>
    <w:rsid w:val="003A3F3D"/>
    <w:rsid w:val="003A52E1"/>
    <w:rsid w:val="003A5B66"/>
    <w:rsid w:val="003A5D86"/>
    <w:rsid w:val="003B0034"/>
    <w:rsid w:val="003B11D7"/>
    <w:rsid w:val="003B11FA"/>
    <w:rsid w:val="003B15DE"/>
    <w:rsid w:val="003B2CEE"/>
    <w:rsid w:val="003B2E94"/>
    <w:rsid w:val="003B757D"/>
    <w:rsid w:val="003B7BBF"/>
    <w:rsid w:val="003C2BD8"/>
    <w:rsid w:val="003C5D95"/>
    <w:rsid w:val="003D00EE"/>
    <w:rsid w:val="003D1E2D"/>
    <w:rsid w:val="003D246C"/>
    <w:rsid w:val="003D4235"/>
    <w:rsid w:val="003D45B8"/>
    <w:rsid w:val="003D4A87"/>
    <w:rsid w:val="003D51C6"/>
    <w:rsid w:val="003D51CC"/>
    <w:rsid w:val="003D5532"/>
    <w:rsid w:val="003D6E7A"/>
    <w:rsid w:val="003E10BC"/>
    <w:rsid w:val="003E1B87"/>
    <w:rsid w:val="003E2022"/>
    <w:rsid w:val="003E2569"/>
    <w:rsid w:val="003E3D0B"/>
    <w:rsid w:val="003E4A60"/>
    <w:rsid w:val="003E5262"/>
    <w:rsid w:val="003E5DFE"/>
    <w:rsid w:val="003E5E39"/>
    <w:rsid w:val="003E6CF1"/>
    <w:rsid w:val="003E7E25"/>
    <w:rsid w:val="003F0CC7"/>
    <w:rsid w:val="003F1CA4"/>
    <w:rsid w:val="003F2609"/>
    <w:rsid w:val="003F33CE"/>
    <w:rsid w:val="003F3C3F"/>
    <w:rsid w:val="003F4385"/>
    <w:rsid w:val="003F4BAA"/>
    <w:rsid w:val="003F598E"/>
    <w:rsid w:val="003F59AC"/>
    <w:rsid w:val="003F6040"/>
    <w:rsid w:val="003F61AF"/>
    <w:rsid w:val="003F711B"/>
    <w:rsid w:val="003F7F34"/>
    <w:rsid w:val="004002DC"/>
    <w:rsid w:val="00404A2C"/>
    <w:rsid w:val="004072A7"/>
    <w:rsid w:val="0041045A"/>
    <w:rsid w:val="00411F5C"/>
    <w:rsid w:val="00415232"/>
    <w:rsid w:val="00415786"/>
    <w:rsid w:val="00420D6B"/>
    <w:rsid w:val="004224C2"/>
    <w:rsid w:val="00425CB0"/>
    <w:rsid w:val="00426036"/>
    <w:rsid w:val="00426862"/>
    <w:rsid w:val="00430A79"/>
    <w:rsid w:val="00431E2B"/>
    <w:rsid w:val="00433529"/>
    <w:rsid w:val="00435AC4"/>
    <w:rsid w:val="004367C9"/>
    <w:rsid w:val="00440AFF"/>
    <w:rsid w:val="00442CE8"/>
    <w:rsid w:val="00443735"/>
    <w:rsid w:val="00443983"/>
    <w:rsid w:val="00444A73"/>
    <w:rsid w:val="00447217"/>
    <w:rsid w:val="0044757B"/>
    <w:rsid w:val="0045049C"/>
    <w:rsid w:val="00451410"/>
    <w:rsid w:val="004525D4"/>
    <w:rsid w:val="004530E6"/>
    <w:rsid w:val="00453820"/>
    <w:rsid w:val="00454085"/>
    <w:rsid w:val="0045438E"/>
    <w:rsid w:val="00455677"/>
    <w:rsid w:val="00456087"/>
    <w:rsid w:val="00456C4F"/>
    <w:rsid w:val="00457751"/>
    <w:rsid w:val="004602A0"/>
    <w:rsid w:val="004604C5"/>
    <w:rsid w:val="004607B6"/>
    <w:rsid w:val="00460DEF"/>
    <w:rsid w:val="00461C34"/>
    <w:rsid w:val="00462812"/>
    <w:rsid w:val="00462816"/>
    <w:rsid w:val="00463112"/>
    <w:rsid w:val="004658CA"/>
    <w:rsid w:val="00465D35"/>
    <w:rsid w:val="00465FC5"/>
    <w:rsid w:val="00466227"/>
    <w:rsid w:val="004700D4"/>
    <w:rsid w:val="004709F3"/>
    <w:rsid w:val="00471009"/>
    <w:rsid w:val="00471827"/>
    <w:rsid w:val="00472814"/>
    <w:rsid w:val="00475311"/>
    <w:rsid w:val="004756D2"/>
    <w:rsid w:val="00475F79"/>
    <w:rsid w:val="00476C7C"/>
    <w:rsid w:val="00480965"/>
    <w:rsid w:val="004815EC"/>
    <w:rsid w:val="004825D8"/>
    <w:rsid w:val="00483223"/>
    <w:rsid w:val="00483A83"/>
    <w:rsid w:val="00483E2D"/>
    <w:rsid w:val="00484E86"/>
    <w:rsid w:val="00485761"/>
    <w:rsid w:val="00486330"/>
    <w:rsid w:val="0048772C"/>
    <w:rsid w:val="004915AA"/>
    <w:rsid w:val="004918ED"/>
    <w:rsid w:val="00491F62"/>
    <w:rsid w:val="004923F2"/>
    <w:rsid w:val="00494004"/>
    <w:rsid w:val="00496285"/>
    <w:rsid w:val="004971C8"/>
    <w:rsid w:val="00497C43"/>
    <w:rsid w:val="004A03A3"/>
    <w:rsid w:val="004A19DA"/>
    <w:rsid w:val="004A1A50"/>
    <w:rsid w:val="004A2BCD"/>
    <w:rsid w:val="004A2C4A"/>
    <w:rsid w:val="004A37ED"/>
    <w:rsid w:val="004A4837"/>
    <w:rsid w:val="004A4AF8"/>
    <w:rsid w:val="004A4D83"/>
    <w:rsid w:val="004A51D1"/>
    <w:rsid w:val="004A5282"/>
    <w:rsid w:val="004A54F3"/>
    <w:rsid w:val="004A5E75"/>
    <w:rsid w:val="004A65AF"/>
    <w:rsid w:val="004A65BD"/>
    <w:rsid w:val="004A6F83"/>
    <w:rsid w:val="004A7ECC"/>
    <w:rsid w:val="004B0D53"/>
    <w:rsid w:val="004B4564"/>
    <w:rsid w:val="004B5E12"/>
    <w:rsid w:val="004B6F52"/>
    <w:rsid w:val="004B7DB9"/>
    <w:rsid w:val="004B7F12"/>
    <w:rsid w:val="004C03C8"/>
    <w:rsid w:val="004C1E12"/>
    <w:rsid w:val="004C2C8D"/>
    <w:rsid w:val="004C73E2"/>
    <w:rsid w:val="004D15A9"/>
    <w:rsid w:val="004D1BA4"/>
    <w:rsid w:val="004D2C58"/>
    <w:rsid w:val="004D317C"/>
    <w:rsid w:val="004D31AA"/>
    <w:rsid w:val="004D3401"/>
    <w:rsid w:val="004D4D82"/>
    <w:rsid w:val="004E1506"/>
    <w:rsid w:val="004E1E85"/>
    <w:rsid w:val="004E22B7"/>
    <w:rsid w:val="004E3405"/>
    <w:rsid w:val="004E3978"/>
    <w:rsid w:val="004E4275"/>
    <w:rsid w:val="004E4758"/>
    <w:rsid w:val="004E49EA"/>
    <w:rsid w:val="004E4EAF"/>
    <w:rsid w:val="004E5A86"/>
    <w:rsid w:val="004E63CF"/>
    <w:rsid w:val="004E75E6"/>
    <w:rsid w:val="004E7C9F"/>
    <w:rsid w:val="004E7CC3"/>
    <w:rsid w:val="004F05E0"/>
    <w:rsid w:val="004F2591"/>
    <w:rsid w:val="004F4191"/>
    <w:rsid w:val="0050218A"/>
    <w:rsid w:val="00502599"/>
    <w:rsid w:val="0050430E"/>
    <w:rsid w:val="00505378"/>
    <w:rsid w:val="005108D9"/>
    <w:rsid w:val="00510C32"/>
    <w:rsid w:val="00511C34"/>
    <w:rsid w:val="00513CDD"/>
    <w:rsid w:val="00513E88"/>
    <w:rsid w:val="0051514C"/>
    <w:rsid w:val="00515975"/>
    <w:rsid w:val="00515E83"/>
    <w:rsid w:val="00516733"/>
    <w:rsid w:val="00517256"/>
    <w:rsid w:val="005172BD"/>
    <w:rsid w:val="00517AEB"/>
    <w:rsid w:val="005216E1"/>
    <w:rsid w:val="005217E3"/>
    <w:rsid w:val="00522E4B"/>
    <w:rsid w:val="00523614"/>
    <w:rsid w:val="005242AE"/>
    <w:rsid w:val="00525456"/>
    <w:rsid w:val="00525A48"/>
    <w:rsid w:val="00525FA8"/>
    <w:rsid w:val="00526EBE"/>
    <w:rsid w:val="00526F34"/>
    <w:rsid w:val="00531350"/>
    <w:rsid w:val="00531838"/>
    <w:rsid w:val="00531EA8"/>
    <w:rsid w:val="00532BBF"/>
    <w:rsid w:val="00532C67"/>
    <w:rsid w:val="00534909"/>
    <w:rsid w:val="005364F9"/>
    <w:rsid w:val="00536562"/>
    <w:rsid w:val="0053689D"/>
    <w:rsid w:val="005403A1"/>
    <w:rsid w:val="00541217"/>
    <w:rsid w:val="005412B1"/>
    <w:rsid w:val="00541E2B"/>
    <w:rsid w:val="005454BD"/>
    <w:rsid w:val="0055032A"/>
    <w:rsid w:val="005504B8"/>
    <w:rsid w:val="00550686"/>
    <w:rsid w:val="00551D4B"/>
    <w:rsid w:val="0055275D"/>
    <w:rsid w:val="005528F2"/>
    <w:rsid w:val="00553984"/>
    <w:rsid w:val="00554FA6"/>
    <w:rsid w:val="00555B68"/>
    <w:rsid w:val="00556EAF"/>
    <w:rsid w:val="00557281"/>
    <w:rsid w:val="005635BA"/>
    <w:rsid w:val="00566434"/>
    <w:rsid w:val="005665AF"/>
    <w:rsid w:val="00567E7A"/>
    <w:rsid w:val="00567F6E"/>
    <w:rsid w:val="00571881"/>
    <w:rsid w:val="00572A88"/>
    <w:rsid w:val="0057304C"/>
    <w:rsid w:val="005733E5"/>
    <w:rsid w:val="00573F18"/>
    <w:rsid w:val="005745CB"/>
    <w:rsid w:val="00575729"/>
    <w:rsid w:val="00576290"/>
    <w:rsid w:val="0057683F"/>
    <w:rsid w:val="0057781F"/>
    <w:rsid w:val="00580A30"/>
    <w:rsid w:val="00583648"/>
    <w:rsid w:val="00583815"/>
    <w:rsid w:val="00583B21"/>
    <w:rsid w:val="00584569"/>
    <w:rsid w:val="005867AF"/>
    <w:rsid w:val="00586F6B"/>
    <w:rsid w:val="00587490"/>
    <w:rsid w:val="00587567"/>
    <w:rsid w:val="00590098"/>
    <w:rsid w:val="00593CA6"/>
    <w:rsid w:val="005951CE"/>
    <w:rsid w:val="00596E56"/>
    <w:rsid w:val="00596FF7"/>
    <w:rsid w:val="005972EF"/>
    <w:rsid w:val="005977B4"/>
    <w:rsid w:val="005A19A9"/>
    <w:rsid w:val="005A1D61"/>
    <w:rsid w:val="005A3962"/>
    <w:rsid w:val="005B1CA9"/>
    <w:rsid w:val="005B5673"/>
    <w:rsid w:val="005B59BD"/>
    <w:rsid w:val="005B600E"/>
    <w:rsid w:val="005B6687"/>
    <w:rsid w:val="005B7F5D"/>
    <w:rsid w:val="005C0474"/>
    <w:rsid w:val="005C1985"/>
    <w:rsid w:val="005C2527"/>
    <w:rsid w:val="005C2AF9"/>
    <w:rsid w:val="005C3631"/>
    <w:rsid w:val="005C3A95"/>
    <w:rsid w:val="005C6B37"/>
    <w:rsid w:val="005C6DDE"/>
    <w:rsid w:val="005C7426"/>
    <w:rsid w:val="005C74A0"/>
    <w:rsid w:val="005D0076"/>
    <w:rsid w:val="005D1552"/>
    <w:rsid w:val="005D2E97"/>
    <w:rsid w:val="005D565E"/>
    <w:rsid w:val="005D6A44"/>
    <w:rsid w:val="005D6D17"/>
    <w:rsid w:val="005D71A0"/>
    <w:rsid w:val="005E0075"/>
    <w:rsid w:val="005E0529"/>
    <w:rsid w:val="005E067E"/>
    <w:rsid w:val="005E1FD8"/>
    <w:rsid w:val="005E33EC"/>
    <w:rsid w:val="005E3CD8"/>
    <w:rsid w:val="005E448E"/>
    <w:rsid w:val="005E5C54"/>
    <w:rsid w:val="005E6E83"/>
    <w:rsid w:val="005E7323"/>
    <w:rsid w:val="005E76FF"/>
    <w:rsid w:val="005F00EB"/>
    <w:rsid w:val="005F0582"/>
    <w:rsid w:val="005F2BCC"/>
    <w:rsid w:val="005F5795"/>
    <w:rsid w:val="005F7317"/>
    <w:rsid w:val="005F7397"/>
    <w:rsid w:val="005F75D9"/>
    <w:rsid w:val="005F7951"/>
    <w:rsid w:val="00600933"/>
    <w:rsid w:val="0060111F"/>
    <w:rsid w:val="0060140E"/>
    <w:rsid w:val="006022A2"/>
    <w:rsid w:val="0060338A"/>
    <w:rsid w:val="006043F5"/>
    <w:rsid w:val="0060453A"/>
    <w:rsid w:val="006059F6"/>
    <w:rsid w:val="00606204"/>
    <w:rsid w:val="00607E1D"/>
    <w:rsid w:val="00610599"/>
    <w:rsid w:val="00612537"/>
    <w:rsid w:val="006140A5"/>
    <w:rsid w:val="006154A8"/>
    <w:rsid w:val="00615C24"/>
    <w:rsid w:val="006161FC"/>
    <w:rsid w:val="00620DD6"/>
    <w:rsid w:val="006243C8"/>
    <w:rsid w:val="006250C2"/>
    <w:rsid w:val="00625A42"/>
    <w:rsid w:val="00625AF3"/>
    <w:rsid w:val="00625B59"/>
    <w:rsid w:val="0062737F"/>
    <w:rsid w:val="00631A7F"/>
    <w:rsid w:val="006341EC"/>
    <w:rsid w:val="00634846"/>
    <w:rsid w:val="00636C38"/>
    <w:rsid w:val="00636EBA"/>
    <w:rsid w:val="006403A9"/>
    <w:rsid w:val="00640E55"/>
    <w:rsid w:val="00641969"/>
    <w:rsid w:val="006425B5"/>
    <w:rsid w:val="00642A7A"/>
    <w:rsid w:val="00643685"/>
    <w:rsid w:val="00644516"/>
    <w:rsid w:val="00645593"/>
    <w:rsid w:val="00651A85"/>
    <w:rsid w:val="00651DAA"/>
    <w:rsid w:val="00652151"/>
    <w:rsid w:val="006522F2"/>
    <w:rsid w:val="00652A7E"/>
    <w:rsid w:val="00652BE7"/>
    <w:rsid w:val="00652D9F"/>
    <w:rsid w:val="0065355D"/>
    <w:rsid w:val="00654FA8"/>
    <w:rsid w:val="00654FC9"/>
    <w:rsid w:val="00655B9D"/>
    <w:rsid w:val="00657498"/>
    <w:rsid w:val="00657FC1"/>
    <w:rsid w:val="00660EB7"/>
    <w:rsid w:val="00662D6A"/>
    <w:rsid w:val="00662FAB"/>
    <w:rsid w:val="0066389D"/>
    <w:rsid w:val="00663977"/>
    <w:rsid w:val="006645E8"/>
    <w:rsid w:val="00665840"/>
    <w:rsid w:val="00665ADC"/>
    <w:rsid w:val="00670384"/>
    <w:rsid w:val="00670AE5"/>
    <w:rsid w:val="00670AF9"/>
    <w:rsid w:val="00670BC7"/>
    <w:rsid w:val="006717E4"/>
    <w:rsid w:val="006719B2"/>
    <w:rsid w:val="00672A15"/>
    <w:rsid w:val="00673554"/>
    <w:rsid w:val="00675709"/>
    <w:rsid w:val="00675C25"/>
    <w:rsid w:val="006762FB"/>
    <w:rsid w:val="00681237"/>
    <w:rsid w:val="00681539"/>
    <w:rsid w:val="00681AE7"/>
    <w:rsid w:val="00681F9E"/>
    <w:rsid w:val="00682564"/>
    <w:rsid w:val="006825C9"/>
    <w:rsid w:val="00683452"/>
    <w:rsid w:val="00683591"/>
    <w:rsid w:val="00683F3B"/>
    <w:rsid w:val="00685516"/>
    <w:rsid w:val="006855EB"/>
    <w:rsid w:val="006873C4"/>
    <w:rsid w:val="0069052C"/>
    <w:rsid w:val="00695AB6"/>
    <w:rsid w:val="006A132B"/>
    <w:rsid w:val="006A18CC"/>
    <w:rsid w:val="006A27D8"/>
    <w:rsid w:val="006A280D"/>
    <w:rsid w:val="006A2B65"/>
    <w:rsid w:val="006A33D1"/>
    <w:rsid w:val="006A39C3"/>
    <w:rsid w:val="006B094B"/>
    <w:rsid w:val="006B11AE"/>
    <w:rsid w:val="006B1685"/>
    <w:rsid w:val="006B2782"/>
    <w:rsid w:val="006B3B6B"/>
    <w:rsid w:val="006B64DB"/>
    <w:rsid w:val="006B726C"/>
    <w:rsid w:val="006B73ED"/>
    <w:rsid w:val="006B7468"/>
    <w:rsid w:val="006C29FA"/>
    <w:rsid w:val="006C2BED"/>
    <w:rsid w:val="006C325D"/>
    <w:rsid w:val="006C6006"/>
    <w:rsid w:val="006C6D61"/>
    <w:rsid w:val="006C75E8"/>
    <w:rsid w:val="006C79AE"/>
    <w:rsid w:val="006C7B35"/>
    <w:rsid w:val="006C7FB1"/>
    <w:rsid w:val="006D0277"/>
    <w:rsid w:val="006D0A09"/>
    <w:rsid w:val="006D1DAA"/>
    <w:rsid w:val="006D33A0"/>
    <w:rsid w:val="006D36DF"/>
    <w:rsid w:val="006D4136"/>
    <w:rsid w:val="006D46E2"/>
    <w:rsid w:val="006D4A2A"/>
    <w:rsid w:val="006D632D"/>
    <w:rsid w:val="006D7769"/>
    <w:rsid w:val="006E0296"/>
    <w:rsid w:val="006E0595"/>
    <w:rsid w:val="006E280B"/>
    <w:rsid w:val="006E2B8C"/>
    <w:rsid w:val="006E31D7"/>
    <w:rsid w:val="006E3353"/>
    <w:rsid w:val="006E44DC"/>
    <w:rsid w:val="006E4A55"/>
    <w:rsid w:val="006E6902"/>
    <w:rsid w:val="006E7037"/>
    <w:rsid w:val="006E7BBA"/>
    <w:rsid w:val="006F1630"/>
    <w:rsid w:val="006F2AA5"/>
    <w:rsid w:val="006F3C1A"/>
    <w:rsid w:val="006F3E98"/>
    <w:rsid w:val="006F402B"/>
    <w:rsid w:val="006F66A0"/>
    <w:rsid w:val="006F7098"/>
    <w:rsid w:val="006F7AF3"/>
    <w:rsid w:val="006F7CB6"/>
    <w:rsid w:val="00700BEC"/>
    <w:rsid w:val="00700CF3"/>
    <w:rsid w:val="00701CBB"/>
    <w:rsid w:val="00702463"/>
    <w:rsid w:val="0070416C"/>
    <w:rsid w:val="00704788"/>
    <w:rsid w:val="007052C4"/>
    <w:rsid w:val="00706778"/>
    <w:rsid w:val="00706BC5"/>
    <w:rsid w:val="007072C9"/>
    <w:rsid w:val="007079C0"/>
    <w:rsid w:val="00707A19"/>
    <w:rsid w:val="00707C15"/>
    <w:rsid w:val="00707C40"/>
    <w:rsid w:val="007101FB"/>
    <w:rsid w:val="00710A88"/>
    <w:rsid w:val="007114C3"/>
    <w:rsid w:val="007131F3"/>
    <w:rsid w:val="00713ABF"/>
    <w:rsid w:val="00714E18"/>
    <w:rsid w:val="00715595"/>
    <w:rsid w:val="0071655F"/>
    <w:rsid w:val="00716851"/>
    <w:rsid w:val="007201EA"/>
    <w:rsid w:val="0072089A"/>
    <w:rsid w:val="007220C2"/>
    <w:rsid w:val="0072245C"/>
    <w:rsid w:val="00722B37"/>
    <w:rsid w:val="00722FDD"/>
    <w:rsid w:val="00723C22"/>
    <w:rsid w:val="007253C5"/>
    <w:rsid w:val="007253E3"/>
    <w:rsid w:val="00726146"/>
    <w:rsid w:val="007265F8"/>
    <w:rsid w:val="00727953"/>
    <w:rsid w:val="007331E4"/>
    <w:rsid w:val="007345FE"/>
    <w:rsid w:val="00734D85"/>
    <w:rsid w:val="00735313"/>
    <w:rsid w:val="00735C5C"/>
    <w:rsid w:val="00735E82"/>
    <w:rsid w:val="00737BAF"/>
    <w:rsid w:val="00741778"/>
    <w:rsid w:val="00741A89"/>
    <w:rsid w:val="00746706"/>
    <w:rsid w:val="00746BDB"/>
    <w:rsid w:val="00752700"/>
    <w:rsid w:val="00752A19"/>
    <w:rsid w:val="00752CD9"/>
    <w:rsid w:val="0075321E"/>
    <w:rsid w:val="00753753"/>
    <w:rsid w:val="007537E8"/>
    <w:rsid w:val="00754A31"/>
    <w:rsid w:val="0075513F"/>
    <w:rsid w:val="00755D2F"/>
    <w:rsid w:val="007565A1"/>
    <w:rsid w:val="00756C15"/>
    <w:rsid w:val="0076086B"/>
    <w:rsid w:val="00764601"/>
    <w:rsid w:val="00765064"/>
    <w:rsid w:val="00765474"/>
    <w:rsid w:val="00765EF0"/>
    <w:rsid w:val="00766659"/>
    <w:rsid w:val="00766DDA"/>
    <w:rsid w:val="0076740D"/>
    <w:rsid w:val="00770567"/>
    <w:rsid w:val="00771D6E"/>
    <w:rsid w:val="007720CA"/>
    <w:rsid w:val="00772E0F"/>
    <w:rsid w:val="007730EF"/>
    <w:rsid w:val="00773F20"/>
    <w:rsid w:val="0077407F"/>
    <w:rsid w:val="00777612"/>
    <w:rsid w:val="00777FE4"/>
    <w:rsid w:val="007812C2"/>
    <w:rsid w:val="007838FF"/>
    <w:rsid w:val="007855E7"/>
    <w:rsid w:val="00785DA2"/>
    <w:rsid w:val="00786CA6"/>
    <w:rsid w:val="0078740F"/>
    <w:rsid w:val="007876C3"/>
    <w:rsid w:val="0079033D"/>
    <w:rsid w:val="00791567"/>
    <w:rsid w:val="00794397"/>
    <w:rsid w:val="0079576B"/>
    <w:rsid w:val="007960E0"/>
    <w:rsid w:val="00796D48"/>
    <w:rsid w:val="007972E2"/>
    <w:rsid w:val="0079790B"/>
    <w:rsid w:val="007A0B38"/>
    <w:rsid w:val="007A295A"/>
    <w:rsid w:val="007A2BC3"/>
    <w:rsid w:val="007A3FB4"/>
    <w:rsid w:val="007A447F"/>
    <w:rsid w:val="007A4557"/>
    <w:rsid w:val="007A4D9A"/>
    <w:rsid w:val="007A4F1D"/>
    <w:rsid w:val="007A5336"/>
    <w:rsid w:val="007A6F0F"/>
    <w:rsid w:val="007B1BA4"/>
    <w:rsid w:val="007B1EA8"/>
    <w:rsid w:val="007B2C44"/>
    <w:rsid w:val="007B3E1E"/>
    <w:rsid w:val="007B44CC"/>
    <w:rsid w:val="007B531A"/>
    <w:rsid w:val="007B674D"/>
    <w:rsid w:val="007B7384"/>
    <w:rsid w:val="007C0375"/>
    <w:rsid w:val="007C196D"/>
    <w:rsid w:val="007C28DE"/>
    <w:rsid w:val="007C2AC9"/>
    <w:rsid w:val="007C4054"/>
    <w:rsid w:val="007C6520"/>
    <w:rsid w:val="007C65A5"/>
    <w:rsid w:val="007C7FA8"/>
    <w:rsid w:val="007D2FBD"/>
    <w:rsid w:val="007D5849"/>
    <w:rsid w:val="007E0178"/>
    <w:rsid w:val="007E1346"/>
    <w:rsid w:val="007E28E4"/>
    <w:rsid w:val="007E4148"/>
    <w:rsid w:val="007E468C"/>
    <w:rsid w:val="007E65AC"/>
    <w:rsid w:val="007E6BFF"/>
    <w:rsid w:val="007E76A6"/>
    <w:rsid w:val="007E7ED8"/>
    <w:rsid w:val="007F299F"/>
    <w:rsid w:val="007F3FC3"/>
    <w:rsid w:val="007F3FD2"/>
    <w:rsid w:val="007F538C"/>
    <w:rsid w:val="007F5F95"/>
    <w:rsid w:val="007F639C"/>
    <w:rsid w:val="007F6934"/>
    <w:rsid w:val="00801D4B"/>
    <w:rsid w:val="0080371D"/>
    <w:rsid w:val="00804A50"/>
    <w:rsid w:val="0080542C"/>
    <w:rsid w:val="00805B29"/>
    <w:rsid w:val="0080708C"/>
    <w:rsid w:val="00814F63"/>
    <w:rsid w:val="008150A4"/>
    <w:rsid w:val="00815CCB"/>
    <w:rsid w:val="00817A28"/>
    <w:rsid w:val="00821EC7"/>
    <w:rsid w:val="008251AA"/>
    <w:rsid w:val="00827329"/>
    <w:rsid w:val="00827BDD"/>
    <w:rsid w:val="00827C31"/>
    <w:rsid w:val="008313DC"/>
    <w:rsid w:val="00831A11"/>
    <w:rsid w:val="00833D61"/>
    <w:rsid w:val="00834FB0"/>
    <w:rsid w:val="00836264"/>
    <w:rsid w:val="00836AEF"/>
    <w:rsid w:val="00836E08"/>
    <w:rsid w:val="00836E6C"/>
    <w:rsid w:val="0084014D"/>
    <w:rsid w:val="00844A7C"/>
    <w:rsid w:val="0084570C"/>
    <w:rsid w:val="00845C38"/>
    <w:rsid w:val="0084646A"/>
    <w:rsid w:val="00846CF9"/>
    <w:rsid w:val="00852161"/>
    <w:rsid w:val="00852591"/>
    <w:rsid w:val="0085349D"/>
    <w:rsid w:val="00853E28"/>
    <w:rsid w:val="0085463D"/>
    <w:rsid w:val="00857BE1"/>
    <w:rsid w:val="008603E8"/>
    <w:rsid w:val="00861978"/>
    <w:rsid w:val="00864276"/>
    <w:rsid w:val="0086429D"/>
    <w:rsid w:val="008649C0"/>
    <w:rsid w:val="00865297"/>
    <w:rsid w:val="008659D7"/>
    <w:rsid w:val="00865C2D"/>
    <w:rsid w:val="00865C95"/>
    <w:rsid w:val="00867251"/>
    <w:rsid w:val="00867AE0"/>
    <w:rsid w:val="00870368"/>
    <w:rsid w:val="008703A7"/>
    <w:rsid w:val="00870CE6"/>
    <w:rsid w:val="008714C8"/>
    <w:rsid w:val="00872106"/>
    <w:rsid w:val="00872401"/>
    <w:rsid w:val="008745E1"/>
    <w:rsid w:val="00874961"/>
    <w:rsid w:val="00875352"/>
    <w:rsid w:val="00876FAF"/>
    <w:rsid w:val="008772A3"/>
    <w:rsid w:val="0088127F"/>
    <w:rsid w:val="008813ED"/>
    <w:rsid w:val="008832B4"/>
    <w:rsid w:val="00884934"/>
    <w:rsid w:val="00884B72"/>
    <w:rsid w:val="00886E57"/>
    <w:rsid w:val="00887BE4"/>
    <w:rsid w:val="00887F25"/>
    <w:rsid w:val="00890361"/>
    <w:rsid w:val="00892110"/>
    <w:rsid w:val="00893FE3"/>
    <w:rsid w:val="00895884"/>
    <w:rsid w:val="00895996"/>
    <w:rsid w:val="00895B2B"/>
    <w:rsid w:val="00895F5C"/>
    <w:rsid w:val="00896D46"/>
    <w:rsid w:val="008975D4"/>
    <w:rsid w:val="008A2010"/>
    <w:rsid w:val="008A23F7"/>
    <w:rsid w:val="008A2FAE"/>
    <w:rsid w:val="008A4733"/>
    <w:rsid w:val="008B021C"/>
    <w:rsid w:val="008B2E0E"/>
    <w:rsid w:val="008B3969"/>
    <w:rsid w:val="008B50BC"/>
    <w:rsid w:val="008B5E37"/>
    <w:rsid w:val="008B6155"/>
    <w:rsid w:val="008B7EE3"/>
    <w:rsid w:val="008C0B7D"/>
    <w:rsid w:val="008C65B8"/>
    <w:rsid w:val="008C6BE8"/>
    <w:rsid w:val="008C6CEB"/>
    <w:rsid w:val="008C7481"/>
    <w:rsid w:val="008D1F2A"/>
    <w:rsid w:val="008D263F"/>
    <w:rsid w:val="008D2EF6"/>
    <w:rsid w:val="008D35B9"/>
    <w:rsid w:val="008D6266"/>
    <w:rsid w:val="008D6E93"/>
    <w:rsid w:val="008D7637"/>
    <w:rsid w:val="008E0D75"/>
    <w:rsid w:val="008E312F"/>
    <w:rsid w:val="008E3827"/>
    <w:rsid w:val="008E38F3"/>
    <w:rsid w:val="008E6258"/>
    <w:rsid w:val="008F000E"/>
    <w:rsid w:val="008F00BA"/>
    <w:rsid w:val="008F09E3"/>
    <w:rsid w:val="008F1155"/>
    <w:rsid w:val="008F153A"/>
    <w:rsid w:val="008F32A2"/>
    <w:rsid w:val="008F445B"/>
    <w:rsid w:val="008F4DE1"/>
    <w:rsid w:val="008F707C"/>
    <w:rsid w:val="008F7128"/>
    <w:rsid w:val="008F726B"/>
    <w:rsid w:val="008F764D"/>
    <w:rsid w:val="009003E1"/>
    <w:rsid w:val="00902074"/>
    <w:rsid w:val="00902334"/>
    <w:rsid w:val="0090378D"/>
    <w:rsid w:val="00905577"/>
    <w:rsid w:val="0091073A"/>
    <w:rsid w:val="00910D99"/>
    <w:rsid w:val="00911488"/>
    <w:rsid w:val="00911735"/>
    <w:rsid w:val="00911EB3"/>
    <w:rsid w:val="0091219C"/>
    <w:rsid w:val="0091306C"/>
    <w:rsid w:val="00913147"/>
    <w:rsid w:val="00914563"/>
    <w:rsid w:val="00914579"/>
    <w:rsid w:val="009148C0"/>
    <w:rsid w:val="009159B4"/>
    <w:rsid w:val="00916C0B"/>
    <w:rsid w:val="00920377"/>
    <w:rsid w:val="009207CA"/>
    <w:rsid w:val="00920B1E"/>
    <w:rsid w:val="009214C0"/>
    <w:rsid w:val="00921FE7"/>
    <w:rsid w:val="009222F3"/>
    <w:rsid w:val="00923DEB"/>
    <w:rsid w:val="00924918"/>
    <w:rsid w:val="00924F4B"/>
    <w:rsid w:val="00925A13"/>
    <w:rsid w:val="0092631A"/>
    <w:rsid w:val="00927643"/>
    <w:rsid w:val="0092797A"/>
    <w:rsid w:val="00931666"/>
    <w:rsid w:val="00931D58"/>
    <w:rsid w:val="00931EB7"/>
    <w:rsid w:val="009326E5"/>
    <w:rsid w:val="00933DBE"/>
    <w:rsid w:val="009352EB"/>
    <w:rsid w:val="009359BD"/>
    <w:rsid w:val="0093669F"/>
    <w:rsid w:val="0093693D"/>
    <w:rsid w:val="0093701F"/>
    <w:rsid w:val="009378E4"/>
    <w:rsid w:val="0094100E"/>
    <w:rsid w:val="00941490"/>
    <w:rsid w:val="009418EB"/>
    <w:rsid w:val="00941E96"/>
    <w:rsid w:val="00943972"/>
    <w:rsid w:val="00945425"/>
    <w:rsid w:val="00946742"/>
    <w:rsid w:val="00947852"/>
    <w:rsid w:val="00947EE8"/>
    <w:rsid w:val="009545E3"/>
    <w:rsid w:val="00954CD0"/>
    <w:rsid w:val="00957DA2"/>
    <w:rsid w:val="00960B54"/>
    <w:rsid w:val="00961BFB"/>
    <w:rsid w:val="00963044"/>
    <w:rsid w:val="0096309B"/>
    <w:rsid w:val="00963A44"/>
    <w:rsid w:val="00964C97"/>
    <w:rsid w:val="0096528A"/>
    <w:rsid w:val="00965668"/>
    <w:rsid w:val="00965C27"/>
    <w:rsid w:val="00965FFF"/>
    <w:rsid w:val="0096732F"/>
    <w:rsid w:val="00967BA0"/>
    <w:rsid w:val="00970CAC"/>
    <w:rsid w:val="009720EF"/>
    <w:rsid w:val="009744D1"/>
    <w:rsid w:val="00974A61"/>
    <w:rsid w:val="00974D58"/>
    <w:rsid w:val="00975C34"/>
    <w:rsid w:val="0097622F"/>
    <w:rsid w:val="00977944"/>
    <w:rsid w:val="0098075C"/>
    <w:rsid w:val="009819F1"/>
    <w:rsid w:val="00981E5C"/>
    <w:rsid w:val="009822F6"/>
    <w:rsid w:val="0098239E"/>
    <w:rsid w:val="009826F5"/>
    <w:rsid w:val="00984098"/>
    <w:rsid w:val="00987A6B"/>
    <w:rsid w:val="00992F19"/>
    <w:rsid w:val="00993696"/>
    <w:rsid w:val="00993D0E"/>
    <w:rsid w:val="00995D3D"/>
    <w:rsid w:val="00995DE8"/>
    <w:rsid w:val="00996135"/>
    <w:rsid w:val="009964AC"/>
    <w:rsid w:val="00997F3B"/>
    <w:rsid w:val="009A01F2"/>
    <w:rsid w:val="009A0C96"/>
    <w:rsid w:val="009A118B"/>
    <w:rsid w:val="009A1734"/>
    <w:rsid w:val="009A3379"/>
    <w:rsid w:val="009A3E62"/>
    <w:rsid w:val="009A515F"/>
    <w:rsid w:val="009A5DDF"/>
    <w:rsid w:val="009A6C93"/>
    <w:rsid w:val="009B05D2"/>
    <w:rsid w:val="009B23D7"/>
    <w:rsid w:val="009B3190"/>
    <w:rsid w:val="009B4F12"/>
    <w:rsid w:val="009B5E45"/>
    <w:rsid w:val="009B665A"/>
    <w:rsid w:val="009C0002"/>
    <w:rsid w:val="009C1628"/>
    <w:rsid w:val="009C18B5"/>
    <w:rsid w:val="009C2881"/>
    <w:rsid w:val="009C3260"/>
    <w:rsid w:val="009C5074"/>
    <w:rsid w:val="009C5798"/>
    <w:rsid w:val="009C6108"/>
    <w:rsid w:val="009C7104"/>
    <w:rsid w:val="009D0A3A"/>
    <w:rsid w:val="009D0D51"/>
    <w:rsid w:val="009D5689"/>
    <w:rsid w:val="009E0DE9"/>
    <w:rsid w:val="009E0E48"/>
    <w:rsid w:val="009E2D07"/>
    <w:rsid w:val="009E3FB3"/>
    <w:rsid w:val="009E5C23"/>
    <w:rsid w:val="009E6275"/>
    <w:rsid w:val="009F0C49"/>
    <w:rsid w:val="009F1965"/>
    <w:rsid w:val="009F2657"/>
    <w:rsid w:val="009F4C38"/>
    <w:rsid w:val="009F5310"/>
    <w:rsid w:val="009F5DDE"/>
    <w:rsid w:val="009F65E0"/>
    <w:rsid w:val="009F7EE5"/>
    <w:rsid w:val="00A0197F"/>
    <w:rsid w:val="00A02DA1"/>
    <w:rsid w:val="00A0634B"/>
    <w:rsid w:val="00A114D3"/>
    <w:rsid w:val="00A14075"/>
    <w:rsid w:val="00A1530D"/>
    <w:rsid w:val="00A1672F"/>
    <w:rsid w:val="00A17EE2"/>
    <w:rsid w:val="00A208A8"/>
    <w:rsid w:val="00A21A89"/>
    <w:rsid w:val="00A226C0"/>
    <w:rsid w:val="00A23CCD"/>
    <w:rsid w:val="00A24F25"/>
    <w:rsid w:val="00A26478"/>
    <w:rsid w:val="00A271D7"/>
    <w:rsid w:val="00A27554"/>
    <w:rsid w:val="00A31423"/>
    <w:rsid w:val="00A323F3"/>
    <w:rsid w:val="00A33108"/>
    <w:rsid w:val="00A33BF9"/>
    <w:rsid w:val="00A33D76"/>
    <w:rsid w:val="00A34251"/>
    <w:rsid w:val="00A343BD"/>
    <w:rsid w:val="00A3690E"/>
    <w:rsid w:val="00A3750D"/>
    <w:rsid w:val="00A37AEC"/>
    <w:rsid w:val="00A418D3"/>
    <w:rsid w:val="00A42150"/>
    <w:rsid w:val="00A42DD2"/>
    <w:rsid w:val="00A4349C"/>
    <w:rsid w:val="00A44058"/>
    <w:rsid w:val="00A444A8"/>
    <w:rsid w:val="00A4473C"/>
    <w:rsid w:val="00A45444"/>
    <w:rsid w:val="00A46ED0"/>
    <w:rsid w:val="00A47100"/>
    <w:rsid w:val="00A51B90"/>
    <w:rsid w:val="00A541F4"/>
    <w:rsid w:val="00A54DEB"/>
    <w:rsid w:val="00A55456"/>
    <w:rsid w:val="00A55FB4"/>
    <w:rsid w:val="00A6187E"/>
    <w:rsid w:val="00A632C2"/>
    <w:rsid w:val="00A6557B"/>
    <w:rsid w:val="00A66626"/>
    <w:rsid w:val="00A6681F"/>
    <w:rsid w:val="00A7193D"/>
    <w:rsid w:val="00A73A25"/>
    <w:rsid w:val="00A74B85"/>
    <w:rsid w:val="00A75034"/>
    <w:rsid w:val="00A750FB"/>
    <w:rsid w:val="00A757AD"/>
    <w:rsid w:val="00A75B30"/>
    <w:rsid w:val="00A75BF0"/>
    <w:rsid w:val="00A75CA7"/>
    <w:rsid w:val="00A760C9"/>
    <w:rsid w:val="00A7653A"/>
    <w:rsid w:val="00A7667E"/>
    <w:rsid w:val="00A770FA"/>
    <w:rsid w:val="00A8072C"/>
    <w:rsid w:val="00A807A8"/>
    <w:rsid w:val="00A80CE4"/>
    <w:rsid w:val="00A811C9"/>
    <w:rsid w:val="00A842EE"/>
    <w:rsid w:val="00A86E3F"/>
    <w:rsid w:val="00A86F8C"/>
    <w:rsid w:val="00A87B15"/>
    <w:rsid w:val="00A90A78"/>
    <w:rsid w:val="00A92B97"/>
    <w:rsid w:val="00A92C89"/>
    <w:rsid w:val="00A9457C"/>
    <w:rsid w:val="00A945E2"/>
    <w:rsid w:val="00AA00B2"/>
    <w:rsid w:val="00AA057B"/>
    <w:rsid w:val="00AA0E09"/>
    <w:rsid w:val="00AA14B1"/>
    <w:rsid w:val="00AA2091"/>
    <w:rsid w:val="00AA3276"/>
    <w:rsid w:val="00AA3CEA"/>
    <w:rsid w:val="00AA3DB9"/>
    <w:rsid w:val="00AA46FC"/>
    <w:rsid w:val="00AA4EDF"/>
    <w:rsid w:val="00AA66FB"/>
    <w:rsid w:val="00AA6D07"/>
    <w:rsid w:val="00AB018A"/>
    <w:rsid w:val="00AB0EA6"/>
    <w:rsid w:val="00AB0F9C"/>
    <w:rsid w:val="00AB1CAC"/>
    <w:rsid w:val="00AB2181"/>
    <w:rsid w:val="00AB2995"/>
    <w:rsid w:val="00AB5218"/>
    <w:rsid w:val="00AB6038"/>
    <w:rsid w:val="00AB6AC1"/>
    <w:rsid w:val="00AB73CD"/>
    <w:rsid w:val="00AB7D9C"/>
    <w:rsid w:val="00AC1277"/>
    <w:rsid w:val="00AC2230"/>
    <w:rsid w:val="00AC2B20"/>
    <w:rsid w:val="00AC4334"/>
    <w:rsid w:val="00AC489D"/>
    <w:rsid w:val="00AC4BC4"/>
    <w:rsid w:val="00AC6609"/>
    <w:rsid w:val="00AC70F2"/>
    <w:rsid w:val="00AC7C11"/>
    <w:rsid w:val="00AD1560"/>
    <w:rsid w:val="00AD18CF"/>
    <w:rsid w:val="00AD210E"/>
    <w:rsid w:val="00AD31DC"/>
    <w:rsid w:val="00AD3506"/>
    <w:rsid w:val="00AD673C"/>
    <w:rsid w:val="00AD6AD5"/>
    <w:rsid w:val="00AD6E78"/>
    <w:rsid w:val="00AD78D0"/>
    <w:rsid w:val="00AE20F2"/>
    <w:rsid w:val="00AE2E0A"/>
    <w:rsid w:val="00AE31B7"/>
    <w:rsid w:val="00AE70C4"/>
    <w:rsid w:val="00AE756D"/>
    <w:rsid w:val="00AE7B38"/>
    <w:rsid w:val="00AE7EF9"/>
    <w:rsid w:val="00AF05A6"/>
    <w:rsid w:val="00AF28DA"/>
    <w:rsid w:val="00AF3B55"/>
    <w:rsid w:val="00AF45E9"/>
    <w:rsid w:val="00AF48C9"/>
    <w:rsid w:val="00AF5314"/>
    <w:rsid w:val="00AF791D"/>
    <w:rsid w:val="00AF7943"/>
    <w:rsid w:val="00AF7CF7"/>
    <w:rsid w:val="00B0178E"/>
    <w:rsid w:val="00B02133"/>
    <w:rsid w:val="00B02826"/>
    <w:rsid w:val="00B0530D"/>
    <w:rsid w:val="00B05669"/>
    <w:rsid w:val="00B06701"/>
    <w:rsid w:val="00B0726D"/>
    <w:rsid w:val="00B102A4"/>
    <w:rsid w:val="00B1419E"/>
    <w:rsid w:val="00B14629"/>
    <w:rsid w:val="00B14E7C"/>
    <w:rsid w:val="00B159FD"/>
    <w:rsid w:val="00B15D79"/>
    <w:rsid w:val="00B1633C"/>
    <w:rsid w:val="00B17B2F"/>
    <w:rsid w:val="00B17E5E"/>
    <w:rsid w:val="00B2042A"/>
    <w:rsid w:val="00B220F4"/>
    <w:rsid w:val="00B2291D"/>
    <w:rsid w:val="00B2458B"/>
    <w:rsid w:val="00B2475E"/>
    <w:rsid w:val="00B253F8"/>
    <w:rsid w:val="00B2788F"/>
    <w:rsid w:val="00B27AE2"/>
    <w:rsid w:val="00B3177D"/>
    <w:rsid w:val="00B323B2"/>
    <w:rsid w:val="00B3439E"/>
    <w:rsid w:val="00B34486"/>
    <w:rsid w:val="00B34AD3"/>
    <w:rsid w:val="00B364B7"/>
    <w:rsid w:val="00B37055"/>
    <w:rsid w:val="00B400C2"/>
    <w:rsid w:val="00B40E9B"/>
    <w:rsid w:val="00B418E8"/>
    <w:rsid w:val="00B41A1B"/>
    <w:rsid w:val="00B41ACE"/>
    <w:rsid w:val="00B420E1"/>
    <w:rsid w:val="00B4265C"/>
    <w:rsid w:val="00B42723"/>
    <w:rsid w:val="00B46405"/>
    <w:rsid w:val="00B46E41"/>
    <w:rsid w:val="00B51B6C"/>
    <w:rsid w:val="00B520AB"/>
    <w:rsid w:val="00B53E6B"/>
    <w:rsid w:val="00B5504F"/>
    <w:rsid w:val="00B56026"/>
    <w:rsid w:val="00B56050"/>
    <w:rsid w:val="00B60A22"/>
    <w:rsid w:val="00B62F8B"/>
    <w:rsid w:val="00B63A56"/>
    <w:rsid w:val="00B64035"/>
    <w:rsid w:val="00B64CE6"/>
    <w:rsid w:val="00B6757C"/>
    <w:rsid w:val="00B702FB"/>
    <w:rsid w:val="00B712AB"/>
    <w:rsid w:val="00B7285B"/>
    <w:rsid w:val="00B73F4A"/>
    <w:rsid w:val="00B75C85"/>
    <w:rsid w:val="00B76B2A"/>
    <w:rsid w:val="00B770D3"/>
    <w:rsid w:val="00B77430"/>
    <w:rsid w:val="00B7786A"/>
    <w:rsid w:val="00B807D1"/>
    <w:rsid w:val="00B811F9"/>
    <w:rsid w:val="00B83C3A"/>
    <w:rsid w:val="00B85419"/>
    <w:rsid w:val="00B8557E"/>
    <w:rsid w:val="00B8745A"/>
    <w:rsid w:val="00B879AD"/>
    <w:rsid w:val="00B87C71"/>
    <w:rsid w:val="00B87CF1"/>
    <w:rsid w:val="00B906C1"/>
    <w:rsid w:val="00B910C1"/>
    <w:rsid w:val="00B91DD9"/>
    <w:rsid w:val="00B92548"/>
    <w:rsid w:val="00B925BA"/>
    <w:rsid w:val="00B92D7F"/>
    <w:rsid w:val="00B9424F"/>
    <w:rsid w:val="00B94900"/>
    <w:rsid w:val="00B95597"/>
    <w:rsid w:val="00B96C42"/>
    <w:rsid w:val="00B96D66"/>
    <w:rsid w:val="00B97F9F"/>
    <w:rsid w:val="00BA0787"/>
    <w:rsid w:val="00BA12C6"/>
    <w:rsid w:val="00BA158E"/>
    <w:rsid w:val="00BA1AC6"/>
    <w:rsid w:val="00BA37C4"/>
    <w:rsid w:val="00BA48FC"/>
    <w:rsid w:val="00BA5431"/>
    <w:rsid w:val="00BA6822"/>
    <w:rsid w:val="00BA715D"/>
    <w:rsid w:val="00BA7540"/>
    <w:rsid w:val="00BA7D7D"/>
    <w:rsid w:val="00BB0106"/>
    <w:rsid w:val="00BB091F"/>
    <w:rsid w:val="00BB0A82"/>
    <w:rsid w:val="00BB2379"/>
    <w:rsid w:val="00BB259A"/>
    <w:rsid w:val="00BB27EB"/>
    <w:rsid w:val="00BB286E"/>
    <w:rsid w:val="00BB299B"/>
    <w:rsid w:val="00BB3222"/>
    <w:rsid w:val="00BB4F0F"/>
    <w:rsid w:val="00BB599A"/>
    <w:rsid w:val="00BB663A"/>
    <w:rsid w:val="00BB6862"/>
    <w:rsid w:val="00BB6961"/>
    <w:rsid w:val="00BB76F3"/>
    <w:rsid w:val="00BB7BA4"/>
    <w:rsid w:val="00BC0484"/>
    <w:rsid w:val="00BC06D3"/>
    <w:rsid w:val="00BC0B49"/>
    <w:rsid w:val="00BC13CF"/>
    <w:rsid w:val="00BC17A2"/>
    <w:rsid w:val="00BC20B2"/>
    <w:rsid w:val="00BC4077"/>
    <w:rsid w:val="00BC4D80"/>
    <w:rsid w:val="00BC5433"/>
    <w:rsid w:val="00BC7096"/>
    <w:rsid w:val="00BD0067"/>
    <w:rsid w:val="00BD23B2"/>
    <w:rsid w:val="00BD23FC"/>
    <w:rsid w:val="00BD2519"/>
    <w:rsid w:val="00BD29F2"/>
    <w:rsid w:val="00BD412F"/>
    <w:rsid w:val="00BD490D"/>
    <w:rsid w:val="00BD6E61"/>
    <w:rsid w:val="00BD6EC6"/>
    <w:rsid w:val="00BD7069"/>
    <w:rsid w:val="00BD73DC"/>
    <w:rsid w:val="00BE1CF5"/>
    <w:rsid w:val="00BE4311"/>
    <w:rsid w:val="00BE4A44"/>
    <w:rsid w:val="00BE7985"/>
    <w:rsid w:val="00BE7B82"/>
    <w:rsid w:val="00BE7CB3"/>
    <w:rsid w:val="00BF0179"/>
    <w:rsid w:val="00BF0FFD"/>
    <w:rsid w:val="00BF133E"/>
    <w:rsid w:val="00BF214E"/>
    <w:rsid w:val="00BF268A"/>
    <w:rsid w:val="00BF379D"/>
    <w:rsid w:val="00BF4BA1"/>
    <w:rsid w:val="00BF62F4"/>
    <w:rsid w:val="00BF71A5"/>
    <w:rsid w:val="00BF786F"/>
    <w:rsid w:val="00BF7E48"/>
    <w:rsid w:val="00C039CB"/>
    <w:rsid w:val="00C03F06"/>
    <w:rsid w:val="00C04D2E"/>
    <w:rsid w:val="00C0618C"/>
    <w:rsid w:val="00C065C9"/>
    <w:rsid w:val="00C110D4"/>
    <w:rsid w:val="00C131A7"/>
    <w:rsid w:val="00C13576"/>
    <w:rsid w:val="00C13AA3"/>
    <w:rsid w:val="00C14EA4"/>
    <w:rsid w:val="00C169AF"/>
    <w:rsid w:val="00C172C5"/>
    <w:rsid w:val="00C174EA"/>
    <w:rsid w:val="00C175E1"/>
    <w:rsid w:val="00C1773E"/>
    <w:rsid w:val="00C20304"/>
    <w:rsid w:val="00C21888"/>
    <w:rsid w:val="00C2333B"/>
    <w:rsid w:val="00C2430F"/>
    <w:rsid w:val="00C2452A"/>
    <w:rsid w:val="00C24D72"/>
    <w:rsid w:val="00C2516E"/>
    <w:rsid w:val="00C269A4"/>
    <w:rsid w:val="00C26DD4"/>
    <w:rsid w:val="00C27AEA"/>
    <w:rsid w:val="00C32303"/>
    <w:rsid w:val="00C33017"/>
    <w:rsid w:val="00C33094"/>
    <w:rsid w:val="00C33E38"/>
    <w:rsid w:val="00C34C2C"/>
    <w:rsid w:val="00C3538A"/>
    <w:rsid w:val="00C35C4B"/>
    <w:rsid w:val="00C36935"/>
    <w:rsid w:val="00C37859"/>
    <w:rsid w:val="00C37CC9"/>
    <w:rsid w:val="00C416B4"/>
    <w:rsid w:val="00C4179D"/>
    <w:rsid w:val="00C417D9"/>
    <w:rsid w:val="00C42ADF"/>
    <w:rsid w:val="00C44C2A"/>
    <w:rsid w:val="00C46968"/>
    <w:rsid w:val="00C469A7"/>
    <w:rsid w:val="00C47B08"/>
    <w:rsid w:val="00C5037A"/>
    <w:rsid w:val="00C50487"/>
    <w:rsid w:val="00C50B74"/>
    <w:rsid w:val="00C51244"/>
    <w:rsid w:val="00C51403"/>
    <w:rsid w:val="00C51B22"/>
    <w:rsid w:val="00C5264E"/>
    <w:rsid w:val="00C5301E"/>
    <w:rsid w:val="00C540D8"/>
    <w:rsid w:val="00C553E1"/>
    <w:rsid w:val="00C55D31"/>
    <w:rsid w:val="00C56193"/>
    <w:rsid w:val="00C60F84"/>
    <w:rsid w:val="00C61B74"/>
    <w:rsid w:val="00C6278F"/>
    <w:rsid w:val="00C63023"/>
    <w:rsid w:val="00C633DC"/>
    <w:rsid w:val="00C646E4"/>
    <w:rsid w:val="00C64C6B"/>
    <w:rsid w:val="00C64D48"/>
    <w:rsid w:val="00C659E7"/>
    <w:rsid w:val="00C67753"/>
    <w:rsid w:val="00C721C4"/>
    <w:rsid w:val="00C723BA"/>
    <w:rsid w:val="00C7286D"/>
    <w:rsid w:val="00C75B89"/>
    <w:rsid w:val="00C771E8"/>
    <w:rsid w:val="00C81DC1"/>
    <w:rsid w:val="00C81DDF"/>
    <w:rsid w:val="00C82682"/>
    <w:rsid w:val="00C831CE"/>
    <w:rsid w:val="00C83FA4"/>
    <w:rsid w:val="00C854C6"/>
    <w:rsid w:val="00C8607A"/>
    <w:rsid w:val="00C86084"/>
    <w:rsid w:val="00C878AF"/>
    <w:rsid w:val="00C90730"/>
    <w:rsid w:val="00C922F6"/>
    <w:rsid w:val="00C92DA8"/>
    <w:rsid w:val="00C947D6"/>
    <w:rsid w:val="00C94F7D"/>
    <w:rsid w:val="00C9627B"/>
    <w:rsid w:val="00CA06D3"/>
    <w:rsid w:val="00CA3E4E"/>
    <w:rsid w:val="00CA3EAD"/>
    <w:rsid w:val="00CA4C0F"/>
    <w:rsid w:val="00CA6AD3"/>
    <w:rsid w:val="00CA73B7"/>
    <w:rsid w:val="00CA743B"/>
    <w:rsid w:val="00CA7D8A"/>
    <w:rsid w:val="00CB015E"/>
    <w:rsid w:val="00CB0EDF"/>
    <w:rsid w:val="00CB21CA"/>
    <w:rsid w:val="00CB371B"/>
    <w:rsid w:val="00CB3C60"/>
    <w:rsid w:val="00CB422B"/>
    <w:rsid w:val="00CB594F"/>
    <w:rsid w:val="00CB599C"/>
    <w:rsid w:val="00CB5B12"/>
    <w:rsid w:val="00CB5FE1"/>
    <w:rsid w:val="00CB6CAD"/>
    <w:rsid w:val="00CC03E7"/>
    <w:rsid w:val="00CC09A2"/>
    <w:rsid w:val="00CC22BA"/>
    <w:rsid w:val="00CC3989"/>
    <w:rsid w:val="00CC4E90"/>
    <w:rsid w:val="00CC52B9"/>
    <w:rsid w:val="00CC6F31"/>
    <w:rsid w:val="00CD0A3D"/>
    <w:rsid w:val="00CD1A77"/>
    <w:rsid w:val="00CD2004"/>
    <w:rsid w:val="00CD4A22"/>
    <w:rsid w:val="00CD4B96"/>
    <w:rsid w:val="00CD4D89"/>
    <w:rsid w:val="00CD64B2"/>
    <w:rsid w:val="00CE0F1E"/>
    <w:rsid w:val="00CE1C2A"/>
    <w:rsid w:val="00CE76B9"/>
    <w:rsid w:val="00CF0CE2"/>
    <w:rsid w:val="00CF2A4C"/>
    <w:rsid w:val="00CF3EF8"/>
    <w:rsid w:val="00CF6AD4"/>
    <w:rsid w:val="00CF6F2C"/>
    <w:rsid w:val="00CF78D4"/>
    <w:rsid w:val="00CF78D8"/>
    <w:rsid w:val="00CF7C82"/>
    <w:rsid w:val="00D001D9"/>
    <w:rsid w:val="00D03EB7"/>
    <w:rsid w:val="00D040F5"/>
    <w:rsid w:val="00D047BD"/>
    <w:rsid w:val="00D0589B"/>
    <w:rsid w:val="00D058DD"/>
    <w:rsid w:val="00D061BF"/>
    <w:rsid w:val="00D06BE3"/>
    <w:rsid w:val="00D07DFF"/>
    <w:rsid w:val="00D10C3F"/>
    <w:rsid w:val="00D115AF"/>
    <w:rsid w:val="00D12086"/>
    <w:rsid w:val="00D13144"/>
    <w:rsid w:val="00D13848"/>
    <w:rsid w:val="00D13EC7"/>
    <w:rsid w:val="00D148D9"/>
    <w:rsid w:val="00D14B46"/>
    <w:rsid w:val="00D1561E"/>
    <w:rsid w:val="00D16B32"/>
    <w:rsid w:val="00D21A48"/>
    <w:rsid w:val="00D2591E"/>
    <w:rsid w:val="00D26161"/>
    <w:rsid w:val="00D2675E"/>
    <w:rsid w:val="00D27AA9"/>
    <w:rsid w:val="00D32D9A"/>
    <w:rsid w:val="00D33B4D"/>
    <w:rsid w:val="00D35304"/>
    <w:rsid w:val="00D355A9"/>
    <w:rsid w:val="00D361C8"/>
    <w:rsid w:val="00D37903"/>
    <w:rsid w:val="00D400D7"/>
    <w:rsid w:val="00D4057C"/>
    <w:rsid w:val="00D40BB1"/>
    <w:rsid w:val="00D41509"/>
    <w:rsid w:val="00D41BED"/>
    <w:rsid w:val="00D436E0"/>
    <w:rsid w:val="00D43729"/>
    <w:rsid w:val="00D449BA"/>
    <w:rsid w:val="00D44A51"/>
    <w:rsid w:val="00D47A5E"/>
    <w:rsid w:val="00D47CFC"/>
    <w:rsid w:val="00D50BFA"/>
    <w:rsid w:val="00D5275D"/>
    <w:rsid w:val="00D53658"/>
    <w:rsid w:val="00D53C17"/>
    <w:rsid w:val="00D564FF"/>
    <w:rsid w:val="00D57C02"/>
    <w:rsid w:val="00D57C74"/>
    <w:rsid w:val="00D639FB"/>
    <w:rsid w:val="00D63AFF"/>
    <w:rsid w:val="00D66503"/>
    <w:rsid w:val="00D671A6"/>
    <w:rsid w:val="00D67B8E"/>
    <w:rsid w:val="00D7004A"/>
    <w:rsid w:val="00D71EBA"/>
    <w:rsid w:val="00D727CA"/>
    <w:rsid w:val="00D75B95"/>
    <w:rsid w:val="00D76E69"/>
    <w:rsid w:val="00D804D0"/>
    <w:rsid w:val="00D80AF9"/>
    <w:rsid w:val="00D83F57"/>
    <w:rsid w:val="00D84AA5"/>
    <w:rsid w:val="00D86283"/>
    <w:rsid w:val="00D8733E"/>
    <w:rsid w:val="00D90A04"/>
    <w:rsid w:val="00D93042"/>
    <w:rsid w:val="00D93463"/>
    <w:rsid w:val="00D9557B"/>
    <w:rsid w:val="00D95FBB"/>
    <w:rsid w:val="00D97F75"/>
    <w:rsid w:val="00D97FB5"/>
    <w:rsid w:val="00DA27A3"/>
    <w:rsid w:val="00DA37CA"/>
    <w:rsid w:val="00DA4608"/>
    <w:rsid w:val="00DA48D3"/>
    <w:rsid w:val="00DA4A82"/>
    <w:rsid w:val="00DA53E3"/>
    <w:rsid w:val="00DA58D8"/>
    <w:rsid w:val="00DB146B"/>
    <w:rsid w:val="00DB51C7"/>
    <w:rsid w:val="00DB584D"/>
    <w:rsid w:val="00DB6382"/>
    <w:rsid w:val="00DB6C53"/>
    <w:rsid w:val="00DB7EB3"/>
    <w:rsid w:val="00DC01E7"/>
    <w:rsid w:val="00DC0E1E"/>
    <w:rsid w:val="00DC3D6A"/>
    <w:rsid w:val="00DC3F26"/>
    <w:rsid w:val="00DC3FEF"/>
    <w:rsid w:val="00DC4050"/>
    <w:rsid w:val="00DC50E0"/>
    <w:rsid w:val="00DC6263"/>
    <w:rsid w:val="00DC6336"/>
    <w:rsid w:val="00DC6DD3"/>
    <w:rsid w:val="00DD0CF0"/>
    <w:rsid w:val="00DD13F5"/>
    <w:rsid w:val="00DD2B2B"/>
    <w:rsid w:val="00DD39AB"/>
    <w:rsid w:val="00DE0CE8"/>
    <w:rsid w:val="00DE2388"/>
    <w:rsid w:val="00DE342C"/>
    <w:rsid w:val="00DE3465"/>
    <w:rsid w:val="00DE34CC"/>
    <w:rsid w:val="00DE653C"/>
    <w:rsid w:val="00DE6B74"/>
    <w:rsid w:val="00DE7782"/>
    <w:rsid w:val="00DE7A5E"/>
    <w:rsid w:val="00DE7F99"/>
    <w:rsid w:val="00DF00A9"/>
    <w:rsid w:val="00DF01B0"/>
    <w:rsid w:val="00DF0330"/>
    <w:rsid w:val="00DF15F7"/>
    <w:rsid w:val="00DF165B"/>
    <w:rsid w:val="00DF7C84"/>
    <w:rsid w:val="00E04751"/>
    <w:rsid w:val="00E04BDF"/>
    <w:rsid w:val="00E04EDB"/>
    <w:rsid w:val="00E05654"/>
    <w:rsid w:val="00E05E39"/>
    <w:rsid w:val="00E07B7C"/>
    <w:rsid w:val="00E1050F"/>
    <w:rsid w:val="00E11128"/>
    <w:rsid w:val="00E11389"/>
    <w:rsid w:val="00E12904"/>
    <w:rsid w:val="00E15576"/>
    <w:rsid w:val="00E16B57"/>
    <w:rsid w:val="00E171B2"/>
    <w:rsid w:val="00E17AD6"/>
    <w:rsid w:val="00E21305"/>
    <w:rsid w:val="00E21D2A"/>
    <w:rsid w:val="00E22040"/>
    <w:rsid w:val="00E2313D"/>
    <w:rsid w:val="00E2416F"/>
    <w:rsid w:val="00E269D1"/>
    <w:rsid w:val="00E312FE"/>
    <w:rsid w:val="00E31919"/>
    <w:rsid w:val="00E31FBB"/>
    <w:rsid w:val="00E34169"/>
    <w:rsid w:val="00E341F0"/>
    <w:rsid w:val="00E35BBA"/>
    <w:rsid w:val="00E410A9"/>
    <w:rsid w:val="00E42BA1"/>
    <w:rsid w:val="00E43497"/>
    <w:rsid w:val="00E4627E"/>
    <w:rsid w:val="00E462C3"/>
    <w:rsid w:val="00E464D8"/>
    <w:rsid w:val="00E51F98"/>
    <w:rsid w:val="00E564A8"/>
    <w:rsid w:val="00E567DF"/>
    <w:rsid w:val="00E60305"/>
    <w:rsid w:val="00E60BA6"/>
    <w:rsid w:val="00E621E8"/>
    <w:rsid w:val="00E6258E"/>
    <w:rsid w:val="00E634F5"/>
    <w:rsid w:val="00E644FD"/>
    <w:rsid w:val="00E64573"/>
    <w:rsid w:val="00E64EFE"/>
    <w:rsid w:val="00E66848"/>
    <w:rsid w:val="00E67DA2"/>
    <w:rsid w:val="00E70971"/>
    <w:rsid w:val="00E712F7"/>
    <w:rsid w:val="00E71854"/>
    <w:rsid w:val="00E71A53"/>
    <w:rsid w:val="00E721E9"/>
    <w:rsid w:val="00E72805"/>
    <w:rsid w:val="00E7371F"/>
    <w:rsid w:val="00E77BFB"/>
    <w:rsid w:val="00E8201E"/>
    <w:rsid w:val="00E84321"/>
    <w:rsid w:val="00E84EE3"/>
    <w:rsid w:val="00E84F73"/>
    <w:rsid w:val="00E86459"/>
    <w:rsid w:val="00E912BF"/>
    <w:rsid w:val="00E93A8A"/>
    <w:rsid w:val="00E95946"/>
    <w:rsid w:val="00E976AF"/>
    <w:rsid w:val="00EA0F7A"/>
    <w:rsid w:val="00EA0FE5"/>
    <w:rsid w:val="00EA186B"/>
    <w:rsid w:val="00EA38F2"/>
    <w:rsid w:val="00EA3BDF"/>
    <w:rsid w:val="00EA48A6"/>
    <w:rsid w:val="00EA51EE"/>
    <w:rsid w:val="00EA54BC"/>
    <w:rsid w:val="00EA5DFA"/>
    <w:rsid w:val="00EA7FA2"/>
    <w:rsid w:val="00EB0DAB"/>
    <w:rsid w:val="00EB704F"/>
    <w:rsid w:val="00EB7D70"/>
    <w:rsid w:val="00EC0472"/>
    <w:rsid w:val="00EC04A5"/>
    <w:rsid w:val="00EC1503"/>
    <w:rsid w:val="00EC4621"/>
    <w:rsid w:val="00EC47EB"/>
    <w:rsid w:val="00EC5522"/>
    <w:rsid w:val="00EC5A47"/>
    <w:rsid w:val="00EC6443"/>
    <w:rsid w:val="00EC67A1"/>
    <w:rsid w:val="00EC6C39"/>
    <w:rsid w:val="00EC71EF"/>
    <w:rsid w:val="00ED01F8"/>
    <w:rsid w:val="00ED0878"/>
    <w:rsid w:val="00ED125A"/>
    <w:rsid w:val="00ED44D3"/>
    <w:rsid w:val="00ED5B31"/>
    <w:rsid w:val="00ED5C32"/>
    <w:rsid w:val="00ED65CD"/>
    <w:rsid w:val="00ED761C"/>
    <w:rsid w:val="00ED7F63"/>
    <w:rsid w:val="00EE3A15"/>
    <w:rsid w:val="00EE4D39"/>
    <w:rsid w:val="00EE602B"/>
    <w:rsid w:val="00EE64E3"/>
    <w:rsid w:val="00EE6667"/>
    <w:rsid w:val="00EE6697"/>
    <w:rsid w:val="00EE72C3"/>
    <w:rsid w:val="00EE73DA"/>
    <w:rsid w:val="00EF0436"/>
    <w:rsid w:val="00EF30EF"/>
    <w:rsid w:val="00EF393D"/>
    <w:rsid w:val="00EF416E"/>
    <w:rsid w:val="00EF5A55"/>
    <w:rsid w:val="00EF6B5F"/>
    <w:rsid w:val="00EF7A91"/>
    <w:rsid w:val="00F01AC1"/>
    <w:rsid w:val="00F03066"/>
    <w:rsid w:val="00F03DB1"/>
    <w:rsid w:val="00F03FA6"/>
    <w:rsid w:val="00F05D60"/>
    <w:rsid w:val="00F06101"/>
    <w:rsid w:val="00F0615A"/>
    <w:rsid w:val="00F1265E"/>
    <w:rsid w:val="00F129B7"/>
    <w:rsid w:val="00F13030"/>
    <w:rsid w:val="00F1326A"/>
    <w:rsid w:val="00F1340D"/>
    <w:rsid w:val="00F13573"/>
    <w:rsid w:val="00F1554C"/>
    <w:rsid w:val="00F16177"/>
    <w:rsid w:val="00F17C3C"/>
    <w:rsid w:val="00F21CCB"/>
    <w:rsid w:val="00F23B63"/>
    <w:rsid w:val="00F26102"/>
    <w:rsid w:val="00F26D89"/>
    <w:rsid w:val="00F312F3"/>
    <w:rsid w:val="00F31BF5"/>
    <w:rsid w:val="00F32418"/>
    <w:rsid w:val="00F329DE"/>
    <w:rsid w:val="00F32C77"/>
    <w:rsid w:val="00F33128"/>
    <w:rsid w:val="00F34481"/>
    <w:rsid w:val="00F376D9"/>
    <w:rsid w:val="00F404B6"/>
    <w:rsid w:val="00F40F74"/>
    <w:rsid w:val="00F412CA"/>
    <w:rsid w:val="00F42260"/>
    <w:rsid w:val="00F42CCF"/>
    <w:rsid w:val="00F43B1B"/>
    <w:rsid w:val="00F445C0"/>
    <w:rsid w:val="00F45269"/>
    <w:rsid w:val="00F47780"/>
    <w:rsid w:val="00F47E74"/>
    <w:rsid w:val="00F50D5F"/>
    <w:rsid w:val="00F511F0"/>
    <w:rsid w:val="00F51415"/>
    <w:rsid w:val="00F546BD"/>
    <w:rsid w:val="00F55E27"/>
    <w:rsid w:val="00F608BE"/>
    <w:rsid w:val="00F60EB7"/>
    <w:rsid w:val="00F61E36"/>
    <w:rsid w:val="00F62942"/>
    <w:rsid w:val="00F64D91"/>
    <w:rsid w:val="00F67B1D"/>
    <w:rsid w:val="00F704BF"/>
    <w:rsid w:val="00F71886"/>
    <w:rsid w:val="00F71A88"/>
    <w:rsid w:val="00F71E65"/>
    <w:rsid w:val="00F7340C"/>
    <w:rsid w:val="00F7349A"/>
    <w:rsid w:val="00F76664"/>
    <w:rsid w:val="00F77F3F"/>
    <w:rsid w:val="00F80846"/>
    <w:rsid w:val="00F80C16"/>
    <w:rsid w:val="00F80C94"/>
    <w:rsid w:val="00F82FD4"/>
    <w:rsid w:val="00F8310B"/>
    <w:rsid w:val="00F83FDF"/>
    <w:rsid w:val="00F843FD"/>
    <w:rsid w:val="00F84C1C"/>
    <w:rsid w:val="00F84F7A"/>
    <w:rsid w:val="00F85266"/>
    <w:rsid w:val="00F854DD"/>
    <w:rsid w:val="00F85D5A"/>
    <w:rsid w:val="00F86DBE"/>
    <w:rsid w:val="00F86F82"/>
    <w:rsid w:val="00F87DA0"/>
    <w:rsid w:val="00F90082"/>
    <w:rsid w:val="00F90DE5"/>
    <w:rsid w:val="00F90E68"/>
    <w:rsid w:val="00F94D20"/>
    <w:rsid w:val="00F9718B"/>
    <w:rsid w:val="00F9782E"/>
    <w:rsid w:val="00FA1279"/>
    <w:rsid w:val="00FA2A29"/>
    <w:rsid w:val="00FA50FD"/>
    <w:rsid w:val="00FA6FD1"/>
    <w:rsid w:val="00FA787F"/>
    <w:rsid w:val="00FB4C0E"/>
    <w:rsid w:val="00FB5520"/>
    <w:rsid w:val="00FB699C"/>
    <w:rsid w:val="00FB7DDF"/>
    <w:rsid w:val="00FC0373"/>
    <w:rsid w:val="00FC0718"/>
    <w:rsid w:val="00FC0D3D"/>
    <w:rsid w:val="00FC1617"/>
    <w:rsid w:val="00FC2DD0"/>
    <w:rsid w:val="00FC4D33"/>
    <w:rsid w:val="00FC4DD1"/>
    <w:rsid w:val="00FC5ED7"/>
    <w:rsid w:val="00FC610C"/>
    <w:rsid w:val="00FC6884"/>
    <w:rsid w:val="00FC7344"/>
    <w:rsid w:val="00FD2B3E"/>
    <w:rsid w:val="00FD3523"/>
    <w:rsid w:val="00FD3DEB"/>
    <w:rsid w:val="00FD5627"/>
    <w:rsid w:val="00FD6759"/>
    <w:rsid w:val="00FD6D1A"/>
    <w:rsid w:val="00FE15F2"/>
    <w:rsid w:val="00FE1692"/>
    <w:rsid w:val="00FE3204"/>
    <w:rsid w:val="00FE441A"/>
    <w:rsid w:val="00FE488C"/>
    <w:rsid w:val="00FE601A"/>
    <w:rsid w:val="00FE6389"/>
    <w:rsid w:val="00FE6E12"/>
    <w:rsid w:val="00FE7169"/>
    <w:rsid w:val="00FE792A"/>
    <w:rsid w:val="00FF1F42"/>
    <w:rsid w:val="00FF6897"/>
    <w:rsid w:val="00FF6982"/>
    <w:rsid w:val="00FF7053"/>
    <w:rsid w:val="00FF71F7"/>
    <w:rsid w:val="00FF7A20"/>
    <w:rsid w:val="0D1B7335"/>
    <w:rsid w:val="0DC25855"/>
    <w:rsid w:val="0F6F4F5A"/>
    <w:rsid w:val="10CC55B8"/>
    <w:rsid w:val="1299751E"/>
    <w:rsid w:val="13CF23CA"/>
    <w:rsid w:val="14D25167"/>
    <w:rsid w:val="174D6D27"/>
    <w:rsid w:val="17B84989"/>
    <w:rsid w:val="1D921938"/>
    <w:rsid w:val="1DDE2DCF"/>
    <w:rsid w:val="1F890B18"/>
    <w:rsid w:val="226E2973"/>
    <w:rsid w:val="2C07063A"/>
    <w:rsid w:val="2D410C84"/>
    <w:rsid w:val="2DDE6A6D"/>
    <w:rsid w:val="2E6C4895"/>
    <w:rsid w:val="2F0B32F8"/>
    <w:rsid w:val="30B579BF"/>
    <w:rsid w:val="344057F2"/>
    <w:rsid w:val="36483DFB"/>
    <w:rsid w:val="368C6ECC"/>
    <w:rsid w:val="39730417"/>
    <w:rsid w:val="3ED56947"/>
    <w:rsid w:val="419158DF"/>
    <w:rsid w:val="46E22739"/>
    <w:rsid w:val="48A91760"/>
    <w:rsid w:val="4B005D50"/>
    <w:rsid w:val="4CF54820"/>
    <w:rsid w:val="4DE37A02"/>
    <w:rsid w:val="555655F3"/>
    <w:rsid w:val="580F70C9"/>
    <w:rsid w:val="58B8779D"/>
    <w:rsid w:val="59E6628D"/>
    <w:rsid w:val="5A721875"/>
    <w:rsid w:val="5C3866C7"/>
    <w:rsid w:val="5E71734B"/>
    <w:rsid w:val="5EA507C4"/>
    <w:rsid w:val="5F1B5006"/>
    <w:rsid w:val="63A24255"/>
    <w:rsid w:val="64E263CC"/>
    <w:rsid w:val="6716225F"/>
    <w:rsid w:val="67CA4DF7"/>
    <w:rsid w:val="683230C8"/>
    <w:rsid w:val="684D3A5E"/>
    <w:rsid w:val="697127CE"/>
    <w:rsid w:val="6A1F767C"/>
    <w:rsid w:val="6A5C442C"/>
    <w:rsid w:val="6AF21F10"/>
    <w:rsid w:val="71C867F5"/>
    <w:rsid w:val="742F4960"/>
    <w:rsid w:val="74D774D1"/>
    <w:rsid w:val="776158EB"/>
    <w:rsid w:val="78300CA6"/>
    <w:rsid w:val="7C87620E"/>
    <w:rsid w:val="7D366D5F"/>
    <w:rsid w:val="7DDD4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nhideWhenUsed="0" w:uiPriority="0" w:semiHidden="0"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0" w:name="Salutation"/>
    <w:lsdException w:uiPriority="0" w:name="Date"/>
    <w:lsdException w:uiPriority="99" w:name="Body Text First Indent"/>
    <w:lsdException w:uiPriority="0"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unhideWhenUsed="0" w:uiPriority="0" w:semiHidden="0" w:name="Hyperlink"/>
    <w:lsdException w:qFormat="1" w:uiPriority="0" w:name="FollowedHyperlink"/>
    <w:lsdException w:qFormat="1" w:unhideWhenUsed="0" w:uiPriority="0" w:semiHidden="0" w:name="Strong"/>
    <w:lsdException w:unhideWhenUsed="0" w:uiPriority="20" w:semiHidden="0" w:name="Emphasis"/>
    <w:lsdException w:uiPriority="99" w:name="Document Map"/>
    <w:lsdException w:uiPriority="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pPr>
    <w:rPr>
      <w:rFonts w:eastAsia="宋体" w:asciiTheme="minorHAnsi" w:hAnsiTheme="minorHAnsi" w:cstheme="minorBidi"/>
      <w:kern w:val="2"/>
      <w:sz w:val="24"/>
      <w:szCs w:val="21"/>
      <w:lang w:val="en-US" w:eastAsia="zh-CN" w:bidi="ar-SA"/>
    </w:rPr>
  </w:style>
  <w:style w:type="paragraph" w:styleId="2">
    <w:name w:val="heading 1"/>
    <w:basedOn w:val="1"/>
    <w:next w:val="1"/>
    <w:link w:val="21"/>
    <w:qFormat/>
    <w:uiPriority w:val="9"/>
    <w:pPr>
      <w:keepNext/>
      <w:keepLines/>
      <w:numPr>
        <w:ilvl w:val="0"/>
        <w:numId w:val="1"/>
      </w:numPr>
      <w:suppressLineNumbers/>
      <w:ind w:firstLineChars="0"/>
      <w:jc w:val="center"/>
      <w:outlineLvl w:val="0"/>
    </w:pPr>
    <w:rPr>
      <w:rFonts w:ascii="Times New Roman" w:hAnsi="Times New Roman"/>
      <w:b/>
      <w:bCs/>
      <w:kern w:val="44"/>
      <w:sz w:val="32"/>
      <w:szCs w:val="44"/>
    </w:rPr>
  </w:style>
  <w:style w:type="paragraph" w:styleId="3">
    <w:name w:val="heading 2"/>
    <w:basedOn w:val="1"/>
    <w:next w:val="1"/>
    <w:link w:val="22"/>
    <w:unhideWhenUsed/>
    <w:qFormat/>
    <w:uiPriority w:val="9"/>
    <w:pPr>
      <w:keepNext/>
      <w:keepLines/>
      <w:numPr>
        <w:ilvl w:val="1"/>
        <w:numId w:val="1"/>
      </w:numPr>
      <w:ind w:firstLine="0" w:firstLineChars="0"/>
      <w:jc w:val="center"/>
      <w:outlineLvl w:val="1"/>
    </w:pPr>
    <w:rPr>
      <w:rFonts w:ascii="Times New Roman" w:hAnsi="Times New Roman" w:cstheme="majorBidi"/>
      <w:b/>
      <w:bCs/>
      <w:sz w:val="30"/>
      <w:szCs w:val="32"/>
    </w:rPr>
  </w:style>
  <w:style w:type="paragraph" w:styleId="4">
    <w:name w:val="heading 3"/>
    <w:basedOn w:val="1"/>
    <w:next w:val="1"/>
    <w:link w:val="24"/>
    <w:unhideWhenUsed/>
    <w:qFormat/>
    <w:uiPriority w:val="9"/>
    <w:pPr>
      <w:keepNext/>
      <w:keepLines/>
      <w:numPr>
        <w:ilvl w:val="2"/>
        <w:numId w:val="1"/>
      </w:numPr>
      <w:ind w:firstLineChars="0"/>
      <w:outlineLvl w:val="2"/>
    </w:pPr>
    <w:rPr>
      <w:rFonts w:ascii="Times New Roman" w:hAnsi="Times New Roman"/>
      <w:b/>
      <w:bCs/>
      <w:sz w:val="28"/>
      <w:szCs w:val="32"/>
    </w:rPr>
  </w:style>
  <w:style w:type="paragraph" w:styleId="5">
    <w:name w:val="heading 4"/>
    <w:basedOn w:val="1"/>
    <w:next w:val="1"/>
    <w:link w:val="23"/>
    <w:autoRedefine/>
    <w:unhideWhenUsed/>
    <w:qFormat/>
    <w:uiPriority w:val="9"/>
    <w:pPr>
      <w:keepNext/>
      <w:keepLines/>
      <w:numPr>
        <w:ilvl w:val="3"/>
        <w:numId w:val="1"/>
      </w:numPr>
      <w:ind w:left="0" w:firstLineChars="0"/>
      <w:outlineLvl w:val="3"/>
    </w:pPr>
    <w:rPr>
      <w:rFonts w:ascii="Times New Roman" w:hAnsi="Times New Roman" w:cstheme="majorBidi"/>
      <w:bCs/>
      <w:szCs w:val="28"/>
    </w:rPr>
  </w:style>
  <w:style w:type="paragraph" w:styleId="6">
    <w:name w:val="heading 5"/>
    <w:basedOn w:val="1"/>
    <w:next w:val="1"/>
    <w:link w:val="27"/>
    <w:unhideWhenUsed/>
    <w:qFormat/>
    <w:uiPriority w:val="9"/>
    <w:pPr>
      <w:keepNext/>
      <w:keepLines/>
      <w:numPr>
        <w:ilvl w:val="4"/>
        <w:numId w:val="1"/>
      </w:numPr>
      <w:ind w:left="0" w:firstLineChars="0"/>
      <w:outlineLvl w:val="4"/>
    </w:pPr>
    <w:rPr>
      <w:rFonts w:ascii="Times New Roman" w:hAnsi="Times New Roman"/>
      <w:bCs/>
      <w:szCs w:val="28"/>
    </w:rPr>
  </w:style>
  <w:style w:type="paragraph" w:styleId="7">
    <w:name w:val="heading 6"/>
    <w:basedOn w:val="1"/>
    <w:next w:val="1"/>
    <w:link w:val="39"/>
    <w:unhideWhenUsed/>
    <w:qFormat/>
    <w:uiPriority w:val="9"/>
    <w:pPr>
      <w:keepNext/>
      <w:keepLines/>
      <w:spacing w:before="240" w:after="64" w:line="317" w:lineRule="auto"/>
      <w:outlineLvl w:val="5"/>
    </w:pPr>
    <w:rPr>
      <w:rFonts w:ascii="Arial" w:hAnsi="Arial" w:eastAsia="黑体"/>
      <w:b/>
    </w:rPr>
  </w:style>
  <w:style w:type="paragraph" w:styleId="8">
    <w:name w:val="heading 7"/>
    <w:basedOn w:val="1"/>
    <w:next w:val="1"/>
    <w:link w:val="71"/>
    <w:unhideWhenUsed/>
    <w:qFormat/>
    <w:uiPriority w:val="9"/>
    <w:pPr>
      <w:keepNext/>
      <w:keepLines/>
      <w:spacing w:before="240" w:after="64" w:line="320" w:lineRule="auto"/>
      <w:outlineLvl w:val="6"/>
    </w:pPr>
    <w:rPr>
      <w:b/>
      <w:bCs/>
      <w:szCs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
    <w:qFormat/>
    <w:uiPriority w:val="0"/>
    <w:pPr>
      <w:ind w:firstLine="420"/>
    </w:pPr>
    <w:rPr>
      <w:szCs w:val="20"/>
    </w:rPr>
  </w:style>
  <w:style w:type="paragraph" w:styleId="10">
    <w:name w:val="footer"/>
    <w:basedOn w:val="1"/>
    <w:unhideWhenUsed/>
    <w:qFormat/>
    <w:uiPriority w:val="99"/>
    <w:pPr>
      <w:tabs>
        <w:tab w:val="center" w:pos="4153"/>
        <w:tab w:val="right" w:pos="8306"/>
      </w:tabs>
      <w:snapToGrid w:val="0"/>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Title"/>
    <w:basedOn w:val="1"/>
    <w:next w:val="1"/>
    <w:link w:val="25"/>
    <w:qFormat/>
    <w:uiPriority w:val="10"/>
    <w:pPr>
      <w:spacing w:before="240" w:after="60"/>
      <w:jc w:val="center"/>
      <w:outlineLvl w:val="0"/>
    </w:pPr>
    <w:rPr>
      <w:rFonts w:asciiTheme="majorHAnsi" w:hAnsiTheme="majorHAnsi" w:cstheme="majorBidi"/>
      <w:b/>
      <w:bCs/>
      <w:sz w:val="32"/>
      <w:szCs w:val="32"/>
    </w:rPr>
  </w:style>
  <w:style w:type="table" w:styleId="16">
    <w:name w:val="Table Grid"/>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styleId="17">
    <w:name w:val="Colorful List Accent 6"/>
    <w:basedOn w:val="15"/>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character" w:styleId="19">
    <w:name w:val="Strong"/>
    <w:basedOn w:val="18"/>
    <w:qFormat/>
    <w:uiPriority w:val="0"/>
    <w:rPr>
      <w:b/>
    </w:rPr>
  </w:style>
  <w:style w:type="paragraph" w:customStyle="1" w:styleId="20">
    <w:name w:val="正文1(1)"/>
    <w:basedOn w:val="1"/>
    <w:link w:val="33"/>
    <w:autoRedefine/>
    <w:qFormat/>
    <w:uiPriority w:val="0"/>
    <w:pPr>
      <w:numPr>
        <w:ilvl w:val="5"/>
        <w:numId w:val="1"/>
      </w:numPr>
      <w:ind w:left="0" w:firstLine="480"/>
    </w:pPr>
    <w:rPr>
      <w:rFonts w:ascii="Times New Roman" w:hAnsi="Times New Roman"/>
    </w:rPr>
  </w:style>
  <w:style w:type="character" w:customStyle="1" w:styleId="21">
    <w:name w:val="标题 1 Char"/>
    <w:basedOn w:val="18"/>
    <w:link w:val="2"/>
    <w:qFormat/>
    <w:uiPriority w:val="9"/>
    <w:rPr>
      <w:rFonts w:ascii="Times New Roman" w:hAnsi="Times New Roman" w:eastAsia="宋体"/>
      <w:b/>
      <w:bCs/>
      <w:kern w:val="44"/>
      <w:sz w:val="32"/>
      <w:szCs w:val="44"/>
    </w:rPr>
  </w:style>
  <w:style w:type="character" w:customStyle="1" w:styleId="22">
    <w:name w:val="标题 2 Char"/>
    <w:basedOn w:val="18"/>
    <w:link w:val="3"/>
    <w:qFormat/>
    <w:uiPriority w:val="9"/>
    <w:rPr>
      <w:rFonts w:ascii="Times New Roman" w:hAnsi="Times New Roman" w:eastAsia="宋体" w:cstheme="majorBidi"/>
      <w:b/>
      <w:bCs/>
      <w:sz w:val="30"/>
      <w:szCs w:val="32"/>
    </w:rPr>
  </w:style>
  <w:style w:type="character" w:customStyle="1" w:styleId="23">
    <w:name w:val="标题 4 Char"/>
    <w:basedOn w:val="18"/>
    <w:link w:val="5"/>
    <w:qFormat/>
    <w:uiPriority w:val="9"/>
    <w:rPr>
      <w:rFonts w:ascii="Times New Roman" w:hAnsi="Times New Roman" w:eastAsia="宋体" w:cstheme="majorBidi"/>
      <w:bCs/>
      <w:sz w:val="24"/>
      <w:szCs w:val="28"/>
    </w:rPr>
  </w:style>
  <w:style w:type="character" w:customStyle="1" w:styleId="24">
    <w:name w:val="标题 3 Char"/>
    <w:basedOn w:val="18"/>
    <w:link w:val="4"/>
    <w:qFormat/>
    <w:uiPriority w:val="9"/>
    <w:rPr>
      <w:rFonts w:ascii="Times New Roman" w:hAnsi="Times New Roman" w:eastAsia="宋体"/>
      <w:b/>
      <w:bCs/>
      <w:sz w:val="28"/>
      <w:szCs w:val="32"/>
    </w:rPr>
  </w:style>
  <w:style w:type="character" w:customStyle="1" w:styleId="25">
    <w:name w:val="标题 Char"/>
    <w:basedOn w:val="18"/>
    <w:link w:val="14"/>
    <w:qFormat/>
    <w:uiPriority w:val="10"/>
    <w:rPr>
      <w:rFonts w:eastAsia="宋体" w:asciiTheme="majorHAnsi" w:hAnsiTheme="majorHAnsi" w:cstheme="majorBidi"/>
      <w:b/>
      <w:bCs/>
      <w:sz w:val="32"/>
      <w:szCs w:val="32"/>
    </w:rPr>
  </w:style>
  <w:style w:type="paragraph" w:customStyle="1" w:styleId="26">
    <w:name w:val="(表格)"/>
    <w:basedOn w:val="1"/>
    <w:link w:val="41"/>
    <w:qFormat/>
    <w:uiPriority w:val="0"/>
    <w:pPr>
      <w:numPr>
        <w:ilvl w:val="7"/>
        <w:numId w:val="1"/>
      </w:numPr>
      <w:spacing w:line="240" w:lineRule="auto"/>
      <w:ind w:firstLineChars="0"/>
      <w:jc w:val="center"/>
    </w:pPr>
    <w:rPr>
      <w:rFonts w:ascii="Times New Roman" w:hAnsi="Times New Roman" w:eastAsia="黑体"/>
    </w:rPr>
  </w:style>
  <w:style w:type="character" w:customStyle="1" w:styleId="27">
    <w:name w:val="标题 5 Char"/>
    <w:basedOn w:val="18"/>
    <w:link w:val="6"/>
    <w:qFormat/>
    <w:uiPriority w:val="9"/>
    <w:rPr>
      <w:rFonts w:ascii="Times New Roman" w:hAnsi="Times New Roman" w:eastAsia="宋体"/>
      <w:bCs/>
      <w:sz w:val="24"/>
      <w:szCs w:val="28"/>
    </w:rPr>
  </w:style>
  <w:style w:type="paragraph" w:customStyle="1" w:styleId="28">
    <w:name w:val="（图片）"/>
    <w:basedOn w:val="1"/>
    <w:next w:val="29"/>
    <w:link w:val="37"/>
    <w:autoRedefine/>
    <w:qFormat/>
    <w:uiPriority w:val="0"/>
    <w:pPr>
      <w:numPr>
        <w:ilvl w:val="8"/>
        <w:numId w:val="1"/>
      </w:numPr>
      <w:spacing w:line="240" w:lineRule="auto"/>
      <w:ind w:left="0" w:firstLineChars="0"/>
      <w:jc w:val="center"/>
    </w:pPr>
    <w:rPr>
      <w:rFonts w:eastAsia="黑体"/>
    </w:rPr>
  </w:style>
  <w:style w:type="paragraph" w:customStyle="1" w:styleId="29">
    <w:name w:val="图"/>
    <w:basedOn w:val="1"/>
    <w:link w:val="40"/>
    <w:qFormat/>
    <w:uiPriority w:val="0"/>
    <w:pPr>
      <w:pBdr>
        <w:top w:val="single" w:color="4F81BD" w:themeColor="accent1" w:sz="12" w:space="1"/>
        <w:left w:val="single" w:color="4F81BD" w:themeColor="accent1" w:sz="12" w:space="4"/>
        <w:bottom w:val="single" w:color="4F81BD" w:themeColor="accent1" w:sz="12" w:space="1"/>
        <w:right w:val="single" w:color="4F81BD" w:themeColor="accent1" w:sz="12" w:space="4"/>
      </w:pBdr>
      <w:spacing w:line="276" w:lineRule="auto"/>
      <w:ind w:firstLine="0" w:firstLineChars="0"/>
      <w:jc w:val="center"/>
    </w:pPr>
    <w:rPr>
      <w:rFonts w:ascii="Times New Roman" w:hAnsi="Times New Roman" w:eastAsia="宋体"/>
      <w:sz w:val="21"/>
    </w:rPr>
  </w:style>
  <w:style w:type="paragraph" w:customStyle="1" w:styleId="30">
    <w:name w:val="正文 1)"/>
    <w:basedOn w:val="1"/>
    <w:link w:val="34"/>
    <w:qFormat/>
    <w:uiPriority w:val="0"/>
    <w:pPr>
      <w:numPr>
        <w:ilvl w:val="6"/>
        <w:numId w:val="1"/>
      </w:numPr>
      <w:ind w:firstLine="200"/>
    </w:pPr>
  </w:style>
  <w:style w:type="paragraph" w:customStyle="1" w:styleId="31">
    <w:name w:val="表格内容居中"/>
    <w:basedOn w:val="1"/>
    <w:link w:val="32"/>
    <w:qFormat/>
    <w:uiPriority w:val="0"/>
    <w:pPr>
      <w:spacing w:line="360" w:lineRule="exact"/>
      <w:ind w:firstLine="0" w:firstLineChars="0"/>
      <w:jc w:val="center"/>
    </w:pPr>
    <w:rPr>
      <w:rFonts w:ascii="Times New Roman" w:hAnsi="Times New Roman"/>
      <w:sz w:val="21"/>
    </w:rPr>
  </w:style>
  <w:style w:type="character" w:customStyle="1" w:styleId="32">
    <w:name w:val="表格内容居中 Char"/>
    <w:basedOn w:val="18"/>
    <w:link w:val="31"/>
    <w:qFormat/>
    <w:uiPriority w:val="0"/>
    <w:rPr>
      <w:rFonts w:ascii="Times New Roman" w:hAnsi="Times New Roman" w:eastAsia="宋体"/>
    </w:rPr>
  </w:style>
  <w:style w:type="character" w:customStyle="1" w:styleId="33">
    <w:name w:val="正文1(1) Char"/>
    <w:link w:val="20"/>
    <w:qFormat/>
    <w:uiPriority w:val="0"/>
    <w:rPr>
      <w:rFonts w:ascii="Times New Roman" w:hAnsi="Times New Roman" w:eastAsia="宋体"/>
      <w:sz w:val="24"/>
    </w:rPr>
  </w:style>
  <w:style w:type="character" w:customStyle="1" w:styleId="34">
    <w:name w:val="正文 1) Char"/>
    <w:link w:val="30"/>
    <w:qFormat/>
    <w:uiPriority w:val="0"/>
    <w:rPr>
      <w:rFonts w:eastAsia="宋体"/>
      <w:sz w:val="24"/>
    </w:rPr>
  </w:style>
  <w:style w:type="paragraph" w:customStyle="1" w:styleId="35">
    <w:name w:val="表格内容左对齐1"/>
    <w:basedOn w:val="31"/>
    <w:link w:val="36"/>
    <w:qFormat/>
    <w:uiPriority w:val="0"/>
    <w:pPr>
      <w:widowControl/>
      <w:spacing w:line="240" w:lineRule="auto"/>
      <w:ind w:firstLine="420" w:firstLineChars="200"/>
      <w:jc w:val="left"/>
    </w:pPr>
    <w:rPr>
      <w:rFonts w:ascii="宋体" w:hAnsi="宋体" w:cs="宋体"/>
      <w:kern w:val="0"/>
      <w:szCs w:val="24"/>
    </w:rPr>
  </w:style>
  <w:style w:type="character" w:customStyle="1" w:styleId="36">
    <w:name w:val="表格内容左对齐1 Char"/>
    <w:basedOn w:val="32"/>
    <w:link w:val="35"/>
    <w:qFormat/>
    <w:uiPriority w:val="0"/>
    <w:rPr>
      <w:rFonts w:ascii="宋体" w:hAnsi="宋体" w:eastAsia="宋体" w:cs="宋体"/>
      <w:kern w:val="0"/>
      <w:szCs w:val="24"/>
    </w:rPr>
  </w:style>
  <w:style w:type="character" w:customStyle="1" w:styleId="37">
    <w:name w:val="（图片） Char"/>
    <w:link w:val="28"/>
    <w:qFormat/>
    <w:uiPriority w:val="0"/>
    <w:rPr>
      <w:rFonts w:eastAsia="黑体"/>
      <w:sz w:val="24"/>
    </w:rPr>
  </w:style>
  <w:style w:type="table" w:customStyle="1" w:styleId="38">
    <w:name w:val="网格型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character" w:customStyle="1" w:styleId="39">
    <w:name w:val="标题 6 Char"/>
    <w:basedOn w:val="18"/>
    <w:link w:val="7"/>
    <w:qFormat/>
    <w:uiPriority w:val="9"/>
    <w:rPr>
      <w:rFonts w:ascii="Arial" w:hAnsi="Arial" w:eastAsia="黑体"/>
      <w:b/>
      <w:sz w:val="24"/>
    </w:rPr>
  </w:style>
  <w:style w:type="character" w:customStyle="1" w:styleId="40">
    <w:name w:val="图 Char"/>
    <w:link w:val="29"/>
    <w:qFormat/>
    <w:uiPriority w:val="0"/>
    <w:rPr>
      <w:rFonts w:ascii="Times New Roman" w:hAnsi="Times New Roman" w:eastAsia="宋体"/>
    </w:rPr>
  </w:style>
  <w:style w:type="character" w:customStyle="1" w:styleId="41">
    <w:name w:val="(表格) Char"/>
    <w:link w:val="26"/>
    <w:qFormat/>
    <w:locked/>
    <w:uiPriority w:val="0"/>
    <w:rPr>
      <w:rFonts w:ascii="Times New Roman" w:hAnsi="Times New Roman" w:eastAsia="黑体"/>
      <w:sz w:val="24"/>
    </w:rPr>
  </w:style>
  <w:style w:type="table" w:customStyle="1" w:styleId="42">
    <w:name w:val="Table Normal"/>
    <w:unhideWhenUsed/>
    <w:qFormat/>
    <w:uiPriority w:val="2"/>
    <w:pPr>
      <w:widowControl w:val="0"/>
      <w:autoSpaceDE w:val="0"/>
      <w:autoSpaceDN w:val="0"/>
    </w:pPr>
    <w:rPr>
      <w:rFonts w:ascii="Calibri" w:hAnsi="Calibri" w:eastAsia="宋体" w:cs="Times New Roman"/>
      <w:kern w:val="0"/>
      <w:sz w:val="22"/>
      <w:szCs w:val="22"/>
      <w:lang w:eastAsia="en-US"/>
    </w:rPr>
    <w:tblPr>
      <w:tblCellMar>
        <w:top w:w="0" w:type="dxa"/>
        <w:left w:w="0" w:type="dxa"/>
        <w:bottom w:w="0" w:type="dxa"/>
        <w:right w:w="0" w:type="dxa"/>
      </w:tblCellMar>
    </w:tblPr>
  </w:style>
  <w:style w:type="table" w:customStyle="1" w:styleId="43">
    <w:name w:val="东塔表格13"/>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4">
    <w:name w:val="东塔表格14"/>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5">
    <w:name w:val="东塔表格15"/>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paragraph" w:customStyle="1" w:styleId="46">
    <w:name w:val="表格内容左对齐"/>
    <w:basedOn w:val="1"/>
    <w:next w:val="1"/>
    <w:link w:val="47"/>
    <w:qFormat/>
    <w:uiPriority w:val="0"/>
    <w:pPr>
      <w:spacing w:line="240" w:lineRule="auto"/>
    </w:pPr>
    <w:rPr>
      <w:sz w:val="21"/>
    </w:rPr>
  </w:style>
  <w:style w:type="character" w:customStyle="1" w:styleId="47">
    <w:name w:val="表格内容左对齐 Char"/>
    <w:basedOn w:val="18"/>
    <w:link w:val="46"/>
    <w:qFormat/>
    <w:uiPriority w:val="0"/>
    <w:rPr>
      <w:rFonts w:eastAsia="宋体"/>
    </w:rPr>
  </w:style>
  <w:style w:type="table" w:customStyle="1" w:styleId="48">
    <w:name w:val="东塔表格11"/>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9">
    <w:name w:val="东塔表格12"/>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0">
    <w:name w:val="网格型2"/>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1">
    <w:name w:val="网格型3"/>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2">
    <w:name w:val="网格型1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3">
    <w:name w:val="标书表格"/>
    <w:basedOn w:val="15"/>
    <w:qFormat/>
    <w:uiPriority w:val="99"/>
    <w:pPr>
      <w:jc w:val="center"/>
    </w:pPr>
    <w:rPr>
      <w:rFonts w:eastAsia="宋体"/>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cPr>
      <w:vAlign w:val="center"/>
    </w:tcPr>
    <w:tblStylePr w:type="firstRow">
      <w:rPr>
        <w:rFonts w:eastAsia="宋体"/>
        <w:b/>
        <w:sz w:val="21"/>
      </w:rPr>
      <w:tcPr>
        <w:shd w:val="clear" w:color="auto" w:fill="CFAE78"/>
      </w:tcPr>
    </w:tblStylePr>
  </w:style>
  <w:style w:type="table" w:customStyle="1" w:styleId="54">
    <w:name w:val="网格型4"/>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5">
    <w:name w:val="网格型5"/>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6">
    <w:name w:val="网格型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7">
    <w:name w:val="东塔表格1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8">
    <w:name w:val="东塔表格1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9">
    <w:name w:val="东塔表格18"/>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0">
    <w:name w:val="东塔表格19"/>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1">
    <w:name w:val="网格型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2">
    <w:name w:val="Plain Table 5"/>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3">
    <w:name w:val="Grid Table 1 Light"/>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64">
    <w:name w:val="Grid Table 1 Light Accent 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65">
    <w:name w:val="Grid Table 1 Light Accent 5"/>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paragraph" w:customStyle="1" w:styleId="66">
    <w:name w:val="正文1"/>
    <w:qFormat/>
    <w:uiPriority w:val="0"/>
    <w:pPr>
      <w:jc w:val="both"/>
    </w:pPr>
    <w:rPr>
      <w:rFonts w:ascii="Calibri" w:hAnsi="Calibri" w:eastAsia="宋体" w:cs="Calibri"/>
      <w:kern w:val="2"/>
      <w:sz w:val="21"/>
      <w:szCs w:val="21"/>
      <w:lang w:val="en-US" w:eastAsia="zh-CN" w:bidi="ar-SA"/>
    </w:rPr>
  </w:style>
  <w:style w:type="table" w:customStyle="1" w:styleId="67">
    <w:name w:val="无格式表格 51"/>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8">
    <w:name w:val="网格表 1 浅色1"/>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69">
    <w:name w:val="网格表 1 浅色 - 着色 1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70">
    <w:name w:val="网格表 1 浅色 - 着色 51"/>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character" w:customStyle="1" w:styleId="71">
    <w:name w:val="标题 7 Char"/>
    <w:basedOn w:val="18"/>
    <w:link w:val="8"/>
    <w:qFormat/>
    <w:uiPriority w:val="9"/>
    <w:rPr>
      <w:rFonts w:eastAsia="宋体"/>
      <w:b/>
      <w:bCs/>
      <w:sz w:val="24"/>
      <w:szCs w:val="24"/>
    </w:rPr>
  </w:style>
  <w:style w:type="table" w:customStyle="1" w:styleId="72">
    <w:name w:val="华润城万象天地表样"/>
    <w:basedOn w:val="15"/>
    <w:qFormat/>
    <w:uiPriority w:val="0"/>
    <w:rPr>
      <w:rFonts w:ascii="宋体" w:hAnsi="宋体" w:eastAsia="Malgun Gothic" w:cs="Times New Roman"/>
      <w:kern w:val="0"/>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57" w:type="dxa"/>
        <w:bottom w:w="57" w:type="dxa"/>
      </w:tblCellMar>
    </w:tblPr>
    <w:tblStylePr w:type="firstRow">
      <w:tcPr>
        <w:shd w:val="clear" w:color="000000" w:fill="C6D9F0" w:themeFill="text2" w:themeFillTint="33"/>
      </w:tcPr>
    </w:tblStylePr>
    <w:tblStylePr w:type="firstCol">
      <w:tcPr>
        <w:tcBorders>
          <w:top w:val="double" w:color="auto" w:sz="4" w:space="0"/>
          <w:left w:val="double" w:color="auto" w:sz="4" w:space="0"/>
          <w:bottom w:val="double" w:color="auto" w:sz="4" w:space="0"/>
          <w:right w:val="single" w:color="auto" w:sz="6" w:space="0"/>
          <w:insideH w:val="nil"/>
          <w:insideV w:val="nil"/>
          <w:tl2br w:val="nil"/>
          <w:tr2bl w:val="nil"/>
        </w:tcBorders>
        <w:shd w:val="clear" w:color="000000" w:fill="FBD4B4" w:themeFill="accent6" w:themeFillTint="66"/>
      </w:tcPr>
    </w:tblStylePr>
  </w:style>
  <w:style w:type="paragraph" w:customStyle="1" w:styleId="73">
    <w:name w:val="方案正文"/>
    <w:basedOn w:val="9"/>
    <w:next w:val="10"/>
    <w:autoRedefine/>
    <w:qFormat/>
    <w:uiPriority w:val="0"/>
    <w:pPr>
      <w:ind w:firstLine="480" w:firstLineChars="200"/>
      <w:jc w:val="both"/>
    </w:pPr>
    <w:rPr>
      <w:rFonts w:ascii="Times New Roman" w:hAnsi="Times New Roman" w:cs="Times New Roman"/>
      <w:bCs/>
      <w:color w:val="000000"/>
      <w:szCs w:val="24"/>
    </w:rPr>
  </w:style>
  <w:style w:type="paragraph" w:customStyle="1" w:styleId="74">
    <w:name w:val="表格内文字"/>
    <w:next w:val="1"/>
    <w:qFormat/>
    <w:uiPriority w:val="0"/>
    <w:pPr>
      <w:widowControl w:val="0"/>
      <w:spacing w:line="360" w:lineRule="auto"/>
      <w:jc w:val="center"/>
    </w:pPr>
    <w:rPr>
      <w:rFonts w:ascii="Times New Roman" w:hAnsi="Times New Roman" w:eastAsia="宋体" w:cs="Times New Roman"/>
      <w:sz w:val="24"/>
    </w:rPr>
  </w:style>
  <w:style w:type="paragraph" w:customStyle="1" w:styleId="7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a:blip xmlns:r="http://schemas.openxmlformats.org/officeDocument/2006/relationships" r:embed="rId1" cstate="print"/>
          <a:stretch>
            <a:fillRect/>
          </a:stretch>
        </a:blipFill>
      </a:spPr>
      <a:bodyPr wrap="square" lIns="0" tIns="0" rIns="0" bIns="0" rtlCol="0"/>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8344-2977-4723-B8D6-9260D59B70E4}">
  <ds:schemaRefs/>
</ds:datastoreItem>
</file>

<file path=docProps/app.xml><?xml version="1.0" encoding="utf-8"?>
<Properties xmlns="http://schemas.openxmlformats.org/officeDocument/2006/extended-properties" xmlns:vt="http://schemas.openxmlformats.org/officeDocument/2006/docPropsVTypes">
  <Template>Normal</Template>
  <Pages>11</Pages>
  <Words>1602</Words>
  <Characters>1835</Characters>
  <Lines>2217</Lines>
  <Paragraphs>624</Paragraphs>
  <TotalTime>24</TotalTime>
  <ScaleCrop>false</ScaleCrop>
  <LinksUpToDate>false</LinksUpToDate>
  <CharactersWithSpaces>1835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2024-09-12T07:18:00Z</dcterms:created>
  <dc:creator>坤</dc:creator>
  <cp:lastModifiedBy>鲤鱼之梦</cp:lastModifiedBy>
  <cp:lastPrinted>2024-09-13T09:58:00Z</cp:lastPrinted>
  <dcterms:modified xsi:type="dcterms:W3CDTF">2026-07-02T01:49:38Z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CCAF1A56E9AD44819D116FE0F0C059DE_13</vt:lpwstr>
  </property>
  <property fmtid="{D5CDD505-2E9C-101B-9397-08002B2CF9AE}" pid="4" name="KSOTemplateDocerSaveRecord">
    <vt:lpwstr>eyJoZGlkIjoiOTE4OTBhMTM1ZGIxMWEzOTBkY2FmZjNiMWNkNjllYmIiLCJ1c2VySWQiOiIzMjU3MjEwMzIifQ==</vt:lpwstr>
  </property>
</Properties>
</file>