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178CD">
      <w:pPr>
        <w:pStyle w:val="2"/>
        <w:numPr>
          <w:ilvl w:val="1"/>
          <w:numId w:val="0"/>
        </w:numPr>
        <w:bidi w:val="0"/>
        <w:ind w:leftChars="0"/>
        <w:jc w:val="center"/>
        <w:rPr>
          <w:rFonts w:hint="default"/>
          <w:color w:val="auto"/>
          <w:highlight w:val="none"/>
          <w:lang w:val="en-US" w:eastAsia="zh-CN"/>
        </w:rPr>
      </w:pPr>
      <w:r>
        <w:rPr>
          <w:rFonts w:hint="eastAsia"/>
          <w:color w:val="auto"/>
          <w:highlight w:val="none"/>
          <w:lang w:val="en-US" w:eastAsia="zh-CN"/>
        </w:rPr>
        <w:t>附件6.1：技术任务书（门窗工程）</w:t>
      </w:r>
    </w:p>
    <w:p w14:paraId="02BD17A2">
      <w:pPr>
        <w:pStyle w:val="2"/>
        <w:bidi w:val="0"/>
        <w:rPr>
          <w:rFonts w:hint="eastAsia"/>
          <w:lang w:val="en-US" w:eastAsia="zh-CN"/>
        </w:rPr>
      </w:pPr>
      <w:r>
        <w:rPr>
          <w:rFonts w:hint="eastAsia"/>
          <w:lang w:val="en-US" w:eastAsia="zh-CN"/>
        </w:rPr>
        <w:t>工程概况</w:t>
      </w:r>
    </w:p>
    <w:p w14:paraId="7C927F9C">
      <w:pPr>
        <w:bidi w:val="0"/>
        <w:rPr>
          <w:rFonts w:hint="eastAsia"/>
          <w:lang w:val="en-US" w:eastAsia="zh-CN"/>
        </w:rPr>
      </w:pPr>
      <w:r>
        <w:rPr>
          <w:rFonts w:hint="eastAsia"/>
          <w:lang w:val="en-US" w:eastAsia="zh-CN"/>
        </w:rPr>
        <w:t>本工程为珠海市香洲区中小学、幼儿园办学场所及停车场改造提升工程项目施工总承包-门窗、金属栏杆专业分包工程，涉及香洲区多所中小学及幼儿园的门窗及金属栏杆改造施工。</w:t>
      </w:r>
    </w:p>
    <w:p w14:paraId="4F6A7004">
      <w:pPr>
        <w:bidi w:val="0"/>
        <w:rPr>
          <w:rFonts w:hint="eastAsia"/>
          <w:lang w:val="en-US" w:eastAsia="zh-CN"/>
        </w:rPr>
      </w:pPr>
      <w:r>
        <w:rPr>
          <w:rFonts w:hint="eastAsia"/>
          <w:lang w:val="en-US" w:eastAsia="zh-CN"/>
        </w:rPr>
        <w:t>主要建设内容包括：钢质防火门、不锈钢门、铝合金门窗、木门、百叶窗、传菜窗口等门窗工程，以及不锈钢平台栏杆、不锈钢玻璃栏杆、楼梯栏杆、靠墙式楼梯栏杆、栏杆加高等金属栏杆工程。</w:t>
      </w:r>
    </w:p>
    <w:p w14:paraId="360B8361">
      <w:pPr>
        <w:pStyle w:val="4"/>
        <w:bidi w:val="0"/>
        <w:rPr>
          <w:rFonts w:hint="default"/>
          <w:lang w:val="en-US" w:eastAsia="zh-CN"/>
        </w:rPr>
      </w:pPr>
      <w:r>
        <w:rPr>
          <w:rFonts w:hint="eastAsia"/>
          <w:lang w:val="en-US" w:eastAsia="zh-CN"/>
        </w:rPr>
        <w:t>施工时间及现场管理特点</w:t>
      </w:r>
    </w:p>
    <w:p w14:paraId="08AD45CE">
      <w:pPr>
        <w:keepNext w:val="0"/>
        <w:keepLines w:val="0"/>
        <w:widowControl/>
        <w:suppressLineNumbers w:val="0"/>
        <w:jc w:val="left"/>
      </w:pPr>
      <w:r>
        <w:rPr>
          <w:rFonts w:ascii="宋体" w:hAnsi="宋体" w:eastAsia="宋体" w:cs="宋体"/>
          <w:kern w:val="0"/>
          <w:sz w:val="24"/>
          <w:szCs w:val="24"/>
          <w:lang w:val="en-US" w:eastAsia="zh-CN" w:bidi="ar"/>
        </w:rPr>
        <w:t>投标人须提前熟悉校园场地现状、施工边界、管控规定、教学时段及车辆机械通行条件，明确校园出入口、通行权限、道路限高限宽及承载标准。所有施工机械、材料运输车辆须严格按照校方审批的路线、时段进出校园，严禁擅自改道、占用非施工道路、碾压绿化带及消防通道。</w:t>
      </w:r>
    </w:p>
    <w:p w14:paraId="3EEA786E">
      <w:pPr>
        <w:keepNext w:val="0"/>
        <w:keepLines w:val="0"/>
        <w:widowControl/>
        <w:suppressLineNumbers w:val="0"/>
        <w:jc w:val="left"/>
      </w:pPr>
      <w:r>
        <w:rPr>
          <w:rFonts w:ascii="宋体" w:hAnsi="宋体" w:eastAsia="宋体" w:cs="宋体"/>
          <w:kern w:val="0"/>
          <w:sz w:val="24"/>
          <w:szCs w:val="24"/>
          <w:lang w:val="en-US" w:eastAsia="zh-CN" w:bidi="ar"/>
        </w:rPr>
        <w:t>施工机械、车辆进出校园须避让学生上下学高峰时段；确需该时段通行的，须提前1个工作日向校方提交书面申请，获批后安排专人全程交通引导。</w:t>
      </w:r>
    </w:p>
    <w:p w14:paraId="614AA09D">
      <w:pPr>
        <w:keepNext w:val="0"/>
        <w:keepLines w:val="0"/>
        <w:widowControl/>
        <w:suppressLineNumbers w:val="0"/>
        <w:jc w:val="left"/>
      </w:pPr>
      <w:r>
        <w:rPr>
          <w:rFonts w:ascii="宋体" w:hAnsi="宋体" w:eastAsia="宋体" w:cs="宋体"/>
          <w:kern w:val="0"/>
          <w:sz w:val="24"/>
          <w:szCs w:val="24"/>
          <w:lang w:val="en-US" w:eastAsia="zh-CN" w:bidi="ar"/>
        </w:rPr>
        <w:t>校内车辆行驶限速5km/h，严禁鸣笛、超速、抢行。运输车辆出场前须彻底冲洗车轮、车厢，杜绝带泥上路、物料撒漏，严格遵守珠海市城市道路运输管理规定。</w:t>
      </w:r>
    </w:p>
    <w:p w14:paraId="01DE3912">
      <w:pPr>
        <w:keepNext w:val="0"/>
        <w:keepLines w:val="0"/>
        <w:widowControl/>
        <w:suppressLineNumbers w:val="0"/>
        <w:jc w:val="left"/>
      </w:pPr>
      <w:r>
        <w:rPr>
          <w:rFonts w:ascii="宋体" w:hAnsi="宋体" w:eastAsia="宋体" w:cs="宋体"/>
          <w:kern w:val="0"/>
          <w:sz w:val="24"/>
          <w:szCs w:val="24"/>
          <w:lang w:val="en-US" w:eastAsia="zh-CN" w:bidi="ar"/>
        </w:rPr>
        <w:t>进场施工机械须统一停放于划定封闭施工区域，禁止随意停放、擅自转场；机械转场需全程封闭、专人引导，避开学生活动区域。所有施工机械须验收合格，具备有效年检、特种设备操作证件，报监理备案后方可使用，严禁使用报废、无证、带病设备。</w:t>
      </w:r>
    </w:p>
    <w:p w14:paraId="64278304">
      <w:pPr>
        <w:keepNext w:val="0"/>
        <w:keepLines w:val="0"/>
        <w:widowControl/>
        <w:suppressLineNumbers w:val="0"/>
        <w:jc w:val="left"/>
      </w:pPr>
      <w:r>
        <w:rPr>
          <w:rFonts w:ascii="宋体" w:hAnsi="宋体" w:eastAsia="宋体" w:cs="宋体"/>
          <w:kern w:val="0"/>
          <w:sz w:val="24"/>
          <w:szCs w:val="24"/>
          <w:lang w:val="en-US" w:eastAsia="zh-CN" w:bidi="ar"/>
        </w:rPr>
        <w:t>正常教学上课期间，须采用低噪音作业模式，禁用高噪音设备，配套落实降噪措施，确保施工噪音达标，不干扰校园教学秩序。</w:t>
      </w:r>
    </w:p>
    <w:p w14:paraId="390B5920">
      <w:pPr>
        <w:keepNext w:val="0"/>
        <w:keepLines w:val="0"/>
        <w:widowControl/>
        <w:suppressLineNumbers w:val="0"/>
        <w:jc w:val="left"/>
      </w:pPr>
      <w:r>
        <w:rPr>
          <w:rFonts w:ascii="宋体" w:hAnsi="宋体" w:eastAsia="宋体" w:cs="宋体"/>
          <w:kern w:val="0"/>
          <w:sz w:val="24"/>
          <w:szCs w:val="24"/>
          <w:lang w:val="en-US" w:eastAsia="zh-CN" w:bidi="ar"/>
        </w:rPr>
        <w:t>施工废水、废料、建筑垃圾须严格按照校方指定路线、方式排放及清运。</w:t>
      </w:r>
    </w:p>
    <w:p w14:paraId="46F75312">
      <w:pPr>
        <w:keepNext w:val="0"/>
        <w:keepLines w:val="0"/>
        <w:widowControl/>
        <w:suppressLineNumbers w:val="0"/>
        <w:jc w:val="left"/>
      </w:pPr>
      <w:r>
        <w:rPr>
          <w:rFonts w:ascii="宋体" w:hAnsi="宋体" w:eastAsia="宋体" w:cs="宋体"/>
          <w:kern w:val="0"/>
          <w:sz w:val="24"/>
          <w:szCs w:val="24"/>
          <w:lang w:val="en-US" w:eastAsia="zh-CN" w:bidi="ar"/>
        </w:rPr>
        <w:t>施工全过程服从校方日常管理及教学秩序管控，严格遵守校园临时活动、考试期间的停工要求。</w:t>
      </w:r>
    </w:p>
    <w:p w14:paraId="54824A0A">
      <w:pPr>
        <w:keepNext w:val="0"/>
        <w:keepLines w:val="0"/>
        <w:widowControl/>
        <w:suppressLineNumbers w:val="0"/>
        <w:jc w:val="left"/>
      </w:pPr>
      <w:r>
        <w:rPr>
          <w:rFonts w:ascii="宋体" w:hAnsi="宋体" w:eastAsia="宋体" w:cs="宋体"/>
          <w:kern w:val="0"/>
          <w:sz w:val="24"/>
          <w:szCs w:val="24"/>
          <w:lang w:val="en-US" w:eastAsia="zh-CN" w:bidi="ar"/>
        </w:rPr>
        <w:t>针对需保护性拆除的施工项，须规范作业并配合将拆除物料转运、堆放至校方指定校内位置。</w:t>
      </w:r>
    </w:p>
    <w:p w14:paraId="75C12CB6">
      <w:pPr>
        <w:pStyle w:val="2"/>
        <w:bidi w:val="0"/>
        <w:rPr>
          <w:rFonts w:hint="eastAsia"/>
          <w:lang w:val="en-US" w:eastAsia="zh-CN"/>
        </w:rPr>
      </w:pPr>
      <w:r>
        <w:rPr>
          <w:rFonts w:hint="eastAsia"/>
          <w:lang w:val="en-US" w:eastAsia="zh-CN"/>
        </w:rPr>
        <w:t>编制依据</w:t>
      </w:r>
    </w:p>
    <w:p w14:paraId="3C95953B">
      <w:pPr>
        <w:bidi w:val="0"/>
        <w:rPr>
          <w:rFonts w:hint="eastAsia"/>
          <w:lang w:val="en-US" w:eastAsia="zh-CN"/>
        </w:rPr>
      </w:pPr>
      <w:r>
        <w:rPr>
          <w:rFonts w:hint="eastAsia"/>
          <w:lang w:val="en-US" w:eastAsia="zh-CN"/>
        </w:rPr>
        <w:t>《建设工程工程量清单计价规范》GB50500-2013及附录</w:t>
      </w:r>
    </w:p>
    <w:p w14:paraId="4CA60DB0">
      <w:pPr>
        <w:bidi w:val="0"/>
        <w:rPr>
          <w:rFonts w:hint="eastAsia"/>
          <w:lang w:val="en-US" w:eastAsia="zh-CN"/>
        </w:rPr>
      </w:pPr>
      <w:r>
        <w:rPr>
          <w:rFonts w:hint="eastAsia"/>
          <w:lang w:val="en-US" w:eastAsia="zh-CN"/>
        </w:rPr>
        <w:t>《建筑装饰装修工程质量验收标准》GB 50210-2018</w:t>
      </w:r>
    </w:p>
    <w:p w14:paraId="04CFE470">
      <w:pPr>
        <w:bidi w:val="0"/>
        <w:rPr>
          <w:rFonts w:hint="eastAsia"/>
          <w:lang w:val="en-US" w:eastAsia="zh-CN"/>
        </w:rPr>
      </w:pPr>
      <w:r>
        <w:rPr>
          <w:rFonts w:hint="eastAsia"/>
          <w:lang w:val="en-US" w:eastAsia="zh-CN"/>
        </w:rPr>
        <w:t>《防火门》GB 12955-2008</w:t>
      </w:r>
    </w:p>
    <w:p w14:paraId="20F407B0">
      <w:pPr>
        <w:bidi w:val="0"/>
        <w:rPr>
          <w:rFonts w:hint="eastAsia"/>
          <w:lang w:val="en-US" w:eastAsia="zh-CN"/>
        </w:rPr>
      </w:pPr>
      <w:r>
        <w:rPr>
          <w:rFonts w:hint="eastAsia"/>
          <w:lang w:val="en-US" w:eastAsia="zh-CN"/>
        </w:rPr>
        <w:t>《铝合金门窗》GB/T 8478-2020</w:t>
      </w:r>
    </w:p>
    <w:p w14:paraId="67569796">
      <w:pPr>
        <w:bidi w:val="0"/>
        <w:rPr>
          <w:rFonts w:hint="eastAsia"/>
          <w:lang w:val="en-US" w:eastAsia="zh-CN"/>
        </w:rPr>
      </w:pPr>
      <w:r>
        <w:rPr>
          <w:rFonts w:hint="eastAsia"/>
          <w:lang w:val="en-US" w:eastAsia="zh-CN"/>
        </w:rPr>
        <w:t>《建筑玻璃应用技术规程》JGJ 113-2015</w:t>
      </w:r>
    </w:p>
    <w:p w14:paraId="419D77CE">
      <w:pPr>
        <w:bidi w:val="0"/>
        <w:rPr>
          <w:rFonts w:hint="eastAsia"/>
          <w:lang w:val="en-US" w:eastAsia="zh-CN"/>
        </w:rPr>
      </w:pPr>
      <w:r>
        <w:rPr>
          <w:rFonts w:hint="eastAsia"/>
          <w:lang w:val="en-US" w:eastAsia="zh-CN"/>
        </w:rPr>
        <w:t>《建筑用安全玻璃 第1部分：防火玻璃》GB 15763.1-2009</w:t>
      </w:r>
    </w:p>
    <w:p w14:paraId="32E7582F">
      <w:pPr>
        <w:bidi w:val="0"/>
        <w:rPr>
          <w:rFonts w:hint="eastAsia"/>
          <w:lang w:val="en-US" w:eastAsia="zh-CN"/>
        </w:rPr>
      </w:pPr>
      <w:r>
        <w:rPr>
          <w:rFonts w:hint="eastAsia"/>
          <w:lang w:val="en-US" w:eastAsia="zh-CN"/>
        </w:rPr>
        <w:t>《建筑用安全玻璃 第2部分：钢化玻璃》GB 15763.2-2005</w:t>
      </w:r>
    </w:p>
    <w:p w14:paraId="7CFF813D">
      <w:pPr>
        <w:bidi w:val="0"/>
        <w:rPr>
          <w:rFonts w:hint="eastAsia"/>
          <w:lang w:val="en-US" w:eastAsia="zh-CN"/>
        </w:rPr>
      </w:pPr>
      <w:r>
        <w:rPr>
          <w:rFonts w:hint="eastAsia"/>
          <w:lang w:val="en-US" w:eastAsia="zh-CN"/>
        </w:rPr>
        <w:t>《建筑用安全玻璃 第3部分：夹层玻璃》GB 15763.3-2009</w:t>
      </w:r>
    </w:p>
    <w:p w14:paraId="6D85A5F4">
      <w:pPr>
        <w:bidi w:val="0"/>
        <w:rPr>
          <w:rFonts w:hint="eastAsia"/>
          <w:lang w:val="en-US" w:eastAsia="zh-CN"/>
        </w:rPr>
      </w:pPr>
      <w:r>
        <w:rPr>
          <w:rFonts w:hint="eastAsia"/>
          <w:lang w:val="en-US" w:eastAsia="zh-CN"/>
        </w:rPr>
        <w:t>《不锈钢建筑型材》GB/T 38474-2019</w:t>
      </w:r>
    </w:p>
    <w:p w14:paraId="28A95D9A">
      <w:pPr>
        <w:bidi w:val="0"/>
        <w:rPr>
          <w:rFonts w:hint="eastAsia"/>
          <w:lang w:val="en-US" w:eastAsia="zh-CN"/>
        </w:rPr>
      </w:pPr>
      <w:r>
        <w:rPr>
          <w:rFonts w:hint="eastAsia"/>
          <w:lang w:val="en-US" w:eastAsia="zh-CN"/>
        </w:rPr>
        <w:t>《建筑防护栏杆技术标准》JGJ/T 470-2019</w:t>
      </w:r>
    </w:p>
    <w:p w14:paraId="12DAC256">
      <w:pPr>
        <w:bidi w:val="0"/>
        <w:rPr>
          <w:rFonts w:hint="eastAsia"/>
          <w:lang w:val="en-US" w:eastAsia="zh-CN"/>
        </w:rPr>
      </w:pPr>
      <w:r>
        <w:rPr>
          <w:rFonts w:hint="eastAsia"/>
          <w:lang w:val="en-US" w:eastAsia="zh-CN"/>
        </w:rPr>
        <w:t>《民用建筑设计统一标准》GB 50352-2019</w:t>
      </w:r>
    </w:p>
    <w:p w14:paraId="7E562311">
      <w:pPr>
        <w:bidi w:val="0"/>
        <w:rPr>
          <w:rFonts w:hint="eastAsia"/>
          <w:lang w:val="en-US" w:eastAsia="zh-CN"/>
        </w:rPr>
      </w:pPr>
      <w:r>
        <w:rPr>
          <w:rFonts w:hint="eastAsia"/>
          <w:lang w:val="en-US" w:eastAsia="zh-CN"/>
        </w:rPr>
        <w:t>《中小学校设计规范》GB 50099-2011</w:t>
      </w:r>
    </w:p>
    <w:p w14:paraId="7B78F39A">
      <w:pPr>
        <w:bidi w:val="0"/>
        <w:rPr>
          <w:rFonts w:hint="eastAsia"/>
          <w:lang w:val="en-US" w:eastAsia="zh-CN"/>
        </w:rPr>
      </w:pPr>
      <w:r>
        <w:rPr>
          <w:rFonts w:hint="eastAsia"/>
          <w:lang w:val="en-US" w:eastAsia="zh-CN"/>
        </w:rPr>
        <w:t>《托儿所、幼儿园建筑设计规范》JGJ 39-2016（2019年版）</w:t>
      </w:r>
    </w:p>
    <w:p w14:paraId="27B0A97E">
      <w:pPr>
        <w:bidi w:val="0"/>
        <w:rPr>
          <w:rFonts w:hint="eastAsia"/>
          <w:lang w:val="en-US" w:eastAsia="zh-CN"/>
        </w:rPr>
      </w:pPr>
      <w:r>
        <w:rPr>
          <w:rFonts w:hint="eastAsia"/>
          <w:lang w:val="en-US" w:eastAsia="zh-CN"/>
        </w:rPr>
        <w:t>设计施工图纸及相关技术文件</w:t>
      </w:r>
    </w:p>
    <w:p w14:paraId="27BCF15B">
      <w:pPr>
        <w:bidi w:val="0"/>
        <w:rPr>
          <w:rFonts w:hint="eastAsia"/>
          <w:lang w:val="en-US" w:eastAsia="zh-CN"/>
        </w:rPr>
      </w:pPr>
      <w:r>
        <w:rPr>
          <w:rFonts w:hint="eastAsia"/>
          <w:lang w:val="en-US" w:eastAsia="zh-CN"/>
        </w:rPr>
        <w:t>国家、广东省及珠海市现行相关规范、标准和规定</w:t>
      </w:r>
    </w:p>
    <w:p w14:paraId="44E6886B">
      <w:pPr>
        <w:pStyle w:val="2"/>
        <w:bidi w:val="0"/>
        <w:rPr>
          <w:rFonts w:hint="eastAsia"/>
          <w:lang w:val="en-US" w:eastAsia="zh-CN"/>
        </w:rPr>
      </w:pPr>
      <w:r>
        <w:rPr>
          <w:rFonts w:hint="eastAsia"/>
          <w:lang w:val="en-US" w:eastAsia="zh-CN"/>
        </w:rPr>
        <w:t>门窗工程技术要求</w:t>
      </w:r>
    </w:p>
    <w:p w14:paraId="3893ACE9">
      <w:pPr>
        <w:pStyle w:val="4"/>
        <w:bidi w:val="0"/>
        <w:rPr>
          <w:rFonts w:hint="eastAsia"/>
          <w:lang w:val="en-US" w:eastAsia="zh-CN"/>
        </w:rPr>
      </w:pPr>
      <w:r>
        <w:rPr>
          <w:rFonts w:hint="eastAsia"/>
          <w:lang w:val="en-US" w:eastAsia="zh-CN"/>
        </w:rPr>
        <w:t>钢质防火门</w:t>
      </w:r>
    </w:p>
    <w:p w14:paraId="28B80DBE">
      <w:pPr>
        <w:pStyle w:val="5"/>
        <w:bidi w:val="0"/>
        <w:rPr>
          <w:rFonts w:hint="eastAsia"/>
          <w:lang w:val="en-US" w:eastAsia="zh-CN"/>
        </w:rPr>
      </w:pPr>
      <w:r>
        <w:rPr>
          <w:rFonts w:hint="eastAsia"/>
          <w:lang w:val="en-US" w:eastAsia="zh-CN"/>
        </w:rPr>
        <w:t xml:space="preserve"> 材质要求</w:t>
      </w:r>
    </w:p>
    <w:p w14:paraId="6425B675">
      <w:pPr>
        <w:bidi w:val="0"/>
        <w:rPr>
          <w:rFonts w:hint="eastAsia"/>
          <w:lang w:val="en-US" w:eastAsia="zh-CN"/>
        </w:rPr>
      </w:pPr>
      <w:r>
        <w:rPr>
          <w:rFonts w:hint="eastAsia"/>
          <w:lang w:val="en-US" w:eastAsia="zh-CN"/>
        </w:rPr>
        <w:t>门框、门扇面板：采用优质冷轧钢板，门框钢板厚度≥1.5mm，门扇面板厚度≥0.8mm，门扇内部填充符合防火要求的隔热材料。</w:t>
      </w:r>
    </w:p>
    <w:p w14:paraId="1DFFD312">
      <w:pPr>
        <w:bidi w:val="0"/>
        <w:rPr>
          <w:rFonts w:hint="eastAsia"/>
          <w:lang w:val="en-US" w:eastAsia="zh-CN"/>
        </w:rPr>
      </w:pPr>
      <w:r>
        <w:rPr>
          <w:rFonts w:hint="eastAsia"/>
          <w:lang w:val="en-US" w:eastAsia="zh-CN"/>
        </w:rPr>
        <w:t>防火等级：甲级防火门耐火极限≥1.5h，乙级防火门耐火极限≥1.0h，丙级防火门耐火极限≥0.5h。</w:t>
      </w:r>
    </w:p>
    <w:p w14:paraId="18B22CD5">
      <w:pPr>
        <w:bidi w:val="0"/>
        <w:rPr>
          <w:rFonts w:hint="eastAsia"/>
          <w:lang w:val="en-US" w:eastAsia="zh-CN"/>
        </w:rPr>
      </w:pPr>
      <w:r>
        <w:rPr>
          <w:rFonts w:hint="eastAsia"/>
          <w:lang w:val="en-US" w:eastAsia="zh-CN"/>
        </w:rPr>
        <w:t>五金配件：配套防火锁、防火合页、防火闭门器、顺序器（双扇门）、防火膨胀密封条等全套专用防火五金，所有五金件必须具有防火检测报告。</w:t>
      </w:r>
    </w:p>
    <w:p w14:paraId="37C93634">
      <w:pPr>
        <w:pStyle w:val="5"/>
        <w:bidi w:val="0"/>
        <w:rPr>
          <w:rFonts w:hint="eastAsia"/>
          <w:lang w:val="en-US" w:eastAsia="zh-CN"/>
        </w:rPr>
      </w:pPr>
      <w:r>
        <w:rPr>
          <w:rFonts w:hint="eastAsia"/>
          <w:lang w:val="en-US" w:eastAsia="zh-CN"/>
        </w:rPr>
        <w:t>制作要求</w:t>
      </w:r>
    </w:p>
    <w:p w14:paraId="07A3357C">
      <w:pPr>
        <w:bidi w:val="0"/>
        <w:rPr>
          <w:rFonts w:hint="eastAsia"/>
          <w:lang w:val="en-US" w:eastAsia="zh-CN"/>
        </w:rPr>
      </w:pPr>
      <w:r>
        <w:rPr>
          <w:rFonts w:hint="eastAsia"/>
          <w:lang w:val="en-US" w:eastAsia="zh-CN"/>
        </w:rPr>
        <w:t>门扇、门框应采用机械化设备加工，确保尺寸准确、边角整齐、表面平整。</w:t>
      </w:r>
    </w:p>
    <w:p w14:paraId="744E6906">
      <w:pPr>
        <w:bidi w:val="0"/>
        <w:rPr>
          <w:rFonts w:hint="eastAsia"/>
          <w:lang w:val="en-US" w:eastAsia="zh-CN"/>
        </w:rPr>
      </w:pPr>
      <w:r>
        <w:rPr>
          <w:rFonts w:hint="eastAsia"/>
          <w:lang w:val="en-US" w:eastAsia="zh-CN"/>
        </w:rPr>
        <w:t>焊缝应平整光滑，无焊渣、气孔、裂纹等缺陷。</w:t>
      </w:r>
    </w:p>
    <w:p w14:paraId="0D79AE09">
      <w:pPr>
        <w:bidi w:val="0"/>
        <w:rPr>
          <w:rFonts w:hint="eastAsia"/>
          <w:lang w:val="en-US" w:eastAsia="zh-CN"/>
        </w:rPr>
      </w:pPr>
      <w:r>
        <w:rPr>
          <w:rFonts w:hint="eastAsia"/>
          <w:lang w:val="en-US" w:eastAsia="zh-CN"/>
        </w:rPr>
        <w:t>门扇表面应进行防锈处理，涂层均匀，无流挂、脱落现象。</w:t>
      </w:r>
    </w:p>
    <w:p w14:paraId="5E3DB19C">
      <w:pPr>
        <w:bidi w:val="0"/>
        <w:rPr>
          <w:rFonts w:hint="eastAsia"/>
          <w:lang w:val="en-US" w:eastAsia="zh-CN"/>
        </w:rPr>
      </w:pPr>
      <w:r>
        <w:rPr>
          <w:rFonts w:hint="eastAsia"/>
          <w:lang w:val="en-US" w:eastAsia="zh-CN"/>
        </w:rPr>
        <w:t>防火密封条应镶嵌牢固，接头处应做45°斜接处理。</w:t>
      </w:r>
    </w:p>
    <w:p w14:paraId="501D1B4A">
      <w:pPr>
        <w:pStyle w:val="5"/>
        <w:bidi w:val="0"/>
        <w:rPr>
          <w:rFonts w:hint="eastAsia"/>
          <w:lang w:val="en-US" w:eastAsia="zh-CN"/>
        </w:rPr>
      </w:pPr>
      <w:r>
        <w:rPr>
          <w:rFonts w:hint="eastAsia"/>
          <w:lang w:val="en-US" w:eastAsia="zh-CN"/>
        </w:rPr>
        <w:t xml:space="preserve"> 安装要求</w:t>
      </w:r>
    </w:p>
    <w:p w14:paraId="6DF4F1B9">
      <w:pPr>
        <w:bidi w:val="0"/>
        <w:rPr>
          <w:rFonts w:hint="eastAsia"/>
          <w:lang w:val="en-US" w:eastAsia="zh-CN"/>
        </w:rPr>
      </w:pPr>
      <w:r>
        <w:rPr>
          <w:rFonts w:hint="eastAsia"/>
          <w:lang w:val="en-US" w:eastAsia="zh-CN"/>
        </w:rPr>
        <w:t>门框安装应牢固，采用膨胀螺栓或预埋件固定，固定点间距不大于600mm。</w:t>
      </w:r>
    </w:p>
    <w:p w14:paraId="11DA418F">
      <w:pPr>
        <w:bidi w:val="0"/>
        <w:rPr>
          <w:rFonts w:hint="eastAsia"/>
          <w:lang w:val="en-US" w:eastAsia="zh-CN"/>
        </w:rPr>
      </w:pPr>
      <w:r>
        <w:rPr>
          <w:rFonts w:hint="eastAsia"/>
          <w:lang w:val="en-US" w:eastAsia="zh-CN"/>
        </w:rPr>
        <w:t>门框与墙体缝隙应采用防火密封材料填实，表面用水泥砂浆抹平。</w:t>
      </w:r>
    </w:p>
    <w:p w14:paraId="7CAD7C34">
      <w:pPr>
        <w:bidi w:val="0"/>
        <w:rPr>
          <w:rFonts w:hint="eastAsia"/>
          <w:lang w:val="en-US" w:eastAsia="zh-CN"/>
        </w:rPr>
      </w:pPr>
      <w:r>
        <w:rPr>
          <w:rFonts w:hint="eastAsia"/>
          <w:lang w:val="en-US" w:eastAsia="zh-CN"/>
        </w:rPr>
        <w:t>门扇安装后应启闭灵活，无卡阻、反弹现象，关闭后密封严密。</w:t>
      </w:r>
    </w:p>
    <w:p w14:paraId="40E406B2">
      <w:pPr>
        <w:bidi w:val="0"/>
        <w:rPr>
          <w:rFonts w:hint="eastAsia"/>
          <w:lang w:val="en-US" w:eastAsia="zh-CN"/>
        </w:rPr>
      </w:pPr>
      <w:r>
        <w:rPr>
          <w:rFonts w:hint="eastAsia"/>
          <w:lang w:val="en-US" w:eastAsia="zh-CN"/>
        </w:rPr>
        <w:t>双扇门的顺序器应调节到位，确保按正确顺序关闭。</w:t>
      </w:r>
    </w:p>
    <w:p w14:paraId="7E6094F6">
      <w:pPr>
        <w:bidi w:val="0"/>
        <w:rPr>
          <w:rFonts w:hint="eastAsia"/>
          <w:lang w:val="en-US" w:eastAsia="zh-CN"/>
        </w:rPr>
      </w:pPr>
      <w:r>
        <w:rPr>
          <w:rFonts w:hint="eastAsia"/>
          <w:lang w:val="en-US" w:eastAsia="zh-CN"/>
        </w:rPr>
        <w:t>闭门器的关闭速度应调节适中，确保门扇平稳关闭。</w:t>
      </w:r>
    </w:p>
    <w:p w14:paraId="2B49261F">
      <w:pPr>
        <w:pStyle w:val="5"/>
        <w:bidi w:val="0"/>
        <w:rPr>
          <w:rFonts w:hint="eastAsia"/>
          <w:lang w:val="en-US" w:eastAsia="zh-CN"/>
        </w:rPr>
      </w:pPr>
      <w:r>
        <w:rPr>
          <w:rFonts w:hint="eastAsia"/>
          <w:lang w:val="en-US" w:eastAsia="zh-CN"/>
        </w:rPr>
        <w:t>验收标准</w:t>
      </w:r>
    </w:p>
    <w:p w14:paraId="35D33C2A">
      <w:pPr>
        <w:bidi w:val="0"/>
        <w:rPr>
          <w:rFonts w:hint="eastAsia"/>
          <w:lang w:val="en-US" w:eastAsia="zh-CN"/>
        </w:rPr>
      </w:pPr>
      <w:r>
        <w:rPr>
          <w:rFonts w:hint="eastAsia"/>
          <w:lang w:val="en-US" w:eastAsia="zh-CN"/>
        </w:rPr>
        <w:t>产品必须具有国家消防产品质量监督检验中心出具的型式检验报告。</w:t>
      </w:r>
    </w:p>
    <w:p w14:paraId="539511B3">
      <w:pPr>
        <w:bidi w:val="0"/>
        <w:rPr>
          <w:rFonts w:hint="eastAsia"/>
          <w:lang w:val="en-US" w:eastAsia="zh-CN"/>
        </w:rPr>
      </w:pPr>
      <w:r>
        <w:rPr>
          <w:rFonts w:hint="eastAsia"/>
          <w:lang w:val="en-US" w:eastAsia="zh-CN"/>
        </w:rPr>
        <w:t>门框、门扇对角线允许偏差≤2mm。</w:t>
      </w:r>
    </w:p>
    <w:p w14:paraId="01D003F4">
      <w:pPr>
        <w:bidi w:val="0"/>
        <w:rPr>
          <w:rFonts w:hint="eastAsia"/>
          <w:lang w:val="en-US" w:eastAsia="zh-CN"/>
        </w:rPr>
      </w:pPr>
      <w:r>
        <w:rPr>
          <w:rFonts w:hint="eastAsia"/>
          <w:lang w:val="en-US" w:eastAsia="zh-CN"/>
        </w:rPr>
        <w:t>门框与门扇配合间隙：≤3mm。</w:t>
      </w:r>
    </w:p>
    <w:p w14:paraId="03C7453D">
      <w:pPr>
        <w:bidi w:val="0"/>
        <w:rPr>
          <w:rFonts w:hint="eastAsia"/>
          <w:lang w:val="en-US" w:eastAsia="zh-CN"/>
        </w:rPr>
      </w:pPr>
      <w:r>
        <w:rPr>
          <w:rFonts w:hint="eastAsia"/>
          <w:lang w:val="en-US" w:eastAsia="zh-CN"/>
        </w:rPr>
        <w:t>门扇开启角度≥90°，启闭灵活无卡阻。</w:t>
      </w:r>
    </w:p>
    <w:p w14:paraId="13CC2E6C">
      <w:pPr>
        <w:pStyle w:val="4"/>
        <w:bidi w:val="0"/>
        <w:rPr>
          <w:rFonts w:hint="eastAsia"/>
          <w:lang w:val="en-US" w:eastAsia="zh-CN"/>
        </w:rPr>
      </w:pPr>
      <w:r>
        <w:rPr>
          <w:rFonts w:hint="eastAsia"/>
          <w:lang w:val="en-US" w:eastAsia="zh-CN"/>
        </w:rPr>
        <w:t>不锈钢门</w:t>
      </w:r>
    </w:p>
    <w:p w14:paraId="082C4D31">
      <w:pPr>
        <w:pStyle w:val="5"/>
        <w:bidi w:val="0"/>
        <w:rPr>
          <w:rFonts w:hint="eastAsia"/>
          <w:lang w:val="en-US" w:eastAsia="zh-CN"/>
        </w:rPr>
      </w:pPr>
      <w:r>
        <w:rPr>
          <w:rFonts w:hint="eastAsia"/>
          <w:lang w:val="en-US" w:eastAsia="zh-CN"/>
        </w:rPr>
        <w:t>材质要求</w:t>
      </w:r>
    </w:p>
    <w:p w14:paraId="4F576576">
      <w:pPr>
        <w:bidi w:val="0"/>
        <w:rPr>
          <w:rFonts w:hint="eastAsia"/>
          <w:lang w:val="en-US" w:eastAsia="zh-CN"/>
        </w:rPr>
      </w:pPr>
      <w:r>
        <w:rPr>
          <w:rFonts w:hint="eastAsia"/>
          <w:lang w:val="en-US" w:eastAsia="zh-CN"/>
        </w:rPr>
        <w:t>门扇面板：采用304不锈钢板，板厚按设计要求，一般≥1.2mm。</w:t>
      </w:r>
    </w:p>
    <w:p w14:paraId="1EF85FC7">
      <w:pPr>
        <w:bidi w:val="0"/>
        <w:rPr>
          <w:rFonts w:hint="eastAsia"/>
          <w:lang w:val="en-US" w:eastAsia="zh-CN"/>
        </w:rPr>
      </w:pPr>
      <w:r>
        <w:rPr>
          <w:rFonts w:hint="eastAsia"/>
          <w:lang w:val="en-US" w:eastAsia="zh-CN"/>
        </w:rPr>
        <w:t>门框：采用不锈钢型材或不锈钢板折边制作，壁厚满足设计及规范要求。</w:t>
      </w:r>
    </w:p>
    <w:p w14:paraId="562159F7">
      <w:pPr>
        <w:bidi w:val="0"/>
        <w:rPr>
          <w:rFonts w:hint="eastAsia"/>
          <w:lang w:val="en-US" w:eastAsia="zh-CN"/>
        </w:rPr>
      </w:pPr>
      <w:r>
        <w:rPr>
          <w:rFonts w:hint="eastAsia"/>
          <w:lang w:val="en-US" w:eastAsia="zh-CN"/>
        </w:rPr>
        <w:t>五金配件：配套不锈钢合页、门锁、拉手、门吸、插销、闭门器等全套专用配套五金件，五金材质与门扇匹配。</w:t>
      </w:r>
    </w:p>
    <w:p w14:paraId="3A3B0DAB">
      <w:pPr>
        <w:pStyle w:val="5"/>
        <w:bidi w:val="0"/>
        <w:rPr>
          <w:rFonts w:hint="eastAsia"/>
          <w:lang w:val="en-US" w:eastAsia="zh-CN"/>
        </w:rPr>
      </w:pPr>
      <w:r>
        <w:rPr>
          <w:rFonts w:hint="eastAsia"/>
          <w:lang w:val="en-US" w:eastAsia="zh-CN"/>
        </w:rPr>
        <w:t>制作要求</w:t>
      </w:r>
    </w:p>
    <w:p w14:paraId="7B53C204">
      <w:pPr>
        <w:bidi w:val="0"/>
        <w:rPr>
          <w:rFonts w:hint="eastAsia"/>
          <w:lang w:val="en-US" w:eastAsia="zh-CN"/>
        </w:rPr>
      </w:pPr>
      <w:r>
        <w:rPr>
          <w:rFonts w:hint="eastAsia"/>
          <w:lang w:val="en-US" w:eastAsia="zh-CN"/>
        </w:rPr>
        <w:t>不锈钢板表面应平整光滑，无划痕、凹凸变形，色泽均匀一致。</w:t>
      </w:r>
    </w:p>
    <w:p w14:paraId="59FD9C72">
      <w:pPr>
        <w:bidi w:val="0"/>
        <w:rPr>
          <w:rFonts w:hint="eastAsia"/>
          <w:lang w:val="en-US" w:eastAsia="zh-CN"/>
        </w:rPr>
      </w:pPr>
      <w:r>
        <w:rPr>
          <w:rFonts w:hint="eastAsia"/>
          <w:lang w:val="en-US" w:eastAsia="zh-CN"/>
        </w:rPr>
        <w:t>拼接焊缝应打磨抛光，与母材表面平齐，无明显焊接痕迹。</w:t>
      </w:r>
    </w:p>
    <w:p w14:paraId="1010DB7D">
      <w:pPr>
        <w:bidi w:val="0"/>
        <w:rPr>
          <w:rFonts w:hint="eastAsia"/>
          <w:lang w:val="en-US" w:eastAsia="zh-CN"/>
        </w:rPr>
      </w:pPr>
      <w:r>
        <w:rPr>
          <w:rFonts w:hint="eastAsia"/>
          <w:lang w:val="en-US" w:eastAsia="zh-CN"/>
        </w:rPr>
        <w:t>门扇骨架应牢固，填充材料应饱满，确保门扇整体刚度。</w:t>
      </w:r>
    </w:p>
    <w:p w14:paraId="116E6E39">
      <w:pPr>
        <w:bidi w:val="0"/>
        <w:rPr>
          <w:rFonts w:hint="eastAsia"/>
          <w:lang w:val="en-US" w:eastAsia="zh-CN"/>
        </w:rPr>
      </w:pPr>
      <w:r>
        <w:rPr>
          <w:rFonts w:hint="eastAsia"/>
          <w:lang w:val="en-US" w:eastAsia="zh-CN"/>
        </w:rPr>
        <w:t>门扇、门框尺寸偏差应符合规范要求。</w:t>
      </w:r>
    </w:p>
    <w:p w14:paraId="7A564A36">
      <w:pPr>
        <w:pStyle w:val="5"/>
        <w:bidi w:val="0"/>
        <w:rPr>
          <w:rFonts w:hint="eastAsia"/>
          <w:lang w:val="en-US" w:eastAsia="zh-CN"/>
        </w:rPr>
      </w:pPr>
      <w:r>
        <w:rPr>
          <w:rFonts w:hint="eastAsia"/>
          <w:lang w:val="en-US" w:eastAsia="zh-CN"/>
        </w:rPr>
        <w:t>安装要求</w:t>
      </w:r>
    </w:p>
    <w:p w14:paraId="77C9BD30">
      <w:pPr>
        <w:bidi w:val="0"/>
        <w:rPr>
          <w:rFonts w:hint="eastAsia"/>
          <w:lang w:val="en-US" w:eastAsia="zh-CN"/>
        </w:rPr>
      </w:pPr>
      <w:r>
        <w:rPr>
          <w:rFonts w:hint="eastAsia"/>
          <w:lang w:val="en-US" w:eastAsia="zh-CN"/>
        </w:rPr>
        <w:t>门框安装应垂直、方正，固定牢固。</w:t>
      </w:r>
    </w:p>
    <w:p w14:paraId="22D365FA">
      <w:pPr>
        <w:bidi w:val="0"/>
        <w:rPr>
          <w:rFonts w:hint="eastAsia"/>
          <w:lang w:val="en-US" w:eastAsia="zh-CN"/>
        </w:rPr>
      </w:pPr>
      <w:r>
        <w:rPr>
          <w:rFonts w:hint="eastAsia"/>
          <w:lang w:val="en-US" w:eastAsia="zh-CN"/>
        </w:rPr>
        <w:t>门框与墙体缝隙应采用密封胶填缝密封，表面平整美观。</w:t>
      </w:r>
    </w:p>
    <w:p w14:paraId="1C4274A8">
      <w:pPr>
        <w:bidi w:val="0"/>
        <w:rPr>
          <w:rFonts w:hint="eastAsia"/>
          <w:lang w:val="en-US" w:eastAsia="zh-CN"/>
        </w:rPr>
      </w:pPr>
      <w:r>
        <w:rPr>
          <w:rFonts w:hint="eastAsia"/>
          <w:lang w:val="en-US" w:eastAsia="zh-CN"/>
        </w:rPr>
        <w:t>门扇安装后应启闭灵活，缝隙均匀，锁具启闭顺畅。</w:t>
      </w:r>
    </w:p>
    <w:p w14:paraId="4C24E648">
      <w:pPr>
        <w:bidi w:val="0"/>
        <w:rPr>
          <w:rFonts w:hint="eastAsia"/>
          <w:lang w:val="en-US" w:eastAsia="zh-CN"/>
        </w:rPr>
      </w:pPr>
      <w:r>
        <w:rPr>
          <w:rFonts w:hint="eastAsia"/>
          <w:lang w:val="en-US" w:eastAsia="zh-CN"/>
        </w:rPr>
        <w:t>安装完成后应进行清洁保护，确保表面无污渍、划痕。</w:t>
      </w:r>
    </w:p>
    <w:p w14:paraId="5AED7DD0">
      <w:pPr>
        <w:pStyle w:val="4"/>
        <w:bidi w:val="0"/>
        <w:rPr>
          <w:rFonts w:hint="eastAsia"/>
          <w:lang w:val="en-US" w:eastAsia="zh-CN"/>
        </w:rPr>
      </w:pPr>
      <w:r>
        <w:rPr>
          <w:rFonts w:hint="eastAsia"/>
          <w:lang w:val="en-US" w:eastAsia="zh-CN"/>
        </w:rPr>
        <w:t xml:space="preserve"> 铝合金门窗</w:t>
      </w:r>
    </w:p>
    <w:p w14:paraId="3CC78F22">
      <w:pPr>
        <w:pStyle w:val="5"/>
        <w:bidi w:val="0"/>
        <w:rPr>
          <w:rFonts w:hint="eastAsia"/>
          <w:lang w:val="en-US" w:eastAsia="zh-CN"/>
        </w:rPr>
      </w:pPr>
      <w:r>
        <w:rPr>
          <w:rFonts w:hint="eastAsia"/>
          <w:lang w:val="en-US" w:eastAsia="zh-CN"/>
        </w:rPr>
        <w:t>材质要求</w:t>
      </w:r>
    </w:p>
    <w:p w14:paraId="641DA365">
      <w:pPr>
        <w:bidi w:val="0"/>
        <w:rPr>
          <w:rFonts w:hint="eastAsia"/>
          <w:lang w:val="en-US" w:eastAsia="zh-CN"/>
        </w:rPr>
      </w:pPr>
      <w:r>
        <w:rPr>
          <w:rFonts w:hint="eastAsia"/>
          <w:lang w:val="en-US" w:eastAsia="zh-CN"/>
        </w:rPr>
        <w:t>型材：采用70系列、90系列或108系列铝合金型材，氟碳漆喷涂处理，壁厚≥1.8mm（受力杆件）。</w:t>
      </w:r>
    </w:p>
    <w:p w14:paraId="68DFACD7">
      <w:pPr>
        <w:bidi w:val="0"/>
        <w:rPr>
          <w:rFonts w:hint="eastAsia"/>
          <w:lang w:val="en-US" w:eastAsia="zh-CN"/>
        </w:rPr>
      </w:pPr>
      <w:r>
        <w:rPr>
          <w:rFonts w:hint="eastAsia"/>
          <w:lang w:val="en-US" w:eastAsia="zh-CN"/>
        </w:rPr>
        <w:t>玻璃：</w:t>
      </w:r>
    </w:p>
    <w:p w14:paraId="4D990F6B">
      <w:pPr>
        <w:bidi w:val="0"/>
        <w:rPr>
          <w:rFonts w:hint="eastAsia"/>
          <w:lang w:val="en-US" w:eastAsia="zh-CN"/>
        </w:rPr>
      </w:pPr>
      <w:r>
        <w:rPr>
          <w:rFonts w:hint="eastAsia"/>
          <w:lang w:val="en-US" w:eastAsia="zh-CN"/>
        </w:rPr>
        <w:t>Low-E中空（双银）玻璃：6mm Low-E玻璃 + 12mm空气层 + 6mm透明玻璃</w:t>
      </w:r>
    </w:p>
    <w:p w14:paraId="3EFCD168">
      <w:pPr>
        <w:bidi w:val="0"/>
        <w:rPr>
          <w:rFonts w:hint="eastAsia"/>
          <w:lang w:val="en-US" w:eastAsia="zh-CN"/>
        </w:rPr>
      </w:pPr>
      <w:r>
        <w:rPr>
          <w:rFonts w:hint="eastAsia"/>
          <w:lang w:val="en-US" w:eastAsia="zh-CN"/>
        </w:rPr>
        <w:t>钢化玻璃：6mm或10mm厚钢化玻璃</w:t>
      </w:r>
    </w:p>
    <w:p w14:paraId="3DDDFEF1">
      <w:pPr>
        <w:bidi w:val="0"/>
        <w:rPr>
          <w:rFonts w:hint="eastAsia"/>
          <w:lang w:val="en-US" w:eastAsia="zh-CN"/>
        </w:rPr>
      </w:pPr>
      <w:r>
        <w:rPr>
          <w:rFonts w:hint="eastAsia"/>
          <w:lang w:val="en-US" w:eastAsia="zh-CN"/>
        </w:rPr>
        <w:t>夹胶玻璃：12mm厚夹胶玻璃</w:t>
      </w:r>
    </w:p>
    <w:p w14:paraId="4FA3B61D">
      <w:pPr>
        <w:bidi w:val="0"/>
        <w:rPr>
          <w:rFonts w:hint="eastAsia"/>
          <w:lang w:val="en-US" w:eastAsia="zh-CN"/>
        </w:rPr>
      </w:pPr>
      <w:r>
        <w:rPr>
          <w:rFonts w:hint="eastAsia"/>
          <w:lang w:val="en-US" w:eastAsia="zh-CN"/>
        </w:rPr>
        <w:t>所有玻璃必须符合国家相关标准，具有3C认证标志。</w:t>
      </w:r>
    </w:p>
    <w:p w14:paraId="379EF39B">
      <w:pPr>
        <w:bidi w:val="0"/>
        <w:rPr>
          <w:rFonts w:hint="eastAsia"/>
          <w:lang w:val="en-US" w:eastAsia="zh-CN"/>
        </w:rPr>
      </w:pPr>
      <w:r>
        <w:rPr>
          <w:rFonts w:hint="eastAsia"/>
          <w:lang w:val="en-US" w:eastAsia="zh-CN"/>
        </w:rPr>
        <w:t>五金配件：采用与系列匹配的优质五金配件，包括不锈钢合页、锁扣、限位器、密封胶条、执手等。</w:t>
      </w:r>
    </w:p>
    <w:p w14:paraId="1EA899CC">
      <w:pPr>
        <w:bidi w:val="0"/>
        <w:rPr>
          <w:rFonts w:hint="eastAsia"/>
          <w:lang w:val="en-US" w:eastAsia="zh-CN"/>
        </w:rPr>
      </w:pPr>
      <w:r>
        <w:rPr>
          <w:rFonts w:hint="eastAsia"/>
          <w:lang w:val="en-US" w:eastAsia="zh-CN"/>
        </w:rPr>
        <w:t>密封材料：采用优质三元乙丙（EPDM）密封胶条，中性硅酮密封胶。</w:t>
      </w:r>
    </w:p>
    <w:p w14:paraId="799C694B">
      <w:pPr>
        <w:pStyle w:val="5"/>
        <w:bidi w:val="0"/>
        <w:rPr>
          <w:rFonts w:hint="eastAsia"/>
          <w:lang w:val="en-US" w:eastAsia="zh-CN"/>
        </w:rPr>
      </w:pPr>
      <w:r>
        <w:rPr>
          <w:rFonts w:hint="eastAsia"/>
          <w:lang w:val="en-US" w:eastAsia="zh-CN"/>
        </w:rPr>
        <w:t>制作要求</w:t>
      </w:r>
    </w:p>
    <w:p w14:paraId="021CDE60">
      <w:pPr>
        <w:bidi w:val="0"/>
        <w:rPr>
          <w:rFonts w:hint="eastAsia"/>
          <w:lang w:val="en-US" w:eastAsia="zh-CN"/>
        </w:rPr>
      </w:pPr>
      <w:r>
        <w:rPr>
          <w:rFonts w:hint="eastAsia"/>
          <w:lang w:val="en-US" w:eastAsia="zh-CN"/>
        </w:rPr>
        <w:t>型材切割角度准确，组装后框扇对角线偏差≤2mm。</w:t>
      </w:r>
    </w:p>
    <w:p w14:paraId="127E8FAF">
      <w:pPr>
        <w:bidi w:val="0"/>
        <w:rPr>
          <w:rFonts w:hint="eastAsia"/>
          <w:lang w:val="en-US" w:eastAsia="zh-CN"/>
        </w:rPr>
      </w:pPr>
      <w:r>
        <w:rPr>
          <w:rFonts w:hint="eastAsia"/>
          <w:lang w:val="en-US" w:eastAsia="zh-CN"/>
        </w:rPr>
        <w:t>五金件安装位置准确，固定牢固，启闭灵活。</w:t>
      </w:r>
    </w:p>
    <w:p w14:paraId="62579EE3">
      <w:pPr>
        <w:bidi w:val="0"/>
        <w:rPr>
          <w:rFonts w:hint="eastAsia"/>
          <w:lang w:val="en-US" w:eastAsia="zh-CN"/>
        </w:rPr>
      </w:pPr>
      <w:r>
        <w:rPr>
          <w:rFonts w:hint="eastAsia"/>
          <w:lang w:val="en-US" w:eastAsia="zh-CN"/>
        </w:rPr>
        <w:t>玻璃安装应设置弹性垫块，玻璃与型材间隙均匀，密封胶条镶嵌牢固。</w:t>
      </w:r>
    </w:p>
    <w:p w14:paraId="32C8A436">
      <w:pPr>
        <w:bidi w:val="0"/>
        <w:rPr>
          <w:rFonts w:hint="eastAsia"/>
          <w:lang w:val="en-US" w:eastAsia="zh-CN"/>
        </w:rPr>
      </w:pPr>
      <w:r>
        <w:rPr>
          <w:rFonts w:hint="eastAsia"/>
          <w:lang w:val="en-US" w:eastAsia="zh-CN"/>
        </w:rPr>
        <w:t>氟碳漆涂层应均匀、光滑，无流挂、脱落、色差等缺陷。</w:t>
      </w:r>
    </w:p>
    <w:p w14:paraId="1CECCBA0">
      <w:pPr>
        <w:bidi w:val="0"/>
        <w:rPr>
          <w:rFonts w:hint="eastAsia"/>
          <w:lang w:val="en-US" w:eastAsia="zh-CN"/>
        </w:rPr>
      </w:pPr>
      <w:r>
        <w:rPr>
          <w:rFonts w:hint="eastAsia"/>
          <w:lang w:val="en-US" w:eastAsia="zh-CN"/>
        </w:rPr>
        <w:t>门窗颜色应与原有建筑协调一致，如有色号要求应严格按指定色号执行。</w:t>
      </w:r>
    </w:p>
    <w:p w14:paraId="47F4C91D">
      <w:pPr>
        <w:pStyle w:val="5"/>
        <w:bidi w:val="0"/>
        <w:rPr>
          <w:rFonts w:hint="eastAsia"/>
          <w:lang w:val="en-US" w:eastAsia="zh-CN"/>
        </w:rPr>
      </w:pPr>
      <w:r>
        <w:rPr>
          <w:rFonts w:hint="eastAsia"/>
          <w:lang w:val="en-US" w:eastAsia="zh-CN"/>
        </w:rPr>
        <w:t>安装要求</w:t>
      </w:r>
    </w:p>
    <w:p w14:paraId="4203F807">
      <w:pPr>
        <w:bidi w:val="0"/>
        <w:rPr>
          <w:rFonts w:hint="eastAsia"/>
          <w:lang w:val="en-US" w:eastAsia="zh-CN"/>
        </w:rPr>
      </w:pPr>
      <w:r>
        <w:rPr>
          <w:rFonts w:hint="eastAsia"/>
          <w:lang w:val="en-US" w:eastAsia="zh-CN"/>
        </w:rPr>
        <w:t>门窗安装前应复核洞口尺寸，确认无误后方可安装。</w:t>
      </w:r>
    </w:p>
    <w:p w14:paraId="4F2AD31E">
      <w:pPr>
        <w:bidi w:val="0"/>
        <w:rPr>
          <w:rFonts w:hint="eastAsia"/>
          <w:lang w:val="en-US" w:eastAsia="zh-CN"/>
        </w:rPr>
      </w:pPr>
      <w:r>
        <w:rPr>
          <w:rFonts w:hint="eastAsia"/>
          <w:lang w:val="en-US" w:eastAsia="zh-CN"/>
        </w:rPr>
        <w:t>窗框安装应采用膨胀螺栓或固定片固定，固定点间距不大于500mm，角部距离不大于150mm。</w:t>
      </w:r>
    </w:p>
    <w:p w14:paraId="165A363A">
      <w:pPr>
        <w:bidi w:val="0"/>
        <w:rPr>
          <w:rFonts w:hint="eastAsia"/>
          <w:lang w:val="en-US" w:eastAsia="zh-CN"/>
        </w:rPr>
      </w:pPr>
      <w:r>
        <w:rPr>
          <w:rFonts w:hint="eastAsia"/>
          <w:lang w:val="en-US" w:eastAsia="zh-CN"/>
        </w:rPr>
        <w:t>窗框与墙体缝隙应采用发泡剂填实，内外侧打密封胶密封。</w:t>
      </w:r>
    </w:p>
    <w:p w14:paraId="092C2812">
      <w:pPr>
        <w:bidi w:val="0"/>
        <w:rPr>
          <w:rFonts w:hint="eastAsia"/>
          <w:lang w:val="en-US" w:eastAsia="zh-CN"/>
        </w:rPr>
      </w:pPr>
      <w:r>
        <w:rPr>
          <w:rFonts w:hint="eastAsia"/>
          <w:lang w:val="en-US" w:eastAsia="zh-CN"/>
        </w:rPr>
        <w:t>门窗安装后应启闭灵活，锁具启闭顺畅，密封严密。</w:t>
      </w:r>
    </w:p>
    <w:p w14:paraId="6462D166">
      <w:pPr>
        <w:bidi w:val="0"/>
        <w:rPr>
          <w:rFonts w:hint="eastAsia"/>
          <w:lang w:val="en-US" w:eastAsia="zh-CN"/>
        </w:rPr>
      </w:pPr>
      <w:r>
        <w:rPr>
          <w:rFonts w:hint="eastAsia"/>
          <w:lang w:val="en-US" w:eastAsia="zh-CN"/>
        </w:rPr>
        <w:t>高于室内楼面2.2米的可开启窗扇应在离地1.3m~1.5m处设置手动开启装置，做法参考图集06CJ06-1第29页。</w:t>
      </w:r>
    </w:p>
    <w:p w14:paraId="239173EC">
      <w:pPr>
        <w:pStyle w:val="5"/>
        <w:bidi w:val="0"/>
        <w:rPr>
          <w:rFonts w:hint="eastAsia"/>
          <w:lang w:val="en-US" w:eastAsia="zh-CN"/>
        </w:rPr>
      </w:pPr>
      <w:r>
        <w:rPr>
          <w:rFonts w:hint="eastAsia"/>
          <w:lang w:val="en-US" w:eastAsia="zh-CN"/>
        </w:rPr>
        <w:t>性能要求</w:t>
      </w:r>
    </w:p>
    <w:p w14:paraId="3CBEDD00">
      <w:pPr>
        <w:bidi w:val="0"/>
        <w:rPr>
          <w:rFonts w:hint="eastAsia"/>
          <w:lang w:val="en-US" w:eastAsia="zh-CN"/>
        </w:rPr>
      </w:pPr>
      <w:r>
        <w:rPr>
          <w:rFonts w:hint="eastAsia"/>
          <w:lang w:val="en-US" w:eastAsia="zh-CN"/>
        </w:rPr>
        <w:t>抗风压性能：≥6级（按GB/T 7106-2019）</w:t>
      </w:r>
    </w:p>
    <w:p w14:paraId="5CC46DF8">
      <w:pPr>
        <w:bidi w:val="0"/>
        <w:rPr>
          <w:rFonts w:hint="eastAsia"/>
          <w:lang w:val="en-US" w:eastAsia="zh-CN"/>
        </w:rPr>
      </w:pPr>
      <w:r>
        <w:rPr>
          <w:rFonts w:hint="eastAsia"/>
          <w:lang w:val="en-US" w:eastAsia="zh-CN"/>
        </w:rPr>
        <w:t>水密性能：≥4级（按GB/T 7106-2019）</w:t>
      </w:r>
    </w:p>
    <w:p w14:paraId="493B0DF7">
      <w:pPr>
        <w:bidi w:val="0"/>
        <w:rPr>
          <w:rFonts w:hint="eastAsia"/>
          <w:lang w:val="en-US" w:eastAsia="zh-CN"/>
        </w:rPr>
      </w:pPr>
      <w:r>
        <w:rPr>
          <w:rFonts w:hint="eastAsia"/>
          <w:lang w:val="en-US" w:eastAsia="zh-CN"/>
        </w:rPr>
        <w:t>气密性能：≥6级（按GB/T 7106-2019）</w:t>
      </w:r>
    </w:p>
    <w:p w14:paraId="72B834C0">
      <w:pPr>
        <w:bidi w:val="0"/>
        <w:rPr>
          <w:rFonts w:hint="eastAsia"/>
          <w:lang w:val="en-US" w:eastAsia="zh-CN"/>
        </w:rPr>
      </w:pPr>
      <w:r>
        <w:rPr>
          <w:rFonts w:hint="eastAsia"/>
          <w:lang w:val="en-US" w:eastAsia="zh-CN"/>
        </w:rPr>
        <w:t>隔声性能：≥3级（按GB/T 8485-2008）</w:t>
      </w:r>
    </w:p>
    <w:p w14:paraId="1A01C28E">
      <w:pPr>
        <w:bidi w:val="0"/>
        <w:rPr>
          <w:rFonts w:hint="eastAsia"/>
          <w:lang w:val="en-US" w:eastAsia="zh-CN"/>
        </w:rPr>
      </w:pPr>
      <w:r>
        <w:rPr>
          <w:rFonts w:hint="eastAsia"/>
          <w:lang w:val="en-US" w:eastAsia="zh-CN"/>
        </w:rPr>
        <w:t>综合单价包含门窗三性试验费用。</w:t>
      </w:r>
    </w:p>
    <w:p w14:paraId="13F3CEFA">
      <w:pPr>
        <w:pStyle w:val="4"/>
        <w:bidi w:val="0"/>
        <w:rPr>
          <w:rFonts w:hint="eastAsia"/>
          <w:lang w:val="en-US" w:eastAsia="zh-CN"/>
        </w:rPr>
      </w:pPr>
      <w:r>
        <w:rPr>
          <w:rFonts w:hint="eastAsia"/>
          <w:lang w:val="en-US" w:eastAsia="zh-CN"/>
        </w:rPr>
        <w:t>木门</w:t>
      </w:r>
    </w:p>
    <w:p w14:paraId="35730693">
      <w:pPr>
        <w:pStyle w:val="5"/>
        <w:bidi w:val="0"/>
        <w:rPr>
          <w:rFonts w:hint="eastAsia"/>
          <w:lang w:val="en-US" w:eastAsia="zh-CN"/>
        </w:rPr>
      </w:pPr>
      <w:r>
        <w:rPr>
          <w:rFonts w:hint="eastAsia"/>
          <w:lang w:val="en-US" w:eastAsia="zh-CN"/>
        </w:rPr>
        <w:t xml:space="preserve"> 材质要求</w:t>
      </w:r>
    </w:p>
    <w:p w14:paraId="134F7FA5">
      <w:pPr>
        <w:bidi w:val="0"/>
        <w:rPr>
          <w:rFonts w:hint="eastAsia"/>
          <w:lang w:val="en-US" w:eastAsia="zh-CN"/>
        </w:rPr>
      </w:pPr>
      <w:r>
        <w:rPr>
          <w:rFonts w:hint="eastAsia"/>
          <w:lang w:val="en-US" w:eastAsia="zh-CN"/>
        </w:rPr>
        <w:t>门扇、门框：采用实木复合基材或成品胶合板（夹板），板材环保等级符合GB 18580-2017 E1级要求。</w:t>
      </w:r>
    </w:p>
    <w:p w14:paraId="33DE1E42">
      <w:pPr>
        <w:bidi w:val="0"/>
        <w:rPr>
          <w:rFonts w:hint="eastAsia"/>
          <w:lang w:val="en-US" w:eastAsia="zh-CN"/>
        </w:rPr>
      </w:pPr>
      <w:r>
        <w:rPr>
          <w:rFonts w:hint="eastAsia"/>
          <w:lang w:val="en-US" w:eastAsia="zh-CN"/>
        </w:rPr>
        <w:t>饰面：按设计要求采用木纹饰面或油漆饰面，颜色符合设计要求。</w:t>
      </w:r>
    </w:p>
    <w:p w14:paraId="550C366B">
      <w:pPr>
        <w:bidi w:val="0"/>
        <w:rPr>
          <w:rFonts w:hint="eastAsia"/>
          <w:lang w:val="en-US" w:eastAsia="zh-CN"/>
        </w:rPr>
      </w:pPr>
      <w:r>
        <w:rPr>
          <w:rFonts w:hint="eastAsia"/>
          <w:lang w:val="en-US" w:eastAsia="zh-CN"/>
        </w:rPr>
        <w:t>五金配件：配套合页、门锁、门吸、插销等全套五金件，五金选用耐用防锈材质。</w:t>
      </w:r>
    </w:p>
    <w:p w14:paraId="6A529E2A">
      <w:pPr>
        <w:pStyle w:val="5"/>
        <w:bidi w:val="0"/>
        <w:rPr>
          <w:rFonts w:hint="eastAsia"/>
          <w:lang w:val="en-US" w:eastAsia="zh-CN"/>
        </w:rPr>
      </w:pPr>
      <w:r>
        <w:rPr>
          <w:rFonts w:hint="eastAsia"/>
          <w:lang w:val="en-US" w:eastAsia="zh-CN"/>
        </w:rPr>
        <w:t>制作要求</w:t>
      </w:r>
    </w:p>
    <w:p w14:paraId="338903A5">
      <w:pPr>
        <w:bidi w:val="0"/>
        <w:rPr>
          <w:rFonts w:hint="eastAsia"/>
          <w:lang w:val="en-US" w:eastAsia="zh-CN"/>
        </w:rPr>
      </w:pPr>
      <w:r>
        <w:rPr>
          <w:rFonts w:hint="eastAsia"/>
          <w:lang w:val="en-US" w:eastAsia="zh-CN"/>
        </w:rPr>
        <w:t>门扇、门框应按图纸及现场洞口尺寸定制，含水率符合当地气候要求，不易变形开裂。</w:t>
      </w:r>
    </w:p>
    <w:p w14:paraId="20A106E1">
      <w:pPr>
        <w:bidi w:val="0"/>
        <w:rPr>
          <w:rFonts w:hint="eastAsia"/>
          <w:lang w:val="en-US" w:eastAsia="zh-CN"/>
        </w:rPr>
      </w:pPr>
      <w:r>
        <w:rPr>
          <w:rFonts w:hint="eastAsia"/>
          <w:lang w:val="en-US" w:eastAsia="zh-CN"/>
        </w:rPr>
        <w:t>门扇表面平整，无翘曲、开裂、脱胶等缺陷。</w:t>
      </w:r>
    </w:p>
    <w:p w14:paraId="1AE4E287">
      <w:pPr>
        <w:bidi w:val="0"/>
        <w:rPr>
          <w:rFonts w:hint="eastAsia"/>
          <w:lang w:val="en-US" w:eastAsia="zh-CN"/>
        </w:rPr>
      </w:pPr>
      <w:r>
        <w:rPr>
          <w:rFonts w:hint="eastAsia"/>
          <w:lang w:val="en-US" w:eastAsia="zh-CN"/>
        </w:rPr>
        <w:t>饰面应光滑平整，色泽均匀，无明显色差。</w:t>
      </w:r>
    </w:p>
    <w:p w14:paraId="0B7F883E">
      <w:pPr>
        <w:pStyle w:val="5"/>
        <w:bidi w:val="0"/>
        <w:rPr>
          <w:rFonts w:hint="eastAsia"/>
          <w:lang w:val="en-US" w:eastAsia="zh-CN"/>
        </w:rPr>
      </w:pPr>
      <w:r>
        <w:rPr>
          <w:rFonts w:hint="eastAsia"/>
          <w:lang w:val="en-US" w:eastAsia="zh-CN"/>
        </w:rPr>
        <w:t>安装要求</w:t>
      </w:r>
    </w:p>
    <w:p w14:paraId="26B74C91">
      <w:pPr>
        <w:bidi w:val="0"/>
        <w:rPr>
          <w:rFonts w:hint="eastAsia"/>
          <w:lang w:val="en-US" w:eastAsia="zh-CN"/>
        </w:rPr>
      </w:pPr>
      <w:r>
        <w:rPr>
          <w:rFonts w:hint="eastAsia"/>
          <w:lang w:val="en-US" w:eastAsia="zh-CN"/>
        </w:rPr>
        <w:t>门框安装应垂直、方正，固定牢固。</w:t>
      </w:r>
    </w:p>
    <w:p w14:paraId="73414F54">
      <w:pPr>
        <w:bidi w:val="0"/>
        <w:rPr>
          <w:rFonts w:hint="eastAsia"/>
          <w:lang w:val="en-US" w:eastAsia="zh-CN"/>
        </w:rPr>
      </w:pPr>
      <w:r>
        <w:rPr>
          <w:rFonts w:hint="eastAsia"/>
          <w:lang w:val="en-US" w:eastAsia="zh-CN"/>
        </w:rPr>
        <w:t>门框与墙体缝隙应填实密封，表面处理美观。</w:t>
      </w:r>
    </w:p>
    <w:p w14:paraId="7B3EF8F9">
      <w:pPr>
        <w:bidi w:val="0"/>
        <w:rPr>
          <w:rFonts w:hint="eastAsia"/>
          <w:lang w:val="en-US" w:eastAsia="zh-CN"/>
        </w:rPr>
      </w:pPr>
      <w:r>
        <w:rPr>
          <w:rFonts w:hint="eastAsia"/>
          <w:lang w:val="en-US" w:eastAsia="zh-CN"/>
        </w:rPr>
        <w:t>门扇安装后应启闭灵活，缝隙均匀，锁具启闭顺畅。</w:t>
      </w:r>
    </w:p>
    <w:p w14:paraId="4D2FEDE4">
      <w:pPr>
        <w:bidi w:val="0"/>
        <w:rPr>
          <w:rFonts w:hint="eastAsia"/>
          <w:lang w:val="en-US" w:eastAsia="zh-CN"/>
        </w:rPr>
      </w:pPr>
      <w:r>
        <w:rPr>
          <w:rFonts w:hint="eastAsia"/>
          <w:lang w:val="en-US" w:eastAsia="zh-CN"/>
        </w:rPr>
        <w:t>安装完成后应做好成品保护，防止碰撞损坏。</w:t>
      </w:r>
    </w:p>
    <w:p w14:paraId="039BC80D">
      <w:pPr>
        <w:pStyle w:val="4"/>
        <w:bidi w:val="0"/>
        <w:rPr>
          <w:rFonts w:hint="eastAsia"/>
          <w:lang w:val="en-US" w:eastAsia="zh-CN"/>
        </w:rPr>
      </w:pPr>
      <w:r>
        <w:rPr>
          <w:rFonts w:hint="eastAsia"/>
          <w:lang w:val="en-US" w:eastAsia="zh-CN"/>
        </w:rPr>
        <w:t xml:space="preserve"> 铝合金百叶窗</w:t>
      </w:r>
    </w:p>
    <w:p w14:paraId="45931A32">
      <w:pPr>
        <w:pStyle w:val="5"/>
        <w:bidi w:val="0"/>
        <w:rPr>
          <w:rFonts w:hint="eastAsia"/>
          <w:lang w:val="en-US" w:eastAsia="zh-CN"/>
        </w:rPr>
      </w:pPr>
      <w:r>
        <w:rPr>
          <w:rFonts w:hint="eastAsia"/>
          <w:lang w:val="en-US" w:eastAsia="zh-CN"/>
        </w:rPr>
        <w:t>材质要求</w:t>
      </w:r>
    </w:p>
    <w:p w14:paraId="6C6168C0">
      <w:pPr>
        <w:bidi w:val="0"/>
        <w:rPr>
          <w:rFonts w:hint="eastAsia"/>
          <w:lang w:val="en-US" w:eastAsia="zh-CN"/>
        </w:rPr>
      </w:pPr>
      <w:r>
        <w:rPr>
          <w:rFonts w:hint="eastAsia"/>
          <w:lang w:val="en-US" w:eastAsia="zh-CN"/>
        </w:rPr>
        <w:t>型材：采用铝合金型材，壁厚满足设计及规范要求。</w:t>
      </w:r>
    </w:p>
    <w:p w14:paraId="5EC8FBC1">
      <w:pPr>
        <w:bidi w:val="0"/>
        <w:rPr>
          <w:rFonts w:hint="eastAsia"/>
          <w:lang w:val="en-US" w:eastAsia="zh-CN"/>
        </w:rPr>
      </w:pPr>
      <w:r>
        <w:rPr>
          <w:rFonts w:hint="eastAsia"/>
          <w:lang w:val="en-US" w:eastAsia="zh-CN"/>
        </w:rPr>
        <w:t>类型：防雨型铝合金百叶（固定防雨百叶），带防雨导水结构、内设防水滴水。</w:t>
      </w:r>
    </w:p>
    <w:p w14:paraId="3B896A0E">
      <w:pPr>
        <w:bidi w:val="0"/>
        <w:rPr>
          <w:rFonts w:hint="eastAsia"/>
          <w:lang w:val="en-US" w:eastAsia="zh-CN"/>
        </w:rPr>
      </w:pPr>
      <w:r>
        <w:rPr>
          <w:rFonts w:hint="eastAsia"/>
          <w:lang w:val="en-US" w:eastAsia="zh-CN"/>
        </w:rPr>
        <w:t>空调百叶：出风面通透率不得小于75%，做法参图集05J642-1第19页。</w:t>
      </w:r>
    </w:p>
    <w:p w14:paraId="7F7CA18C">
      <w:pPr>
        <w:pStyle w:val="5"/>
        <w:bidi w:val="0"/>
        <w:rPr>
          <w:rFonts w:hint="eastAsia"/>
          <w:lang w:val="en-US" w:eastAsia="zh-CN"/>
        </w:rPr>
      </w:pPr>
      <w:r>
        <w:rPr>
          <w:rFonts w:hint="eastAsia"/>
          <w:lang w:val="en-US" w:eastAsia="zh-CN"/>
        </w:rPr>
        <w:t xml:space="preserve"> 制作与安装要求</w:t>
      </w:r>
    </w:p>
    <w:p w14:paraId="311334D1">
      <w:pPr>
        <w:bidi w:val="0"/>
        <w:rPr>
          <w:rFonts w:hint="eastAsia"/>
          <w:lang w:val="en-US" w:eastAsia="zh-CN"/>
        </w:rPr>
      </w:pPr>
      <w:r>
        <w:rPr>
          <w:rFonts w:hint="eastAsia"/>
          <w:lang w:val="en-US" w:eastAsia="zh-CN"/>
        </w:rPr>
        <w:t>框架一体成型，叶片角度均匀一致。</w:t>
      </w:r>
    </w:p>
    <w:p w14:paraId="1DB3975C">
      <w:pPr>
        <w:bidi w:val="0"/>
        <w:rPr>
          <w:rFonts w:hint="eastAsia"/>
          <w:lang w:val="en-US" w:eastAsia="zh-CN"/>
        </w:rPr>
      </w:pPr>
      <w:r>
        <w:rPr>
          <w:rFonts w:hint="eastAsia"/>
          <w:lang w:val="en-US" w:eastAsia="zh-CN"/>
        </w:rPr>
        <w:t>表面处理均匀，色泽一致，无变形、划痕。</w:t>
      </w:r>
    </w:p>
    <w:p w14:paraId="6AD8952D">
      <w:pPr>
        <w:bidi w:val="0"/>
        <w:rPr>
          <w:rFonts w:hint="eastAsia"/>
          <w:lang w:val="en-US" w:eastAsia="zh-CN"/>
        </w:rPr>
      </w:pPr>
      <w:r>
        <w:rPr>
          <w:rFonts w:hint="eastAsia"/>
          <w:lang w:val="en-US" w:eastAsia="zh-CN"/>
        </w:rPr>
        <w:t>现场安装应牢固、方正，周边打胶收口，密封严密。</w:t>
      </w:r>
    </w:p>
    <w:p w14:paraId="360F2475">
      <w:pPr>
        <w:bidi w:val="0"/>
        <w:rPr>
          <w:rFonts w:hint="eastAsia"/>
          <w:lang w:val="en-US" w:eastAsia="zh-CN"/>
        </w:rPr>
      </w:pPr>
      <w:r>
        <w:rPr>
          <w:rFonts w:hint="eastAsia"/>
          <w:lang w:val="en-US" w:eastAsia="zh-CN"/>
        </w:rPr>
        <w:t>防雨百叶应确保防飘雨、通风防雨功能。</w:t>
      </w:r>
    </w:p>
    <w:p w14:paraId="22E43808">
      <w:pPr>
        <w:pStyle w:val="4"/>
        <w:bidi w:val="0"/>
        <w:rPr>
          <w:rFonts w:hint="eastAsia"/>
          <w:lang w:val="en-US" w:eastAsia="zh-CN"/>
        </w:rPr>
      </w:pPr>
      <w:r>
        <w:rPr>
          <w:rFonts w:hint="eastAsia"/>
          <w:lang w:val="en-US" w:eastAsia="zh-CN"/>
        </w:rPr>
        <w:t>传菜窗口/售卖窗</w:t>
      </w:r>
    </w:p>
    <w:p w14:paraId="1BA95E77">
      <w:pPr>
        <w:pStyle w:val="5"/>
        <w:bidi w:val="0"/>
        <w:rPr>
          <w:rFonts w:hint="eastAsia"/>
          <w:lang w:val="en-US" w:eastAsia="zh-CN"/>
        </w:rPr>
      </w:pPr>
      <w:r>
        <w:rPr>
          <w:rFonts w:hint="eastAsia"/>
          <w:lang w:val="en-US" w:eastAsia="zh-CN"/>
        </w:rPr>
        <w:t xml:space="preserve"> 材质要求</w:t>
      </w:r>
    </w:p>
    <w:p w14:paraId="4C0049B3">
      <w:pPr>
        <w:bidi w:val="0"/>
        <w:rPr>
          <w:rFonts w:hint="eastAsia"/>
          <w:lang w:val="en-US" w:eastAsia="zh-CN"/>
        </w:rPr>
      </w:pPr>
      <w:r>
        <w:rPr>
          <w:rFonts w:hint="eastAsia"/>
          <w:lang w:val="en-US" w:eastAsia="zh-CN"/>
        </w:rPr>
        <w:t>玻璃：6mm或10mm厚钢化玻璃。</w:t>
      </w:r>
    </w:p>
    <w:p w14:paraId="4D67A030">
      <w:pPr>
        <w:bidi w:val="0"/>
        <w:rPr>
          <w:rFonts w:hint="eastAsia"/>
          <w:lang w:val="en-US" w:eastAsia="zh-CN"/>
        </w:rPr>
      </w:pPr>
      <w:r>
        <w:rPr>
          <w:rFonts w:hint="eastAsia"/>
          <w:lang w:val="en-US" w:eastAsia="zh-CN"/>
        </w:rPr>
        <w:t>框架：采用80×60mm不锈钢方通，壁厚1.5mm。</w:t>
      </w:r>
    </w:p>
    <w:p w14:paraId="2AF3C37D">
      <w:pPr>
        <w:bidi w:val="0"/>
        <w:rPr>
          <w:rFonts w:hint="eastAsia"/>
          <w:lang w:val="en-US" w:eastAsia="zh-CN"/>
        </w:rPr>
      </w:pPr>
      <w:r>
        <w:rPr>
          <w:rFonts w:hint="eastAsia"/>
          <w:lang w:val="en-US" w:eastAsia="zh-CN"/>
        </w:rPr>
        <w:t>五金配件：配套专用滑轨、滑轮、限位件、拉手等五金件。</w:t>
      </w:r>
    </w:p>
    <w:p w14:paraId="71C0B6A0">
      <w:pPr>
        <w:pStyle w:val="5"/>
        <w:bidi w:val="0"/>
        <w:rPr>
          <w:rFonts w:hint="eastAsia"/>
          <w:lang w:val="en-US" w:eastAsia="zh-CN"/>
        </w:rPr>
      </w:pPr>
      <w:r>
        <w:rPr>
          <w:rFonts w:hint="eastAsia"/>
          <w:lang w:val="en-US" w:eastAsia="zh-CN"/>
        </w:rPr>
        <w:t xml:space="preserve"> 制作与安装要求</w:t>
      </w:r>
    </w:p>
    <w:p w14:paraId="453DFEA1">
      <w:pPr>
        <w:bidi w:val="0"/>
        <w:rPr>
          <w:rFonts w:hint="eastAsia"/>
          <w:lang w:val="en-US" w:eastAsia="zh-CN"/>
        </w:rPr>
      </w:pPr>
      <w:r>
        <w:rPr>
          <w:rFonts w:hint="eastAsia"/>
          <w:lang w:val="en-US" w:eastAsia="zh-CN"/>
        </w:rPr>
        <w:t>不锈钢方通焊接牢固，表面抛光处理，无毛刺划痕。</w:t>
      </w:r>
    </w:p>
    <w:p w14:paraId="6420AB5B">
      <w:pPr>
        <w:bidi w:val="0"/>
        <w:rPr>
          <w:rFonts w:hint="eastAsia"/>
          <w:lang w:val="en-US" w:eastAsia="zh-CN"/>
        </w:rPr>
      </w:pPr>
      <w:r>
        <w:rPr>
          <w:rFonts w:hint="eastAsia"/>
          <w:lang w:val="en-US" w:eastAsia="zh-CN"/>
        </w:rPr>
        <w:t>采用上滑开启结构，推拉顺畅、启闭灵活、定位稳固。</w:t>
      </w:r>
    </w:p>
    <w:p w14:paraId="1AEB9601">
      <w:pPr>
        <w:bidi w:val="0"/>
        <w:rPr>
          <w:rFonts w:hint="eastAsia"/>
          <w:lang w:val="en-US" w:eastAsia="zh-CN"/>
        </w:rPr>
      </w:pPr>
      <w:r>
        <w:rPr>
          <w:rFonts w:hint="eastAsia"/>
          <w:lang w:val="en-US" w:eastAsia="zh-CN"/>
        </w:rPr>
        <w:t>玻璃安装平整，密封严密。</w:t>
      </w:r>
    </w:p>
    <w:p w14:paraId="26BE6935">
      <w:pPr>
        <w:bidi w:val="0"/>
        <w:rPr>
          <w:rFonts w:hint="eastAsia"/>
          <w:lang w:val="en-US" w:eastAsia="zh-CN"/>
        </w:rPr>
      </w:pPr>
      <w:r>
        <w:rPr>
          <w:rFonts w:hint="eastAsia"/>
          <w:lang w:val="en-US" w:eastAsia="zh-CN"/>
        </w:rPr>
        <w:t>框架安装牢固，与墙体结合处密封处理。</w:t>
      </w:r>
    </w:p>
    <w:p w14:paraId="1B4E305C">
      <w:pPr>
        <w:pStyle w:val="4"/>
        <w:bidi w:val="0"/>
        <w:rPr>
          <w:rFonts w:hint="eastAsia"/>
          <w:lang w:val="en-US" w:eastAsia="zh-CN"/>
        </w:rPr>
      </w:pPr>
      <w:r>
        <w:rPr>
          <w:rFonts w:hint="eastAsia"/>
          <w:lang w:val="en-US" w:eastAsia="zh-CN"/>
        </w:rPr>
        <w:t>吊趟门</w:t>
      </w:r>
    </w:p>
    <w:p w14:paraId="4C2ACF5E">
      <w:pPr>
        <w:pStyle w:val="5"/>
        <w:bidi w:val="0"/>
        <w:rPr>
          <w:rFonts w:hint="eastAsia"/>
          <w:lang w:val="en-US" w:eastAsia="zh-CN"/>
        </w:rPr>
      </w:pPr>
      <w:r>
        <w:rPr>
          <w:rFonts w:hint="eastAsia"/>
          <w:lang w:val="en-US" w:eastAsia="zh-CN"/>
        </w:rPr>
        <w:t xml:space="preserve"> 材质要求</w:t>
      </w:r>
    </w:p>
    <w:p w14:paraId="4848DF20">
      <w:pPr>
        <w:bidi w:val="0"/>
        <w:rPr>
          <w:rFonts w:hint="eastAsia"/>
          <w:lang w:val="en-US" w:eastAsia="zh-CN"/>
        </w:rPr>
      </w:pPr>
      <w:r>
        <w:rPr>
          <w:rFonts w:hint="eastAsia"/>
          <w:lang w:val="en-US" w:eastAsia="zh-CN"/>
        </w:rPr>
        <w:t>门体：双面包覆1.2mm厚304不锈钢板。</w:t>
      </w:r>
    </w:p>
    <w:p w14:paraId="620D4704">
      <w:pPr>
        <w:bidi w:val="0"/>
        <w:rPr>
          <w:rFonts w:hint="eastAsia"/>
          <w:lang w:val="en-US" w:eastAsia="zh-CN"/>
        </w:rPr>
      </w:pPr>
      <w:r>
        <w:rPr>
          <w:rFonts w:hint="eastAsia"/>
          <w:lang w:val="en-US" w:eastAsia="zh-CN"/>
        </w:rPr>
        <w:t>五金配件：配置专用吊轮、吊轨、限位器、拉手等全套配套五金。</w:t>
      </w:r>
    </w:p>
    <w:p w14:paraId="02EFB20B">
      <w:pPr>
        <w:pStyle w:val="5"/>
        <w:bidi w:val="0"/>
        <w:rPr>
          <w:rFonts w:hint="eastAsia"/>
          <w:lang w:val="en-US" w:eastAsia="zh-CN"/>
        </w:rPr>
      </w:pPr>
      <w:r>
        <w:rPr>
          <w:rFonts w:hint="eastAsia"/>
          <w:lang w:val="en-US" w:eastAsia="zh-CN"/>
        </w:rPr>
        <w:t>制作与安装要求</w:t>
      </w:r>
    </w:p>
    <w:p w14:paraId="6912D5DA">
      <w:pPr>
        <w:bidi w:val="0"/>
        <w:rPr>
          <w:rFonts w:hint="eastAsia"/>
          <w:lang w:val="en-US" w:eastAsia="zh-CN"/>
        </w:rPr>
      </w:pPr>
      <w:r>
        <w:rPr>
          <w:rFonts w:hint="eastAsia"/>
          <w:lang w:val="en-US" w:eastAsia="zh-CN"/>
        </w:rPr>
        <w:t>板面平整、无划痕、无凹凸变形，拼接焊缝打磨光滑，色泽均匀一致。</w:t>
      </w:r>
    </w:p>
    <w:p w14:paraId="459B3947">
      <w:pPr>
        <w:bidi w:val="0"/>
        <w:rPr>
          <w:rFonts w:hint="eastAsia"/>
          <w:lang w:val="en-US" w:eastAsia="zh-CN"/>
        </w:rPr>
      </w:pPr>
      <w:r>
        <w:rPr>
          <w:rFonts w:hint="eastAsia"/>
          <w:lang w:val="en-US" w:eastAsia="zh-CN"/>
        </w:rPr>
        <w:t>吊轨安装牢固，水平度符合要求。</w:t>
      </w:r>
    </w:p>
    <w:p w14:paraId="73A9C691">
      <w:pPr>
        <w:bidi w:val="0"/>
        <w:rPr>
          <w:rFonts w:hint="eastAsia"/>
          <w:lang w:val="en-US" w:eastAsia="zh-CN"/>
        </w:rPr>
      </w:pPr>
      <w:r>
        <w:rPr>
          <w:rFonts w:hint="eastAsia"/>
          <w:lang w:val="en-US" w:eastAsia="zh-CN"/>
        </w:rPr>
        <w:t>推拉启闭顺畅、运行无异响，五金防腐防锈性能达标。</w:t>
      </w:r>
    </w:p>
    <w:p w14:paraId="3DE0D9DF">
      <w:pPr>
        <w:pStyle w:val="2"/>
        <w:bidi w:val="0"/>
        <w:rPr>
          <w:rFonts w:hint="eastAsia"/>
          <w:lang w:val="en-US" w:eastAsia="zh-CN"/>
        </w:rPr>
      </w:pPr>
      <w:r>
        <w:rPr>
          <w:rFonts w:hint="eastAsia"/>
          <w:lang w:val="en-US" w:eastAsia="zh-CN"/>
        </w:rPr>
        <w:t>金属栏杆工程技术要求</w:t>
      </w:r>
    </w:p>
    <w:p w14:paraId="11C9C47E">
      <w:pPr>
        <w:pStyle w:val="4"/>
        <w:bidi w:val="0"/>
        <w:rPr>
          <w:rFonts w:hint="eastAsia"/>
          <w:lang w:val="en-US" w:eastAsia="zh-CN"/>
        </w:rPr>
      </w:pPr>
      <w:r>
        <w:rPr>
          <w:rFonts w:hint="eastAsia"/>
          <w:lang w:val="en-US" w:eastAsia="zh-CN"/>
        </w:rPr>
        <w:t xml:space="preserve"> 一般规定</w:t>
      </w:r>
    </w:p>
    <w:p w14:paraId="6AA5810B">
      <w:pPr>
        <w:bidi w:val="0"/>
        <w:rPr>
          <w:rFonts w:hint="eastAsia"/>
          <w:lang w:val="en-US" w:eastAsia="zh-CN"/>
        </w:rPr>
      </w:pPr>
      <w:r>
        <w:rPr>
          <w:rFonts w:hint="eastAsia"/>
          <w:lang w:val="en-US" w:eastAsia="zh-CN"/>
        </w:rPr>
        <w:t>栏杆高度应符合设计及规范要求：</w:t>
      </w:r>
    </w:p>
    <w:p w14:paraId="132412A6">
      <w:pPr>
        <w:bidi w:val="0"/>
        <w:rPr>
          <w:rFonts w:hint="eastAsia"/>
          <w:lang w:val="en-US" w:eastAsia="zh-CN"/>
        </w:rPr>
      </w:pPr>
      <w:r>
        <w:rPr>
          <w:rFonts w:hint="eastAsia"/>
          <w:lang w:val="en-US" w:eastAsia="zh-CN"/>
        </w:rPr>
        <w:t>临空高度在24m以下时，栏杆高度不应低于1.05m；临空高度在24m及以上时，栏杆高度不应低于1.10m。</w:t>
      </w:r>
    </w:p>
    <w:p w14:paraId="5C5B8AD7">
      <w:pPr>
        <w:bidi w:val="0"/>
        <w:rPr>
          <w:rFonts w:hint="eastAsia"/>
          <w:lang w:val="en-US" w:eastAsia="zh-CN"/>
        </w:rPr>
      </w:pPr>
      <w:r>
        <w:rPr>
          <w:rFonts w:hint="eastAsia"/>
          <w:lang w:val="en-US" w:eastAsia="zh-CN"/>
        </w:rPr>
        <w:t>楼梯栏杆扶手的高度自踏步前缘线量起不应小于0.90m，水平段长度超过500mm时，栏杆高度不应小于1.10m。</w:t>
      </w:r>
    </w:p>
    <w:p w14:paraId="545496DF">
      <w:pPr>
        <w:bidi w:val="0"/>
        <w:rPr>
          <w:rFonts w:hint="eastAsia"/>
          <w:lang w:val="en-US" w:eastAsia="zh-CN"/>
        </w:rPr>
      </w:pPr>
      <w:r>
        <w:rPr>
          <w:rFonts w:hint="eastAsia"/>
          <w:lang w:val="en-US" w:eastAsia="zh-CN"/>
        </w:rPr>
        <w:t>幼儿园、中小学等场所的栏杆高度应符合相应专项规范要求。</w:t>
      </w:r>
    </w:p>
    <w:p w14:paraId="38BB403C">
      <w:pPr>
        <w:bidi w:val="0"/>
        <w:rPr>
          <w:rFonts w:hint="eastAsia"/>
          <w:lang w:val="en-US" w:eastAsia="zh-CN"/>
        </w:rPr>
      </w:pPr>
      <w:r>
        <w:rPr>
          <w:rFonts w:hint="eastAsia"/>
          <w:lang w:val="en-US" w:eastAsia="zh-CN"/>
        </w:rPr>
        <w:t>栏杆垂直杆件间净距不应大于110mm。</w:t>
      </w:r>
    </w:p>
    <w:p w14:paraId="5C746CAB">
      <w:pPr>
        <w:bidi w:val="0"/>
        <w:rPr>
          <w:rFonts w:hint="eastAsia"/>
          <w:lang w:val="en-US" w:eastAsia="zh-CN"/>
        </w:rPr>
      </w:pPr>
      <w:r>
        <w:rPr>
          <w:rFonts w:hint="eastAsia"/>
          <w:lang w:val="en-US" w:eastAsia="zh-CN"/>
        </w:rPr>
        <w:t>栏杆应采用防攀爬构造，不应设置易于攀爬的横向杆件。</w:t>
      </w:r>
    </w:p>
    <w:p w14:paraId="4C61F50A">
      <w:pPr>
        <w:bidi w:val="0"/>
        <w:rPr>
          <w:rFonts w:hint="eastAsia"/>
          <w:lang w:val="en-US" w:eastAsia="zh-CN"/>
        </w:rPr>
      </w:pPr>
      <w:r>
        <w:rPr>
          <w:rFonts w:hint="eastAsia"/>
          <w:lang w:val="en-US" w:eastAsia="zh-CN"/>
        </w:rPr>
        <w:t>栏杆的抗水平荷载性能应符合规范要求：住宅、宿舍、办公楼等场所≥0.5kN/m；学校、食堂、剧场等场所≥1.0kN/m。</w:t>
      </w:r>
    </w:p>
    <w:p w14:paraId="5DA1C646">
      <w:pPr>
        <w:pStyle w:val="4"/>
        <w:bidi w:val="0"/>
        <w:rPr>
          <w:rFonts w:hint="eastAsia"/>
          <w:lang w:val="en-US" w:eastAsia="zh-CN"/>
        </w:rPr>
      </w:pPr>
      <w:r>
        <w:rPr>
          <w:rFonts w:hint="eastAsia"/>
          <w:lang w:val="en-US" w:eastAsia="zh-CN"/>
        </w:rPr>
        <w:t xml:space="preserve"> 不锈钢平台栏杆</w:t>
      </w:r>
    </w:p>
    <w:p w14:paraId="7CC6308A">
      <w:pPr>
        <w:pStyle w:val="5"/>
        <w:bidi w:val="0"/>
        <w:rPr>
          <w:rFonts w:hint="eastAsia"/>
          <w:lang w:val="en-US" w:eastAsia="zh-CN"/>
        </w:rPr>
      </w:pPr>
      <w:r>
        <w:rPr>
          <w:rFonts w:hint="eastAsia"/>
          <w:lang w:val="en-US" w:eastAsia="zh-CN"/>
        </w:rPr>
        <w:t xml:space="preserve"> 材质要求</w:t>
      </w:r>
    </w:p>
    <w:p w14:paraId="63DED1AC">
      <w:pPr>
        <w:bidi w:val="0"/>
        <w:rPr>
          <w:rFonts w:hint="eastAsia"/>
          <w:lang w:val="en-US" w:eastAsia="zh-CN"/>
        </w:rPr>
      </w:pPr>
      <w:r>
        <w:rPr>
          <w:rFonts w:hint="eastAsia"/>
          <w:lang w:val="en-US" w:eastAsia="zh-CN"/>
        </w:rPr>
        <w:t>主材：采用304不锈钢管材，扶手采用φ50×1.5mm不锈钢圆管，立杆采用φ38×1.2mm不锈钢圆管，横杆采用φ32×1.2mm不锈钢圆管（具体规格按设计图纸）。</w:t>
      </w:r>
    </w:p>
    <w:p w14:paraId="6DF90C63">
      <w:pPr>
        <w:bidi w:val="0"/>
        <w:rPr>
          <w:rFonts w:hint="eastAsia"/>
          <w:lang w:val="en-US" w:eastAsia="zh-CN"/>
        </w:rPr>
      </w:pPr>
      <w:r>
        <w:rPr>
          <w:rFonts w:hint="eastAsia"/>
          <w:lang w:val="en-US" w:eastAsia="zh-CN"/>
        </w:rPr>
        <w:t>预埋件及连接件：采用镀锌钢板或不锈钢板，膨胀螺栓采用不锈钢材质。</w:t>
      </w:r>
    </w:p>
    <w:p w14:paraId="18C3786A">
      <w:pPr>
        <w:pStyle w:val="5"/>
        <w:bidi w:val="0"/>
        <w:rPr>
          <w:rFonts w:hint="eastAsia"/>
          <w:lang w:val="en-US" w:eastAsia="zh-CN"/>
        </w:rPr>
      </w:pPr>
      <w:r>
        <w:rPr>
          <w:rFonts w:hint="eastAsia"/>
          <w:lang w:val="en-US" w:eastAsia="zh-CN"/>
        </w:rPr>
        <w:t xml:space="preserve"> 制作要求</w:t>
      </w:r>
    </w:p>
    <w:p w14:paraId="025227BA">
      <w:pPr>
        <w:bidi w:val="0"/>
        <w:rPr>
          <w:rFonts w:hint="eastAsia"/>
          <w:lang w:val="en-US" w:eastAsia="zh-CN"/>
        </w:rPr>
      </w:pPr>
      <w:r>
        <w:rPr>
          <w:rFonts w:hint="eastAsia"/>
          <w:lang w:val="en-US" w:eastAsia="zh-CN"/>
        </w:rPr>
        <w:t>按图集标准样式制作，参考22J403-1 PB33/3-45样式施工。</w:t>
      </w:r>
    </w:p>
    <w:p w14:paraId="659C8F8E">
      <w:pPr>
        <w:bidi w:val="0"/>
        <w:rPr>
          <w:rFonts w:hint="eastAsia"/>
          <w:lang w:val="en-US" w:eastAsia="zh-CN"/>
        </w:rPr>
      </w:pPr>
      <w:r>
        <w:rPr>
          <w:rFonts w:hint="eastAsia"/>
          <w:lang w:val="en-US" w:eastAsia="zh-CN"/>
        </w:rPr>
        <w:t>管材切割面平整，角度准确。</w:t>
      </w:r>
    </w:p>
    <w:p w14:paraId="1DED9BD1">
      <w:pPr>
        <w:bidi w:val="0"/>
        <w:rPr>
          <w:rFonts w:hint="eastAsia"/>
          <w:lang w:val="en-US" w:eastAsia="zh-CN"/>
        </w:rPr>
      </w:pPr>
      <w:r>
        <w:rPr>
          <w:rFonts w:hint="eastAsia"/>
          <w:lang w:val="en-US" w:eastAsia="zh-CN"/>
        </w:rPr>
        <w:t>焊接采用氩弧焊，焊缝饱满、平整，无气孔、裂纹、夹渣等缺陷。</w:t>
      </w:r>
    </w:p>
    <w:p w14:paraId="400111CA">
      <w:pPr>
        <w:bidi w:val="0"/>
        <w:rPr>
          <w:rFonts w:hint="eastAsia"/>
          <w:lang w:val="en-US" w:eastAsia="zh-CN"/>
        </w:rPr>
      </w:pPr>
      <w:r>
        <w:rPr>
          <w:rFonts w:hint="eastAsia"/>
          <w:lang w:val="en-US" w:eastAsia="zh-CN"/>
        </w:rPr>
        <w:t>焊接完成后进行打磨抛光处理，表面光洁，无明显焊接痕迹。</w:t>
      </w:r>
    </w:p>
    <w:p w14:paraId="01F0782F">
      <w:pPr>
        <w:bidi w:val="0"/>
        <w:rPr>
          <w:rFonts w:hint="eastAsia"/>
          <w:lang w:val="en-US" w:eastAsia="zh-CN"/>
        </w:rPr>
      </w:pPr>
      <w:r>
        <w:rPr>
          <w:rFonts w:hint="eastAsia"/>
          <w:lang w:val="en-US" w:eastAsia="zh-CN"/>
        </w:rPr>
        <w:t>栏杆高度：1.15m（或按设计要求）。</w:t>
      </w:r>
    </w:p>
    <w:p w14:paraId="3436FC32">
      <w:pPr>
        <w:pStyle w:val="5"/>
        <w:bidi w:val="0"/>
        <w:rPr>
          <w:rFonts w:hint="eastAsia"/>
          <w:lang w:val="en-US" w:eastAsia="zh-CN"/>
        </w:rPr>
      </w:pPr>
      <w:r>
        <w:rPr>
          <w:rFonts w:hint="eastAsia"/>
          <w:lang w:val="en-US" w:eastAsia="zh-CN"/>
        </w:rPr>
        <w:t>安装要求</w:t>
      </w:r>
    </w:p>
    <w:p w14:paraId="339B4922">
      <w:pPr>
        <w:bidi w:val="0"/>
        <w:rPr>
          <w:rFonts w:hint="eastAsia"/>
          <w:lang w:val="en-US" w:eastAsia="zh-CN"/>
        </w:rPr>
      </w:pPr>
      <w:r>
        <w:rPr>
          <w:rFonts w:hint="eastAsia"/>
          <w:lang w:val="en-US" w:eastAsia="zh-CN"/>
        </w:rPr>
        <w:t>预埋件安装位置准确，锚固牢固。</w:t>
      </w:r>
    </w:p>
    <w:p w14:paraId="6295AD5D">
      <w:pPr>
        <w:bidi w:val="0"/>
        <w:rPr>
          <w:rFonts w:hint="eastAsia"/>
          <w:lang w:val="en-US" w:eastAsia="zh-CN"/>
        </w:rPr>
      </w:pPr>
      <w:r>
        <w:rPr>
          <w:rFonts w:hint="eastAsia"/>
          <w:lang w:val="en-US" w:eastAsia="zh-CN"/>
        </w:rPr>
        <w:t>立杆安装垂直，间距均匀，偏差≤2mm。</w:t>
      </w:r>
    </w:p>
    <w:p w14:paraId="171880AA">
      <w:pPr>
        <w:bidi w:val="0"/>
        <w:rPr>
          <w:rFonts w:hint="eastAsia"/>
          <w:lang w:val="en-US" w:eastAsia="zh-CN"/>
        </w:rPr>
      </w:pPr>
      <w:r>
        <w:rPr>
          <w:rFonts w:hint="eastAsia"/>
          <w:lang w:val="en-US" w:eastAsia="zh-CN"/>
        </w:rPr>
        <w:t>扶手安装顺直，坡度与楼梯或平台一致。</w:t>
      </w:r>
    </w:p>
    <w:p w14:paraId="657A2CCF">
      <w:pPr>
        <w:bidi w:val="0"/>
        <w:rPr>
          <w:rFonts w:hint="eastAsia"/>
          <w:lang w:val="en-US" w:eastAsia="zh-CN"/>
        </w:rPr>
      </w:pPr>
      <w:r>
        <w:rPr>
          <w:rFonts w:hint="eastAsia"/>
          <w:lang w:val="en-US" w:eastAsia="zh-CN"/>
        </w:rPr>
        <w:t>所有连接件应牢固可靠，无松动现象。</w:t>
      </w:r>
    </w:p>
    <w:p w14:paraId="382160CF">
      <w:pPr>
        <w:bidi w:val="0"/>
        <w:rPr>
          <w:rFonts w:hint="eastAsia"/>
          <w:lang w:val="en-US" w:eastAsia="zh-CN"/>
        </w:rPr>
      </w:pPr>
      <w:r>
        <w:rPr>
          <w:rFonts w:hint="eastAsia"/>
          <w:lang w:val="en-US" w:eastAsia="zh-CN"/>
        </w:rPr>
        <w:t>安装完成后进行整体清洁，表面无污渍、划痕。</w:t>
      </w:r>
    </w:p>
    <w:p w14:paraId="48FA21F5">
      <w:pPr>
        <w:pStyle w:val="4"/>
        <w:bidi w:val="0"/>
        <w:rPr>
          <w:rFonts w:hint="eastAsia"/>
          <w:lang w:val="en-US" w:eastAsia="zh-CN"/>
        </w:rPr>
      </w:pPr>
      <w:r>
        <w:rPr>
          <w:rFonts w:hint="eastAsia"/>
          <w:lang w:val="en-US" w:eastAsia="zh-CN"/>
        </w:rPr>
        <w:t>不锈钢玻璃栏杆</w:t>
      </w:r>
    </w:p>
    <w:p w14:paraId="4734F0F0">
      <w:pPr>
        <w:pStyle w:val="5"/>
        <w:bidi w:val="0"/>
        <w:rPr>
          <w:rFonts w:hint="eastAsia"/>
          <w:lang w:val="en-US" w:eastAsia="zh-CN"/>
        </w:rPr>
      </w:pPr>
      <w:r>
        <w:rPr>
          <w:rFonts w:hint="eastAsia"/>
          <w:lang w:val="en-US" w:eastAsia="zh-CN"/>
        </w:rPr>
        <w:t xml:space="preserve"> 材质要求</w:t>
      </w:r>
    </w:p>
    <w:p w14:paraId="21881718">
      <w:pPr>
        <w:bidi w:val="0"/>
        <w:rPr>
          <w:rFonts w:hint="eastAsia"/>
          <w:lang w:val="en-US" w:eastAsia="zh-CN"/>
        </w:rPr>
      </w:pPr>
      <w:r>
        <w:rPr>
          <w:rFonts w:hint="eastAsia"/>
          <w:lang w:val="en-US" w:eastAsia="zh-CN"/>
        </w:rPr>
        <w:t>不锈钢型材：采用304不锈钢，扶手、立柱规格按设计要求。</w:t>
      </w:r>
    </w:p>
    <w:p w14:paraId="6525206A">
      <w:pPr>
        <w:bidi w:val="0"/>
        <w:rPr>
          <w:rFonts w:hint="eastAsia"/>
          <w:lang w:val="en-US" w:eastAsia="zh-CN"/>
        </w:rPr>
      </w:pPr>
      <w:r>
        <w:rPr>
          <w:rFonts w:hint="eastAsia"/>
          <w:lang w:val="en-US" w:eastAsia="zh-CN"/>
        </w:rPr>
        <w:t>玻璃：采用钢化夹胶玻璃，厚度不小于12mm（6+0.76PVB+6），玻璃边缘应进行磨边处理。</w:t>
      </w:r>
    </w:p>
    <w:p w14:paraId="6D87392A">
      <w:pPr>
        <w:bidi w:val="0"/>
        <w:rPr>
          <w:rFonts w:hint="eastAsia"/>
          <w:lang w:val="en-US" w:eastAsia="zh-CN"/>
        </w:rPr>
      </w:pPr>
      <w:r>
        <w:rPr>
          <w:rFonts w:hint="eastAsia"/>
          <w:lang w:val="en-US" w:eastAsia="zh-CN"/>
        </w:rPr>
        <w:t>五金配件：玻璃夹具、封口配件等全套配件采用不锈钢材质。</w:t>
      </w:r>
    </w:p>
    <w:p w14:paraId="00209D9B">
      <w:pPr>
        <w:pStyle w:val="5"/>
        <w:bidi w:val="0"/>
        <w:rPr>
          <w:rFonts w:hint="eastAsia"/>
          <w:lang w:val="en-US" w:eastAsia="zh-CN"/>
        </w:rPr>
      </w:pPr>
      <w:r>
        <w:rPr>
          <w:rFonts w:hint="eastAsia"/>
          <w:lang w:val="en-US" w:eastAsia="zh-CN"/>
        </w:rPr>
        <w:t>制作要求</w:t>
      </w:r>
    </w:p>
    <w:p w14:paraId="6927C2CB">
      <w:pPr>
        <w:bidi w:val="0"/>
        <w:rPr>
          <w:rFonts w:hint="eastAsia"/>
          <w:lang w:val="en-US" w:eastAsia="zh-CN"/>
        </w:rPr>
      </w:pPr>
      <w:r>
        <w:rPr>
          <w:rFonts w:hint="eastAsia"/>
          <w:lang w:val="en-US" w:eastAsia="zh-CN"/>
        </w:rPr>
        <w:t>按图集标准样式制作，参照22J403-1图集3-55样式施工。</w:t>
      </w:r>
    </w:p>
    <w:p w14:paraId="111E25C0">
      <w:pPr>
        <w:bidi w:val="0"/>
        <w:rPr>
          <w:rFonts w:hint="eastAsia"/>
          <w:lang w:val="en-US" w:eastAsia="zh-CN"/>
        </w:rPr>
      </w:pPr>
      <w:r>
        <w:rPr>
          <w:rFonts w:hint="eastAsia"/>
          <w:lang w:val="en-US" w:eastAsia="zh-CN"/>
        </w:rPr>
        <w:t>栏杆高度：1.3m（或按设计要求）。</w:t>
      </w:r>
    </w:p>
    <w:p w14:paraId="3066336F">
      <w:pPr>
        <w:bidi w:val="0"/>
        <w:rPr>
          <w:rFonts w:hint="eastAsia"/>
          <w:lang w:val="en-US" w:eastAsia="zh-CN"/>
        </w:rPr>
      </w:pPr>
      <w:r>
        <w:rPr>
          <w:rFonts w:hint="eastAsia"/>
          <w:lang w:val="en-US" w:eastAsia="zh-CN"/>
        </w:rPr>
        <w:t>不锈钢构件表面抛光处理，光洁度符合要求。</w:t>
      </w:r>
    </w:p>
    <w:p w14:paraId="6CED5ACE">
      <w:pPr>
        <w:bidi w:val="0"/>
        <w:rPr>
          <w:rFonts w:hint="eastAsia"/>
          <w:lang w:val="en-US" w:eastAsia="zh-CN"/>
        </w:rPr>
      </w:pPr>
      <w:r>
        <w:rPr>
          <w:rFonts w:hint="eastAsia"/>
          <w:lang w:val="en-US" w:eastAsia="zh-CN"/>
        </w:rPr>
        <w:t>玻璃尺寸准确，边缘打磨光滑，无崩边、缺角。</w:t>
      </w:r>
    </w:p>
    <w:p w14:paraId="1C4824F3">
      <w:pPr>
        <w:pStyle w:val="5"/>
        <w:bidi w:val="0"/>
        <w:rPr>
          <w:rFonts w:hint="eastAsia"/>
          <w:lang w:val="en-US" w:eastAsia="zh-CN"/>
        </w:rPr>
      </w:pPr>
      <w:r>
        <w:rPr>
          <w:rFonts w:hint="eastAsia"/>
          <w:lang w:val="en-US" w:eastAsia="zh-CN"/>
        </w:rPr>
        <w:t>安装要求</w:t>
      </w:r>
    </w:p>
    <w:p w14:paraId="1D9068A3">
      <w:pPr>
        <w:bidi w:val="0"/>
        <w:rPr>
          <w:rFonts w:hint="eastAsia"/>
          <w:lang w:val="en-US" w:eastAsia="zh-CN"/>
        </w:rPr>
      </w:pPr>
      <w:r>
        <w:rPr>
          <w:rFonts w:hint="eastAsia"/>
          <w:lang w:val="en-US" w:eastAsia="zh-CN"/>
        </w:rPr>
        <w:t>立柱安装牢固，垂直度符合要求。</w:t>
      </w:r>
    </w:p>
    <w:p w14:paraId="7C71D79D">
      <w:pPr>
        <w:bidi w:val="0"/>
        <w:rPr>
          <w:rFonts w:hint="eastAsia"/>
          <w:lang w:val="en-US" w:eastAsia="zh-CN"/>
        </w:rPr>
      </w:pPr>
      <w:r>
        <w:rPr>
          <w:rFonts w:hint="eastAsia"/>
          <w:lang w:val="en-US" w:eastAsia="zh-CN"/>
        </w:rPr>
        <w:t>玻璃安装应设置弹性垫块，夹具固定牢固，玻璃受力均匀。</w:t>
      </w:r>
    </w:p>
    <w:p w14:paraId="1C539BA3">
      <w:pPr>
        <w:bidi w:val="0"/>
        <w:rPr>
          <w:rFonts w:hint="eastAsia"/>
          <w:lang w:val="en-US" w:eastAsia="zh-CN"/>
        </w:rPr>
      </w:pPr>
      <w:r>
        <w:rPr>
          <w:rFonts w:hint="eastAsia"/>
          <w:lang w:val="en-US" w:eastAsia="zh-CN"/>
        </w:rPr>
        <w:t>玻璃与玻璃、玻璃与型材之间的缝隙应均匀，打胶密封。</w:t>
      </w:r>
    </w:p>
    <w:p w14:paraId="6720123F">
      <w:pPr>
        <w:bidi w:val="0"/>
        <w:rPr>
          <w:rFonts w:hint="eastAsia"/>
          <w:lang w:val="en-US" w:eastAsia="zh-CN"/>
        </w:rPr>
      </w:pPr>
      <w:r>
        <w:rPr>
          <w:rFonts w:hint="eastAsia"/>
          <w:lang w:val="en-US" w:eastAsia="zh-CN"/>
        </w:rPr>
        <w:t>扶手安装顺直，与立柱连接牢固。</w:t>
      </w:r>
    </w:p>
    <w:p w14:paraId="6D38DA76">
      <w:pPr>
        <w:pStyle w:val="4"/>
        <w:bidi w:val="0"/>
        <w:rPr>
          <w:rFonts w:hint="eastAsia"/>
          <w:lang w:val="en-US" w:eastAsia="zh-CN"/>
        </w:rPr>
      </w:pPr>
      <w:r>
        <w:rPr>
          <w:rFonts w:hint="eastAsia"/>
          <w:lang w:val="en-US" w:eastAsia="zh-CN"/>
        </w:rPr>
        <w:t>楼梯不锈钢栏杆</w:t>
      </w:r>
    </w:p>
    <w:p w14:paraId="7A735EAC">
      <w:pPr>
        <w:pStyle w:val="5"/>
        <w:bidi w:val="0"/>
        <w:rPr>
          <w:rFonts w:hint="eastAsia"/>
          <w:lang w:val="en-US" w:eastAsia="zh-CN"/>
        </w:rPr>
      </w:pPr>
      <w:r>
        <w:rPr>
          <w:rFonts w:hint="eastAsia"/>
          <w:lang w:val="en-US" w:eastAsia="zh-CN"/>
        </w:rPr>
        <w:t>材质要求</w:t>
      </w:r>
    </w:p>
    <w:p w14:paraId="7AC6D6DE">
      <w:pPr>
        <w:bidi w:val="0"/>
        <w:rPr>
          <w:rFonts w:hint="eastAsia"/>
          <w:lang w:val="en-US" w:eastAsia="zh-CN"/>
        </w:rPr>
      </w:pPr>
      <w:r>
        <w:rPr>
          <w:rFonts w:hint="eastAsia"/>
          <w:lang w:val="en-US" w:eastAsia="zh-CN"/>
        </w:rPr>
        <w:t>采用304不锈钢管材，规格按设计及图集要求。</w:t>
      </w:r>
    </w:p>
    <w:p w14:paraId="10EC0A93">
      <w:pPr>
        <w:bidi w:val="0"/>
        <w:rPr>
          <w:rFonts w:hint="eastAsia"/>
          <w:lang w:val="en-US" w:eastAsia="zh-CN"/>
        </w:rPr>
      </w:pPr>
      <w:r>
        <w:rPr>
          <w:rFonts w:hint="eastAsia"/>
          <w:lang w:val="en-US" w:eastAsia="zh-CN"/>
        </w:rPr>
        <w:t>参考图集：20ZJ401 /30、2W/30、4/30样式。</w:t>
      </w:r>
    </w:p>
    <w:p w14:paraId="5E8851B6">
      <w:pPr>
        <w:pStyle w:val="5"/>
        <w:bidi w:val="0"/>
        <w:rPr>
          <w:rFonts w:hint="eastAsia"/>
          <w:lang w:val="en-US" w:eastAsia="zh-CN"/>
        </w:rPr>
      </w:pPr>
      <w:r>
        <w:rPr>
          <w:rFonts w:hint="eastAsia"/>
          <w:lang w:val="en-US" w:eastAsia="zh-CN"/>
        </w:rPr>
        <w:t>制作与安装要求</w:t>
      </w:r>
    </w:p>
    <w:p w14:paraId="22949FA6">
      <w:pPr>
        <w:bidi w:val="0"/>
        <w:rPr>
          <w:rFonts w:hint="eastAsia"/>
          <w:lang w:val="en-US" w:eastAsia="zh-CN"/>
        </w:rPr>
      </w:pPr>
      <w:r>
        <w:rPr>
          <w:rFonts w:hint="eastAsia"/>
          <w:lang w:val="en-US" w:eastAsia="zh-CN"/>
        </w:rPr>
        <w:t>楼梯栏杆扶手的高度自踏步前缘线量起净高不小于900mm。</w:t>
      </w:r>
    </w:p>
    <w:p w14:paraId="7B8A0DD7">
      <w:pPr>
        <w:bidi w:val="0"/>
        <w:rPr>
          <w:rFonts w:hint="eastAsia"/>
          <w:lang w:val="en-US" w:eastAsia="zh-CN"/>
        </w:rPr>
      </w:pPr>
      <w:r>
        <w:rPr>
          <w:rFonts w:hint="eastAsia"/>
          <w:lang w:val="en-US" w:eastAsia="zh-CN"/>
        </w:rPr>
        <w:t>水平段长度超过500mm时，栏杆净高度不小于1100mm。</w:t>
      </w:r>
    </w:p>
    <w:p w14:paraId="129002A3">
      <w:pPr>
        <w:bidi w:val="0"/>
        <w:rPr>
          <w:rFonts w:hint="eastAsia"/>
          <w:lang w:val="en-US" w:eastAsia="zh-CN"/>
        </w:rPr>
      </w:pPr>
      <w:r>
        <w:rPr>
          <w:rFonts w:hint="eastAsia"/>
          <w:lang w:val="en-US" w:eastAsia="zh-CN"/>
        </w:rPr>
        <w:t>临空栏杆高度1100mm。</w:t>
      </w:r>
    </w:p>
    <w:p w14:paraId="766DF88A">
      <w:pPr>
        <w:bidi w:val="0"/>
        <w:rPr>
          <w:rFonts w:hint="eastAsia"/>
          <w:lang w:val="en-US" w:eastAsia="zh-CN"/>
        </w:rPr>
      </w:pPr>
      <w:r>
        <w:rPr>
          <w:rFonts w:hint="eastAsia"/>
          <w:lang w:val="en-US" w:eastAsia="zh-CN"/>
        </w:rPr>
        <w:t>栏杆坡度与楼梯坡度一致，扶手顺直，转弯处过渡自然。</w:t>
      </w:r>
    </w:p>
    <w:p w14:paraId="7F0126C9">
      <w:pPr>
        <w:bidi w:val="0"/>
        <w:rPr>
          <w:rFonts w:hint="eastAsia"/>
          <w:lang w:val="en-US" w:eastAsia="zh-CN"/>
        </w:rPr>
      </w:pPr>
      <w:r>
        <w:rPr>
          <w:rFonts w:hint="eastAsia"/>
          <w:lang w:val="en-US" w:eastAsia="zh-CN"/>
        </w:rPr>
        <w:t>立杆间距均匀，垂直杆件间净距不大于110mm。</w:t>
      </w:r>
    </w:p>
    <w:p w14:paraId="551DB4E3">
      <w:pPr>
        <w:pStyle w:val="4"/>
        <w:bidi w:val="0"/>
        <w:rPr>
          <w:rFonts w:hint="eastAsia"/>
          <w:lang w:val="en-US" w:eastAsia="zh-CN"/>
        </w:rPr>
      </w:pPr>
      <w:r>
        <w:rPr>
          <w:rFonts w:hint="eastAsia"/>
          <w:lang w:val="en-US" w:eastAsia="zh-CN"/>
        </w:rPr>
        <w:t>靠墙式楼梯栏杆</w:t>
      </w:r>
    </w:p>
    <w:p w14:paraId="08D09E52">
      <w:pPr>
        <w:pStyle w:val="5"/>
        <w:bidi w:val="0"/>
        <w:rPr>
          <w:rFonts w:hint="eastAsia"/>
          <w:lang w:val="en-US" w:eastAsia="zh-CN"/>
        </w:rPr>
      </w:pPr>
      <w:r>
        <w:rPr>
          <w:rFonts w:hint="eastAsia"/>
          <w:lang w:val="en-US" w:eastAsia="zh-CN"/>
        </w:rPr>
        <w:t>材质要求</w:t>
      </w:r>
    </w:p>
    <w:p w14:paraId="671D8527">
      <w:pPr>
        <w:bidi w:val="0"/>
        <w:rPr>
          <w:rFonts w:hint="eastAsia"/>
          <w:lang w:val="en-US" w:eastAsia="zh-CN"/>
        </w:rPr>
      </w:pPr>
      <w:r>
        <w:rPr>
          <w:rFonts w:hint="eastAsia"/>
          <w:lang w:val="en-US" w:eastAsia="zh-CN"/>
        </w:rPr>
        <w:t>采用不锈钢或型钢材质（按设计），成品加工制作。</w:t>
      </w:r>
    </w:p>
    <w:p w14:paraId="661146D0">
      <w:pPr>
        <w:bidi w:val="0"/>
        <w:rPr>
          <w:rFonts w:hint="eastAsia"/>
          <w:lang w:val="en-US" w:eastAsia="zh-CN"/>
        </w:rPr>
      </w:pPr>
      <w:r>
        <w:rPr>
          <w:rFonts w:hint="eastAsia"/>
          <w:lang w:val="en-US" w:eastAsia="zh-CN"/>
        </w:rPr>
        <w:t>参考图集：20ZJ401第L4/56页标准图集。</w:t>
      </w:r>
    </w:p>
    <w:p w14:paraId="77A811B1">
      <w:pPr>
        <w:pStyle w:val="5"/>
        <w:bidi w:val="0"/>
        <w:rPr>
          <w:rFonts w:hint="eastAsia"/>
          <w:lang w:val="en-US" w:eastAsia="zh-CN"/>
        </w:rPr>
      </w:pPr>
      <w:r>
        <w:rPr>
          <w:rFonts w:hint="eastAsia"/>
          <w:lang w:val="en-US" w:eastAsia="zh-CN"/>
        </w:rPr>
        <w:t xml:space="preserve"> 制作与安装要求</w:t>
      </w:r>
    </w:p>
    <w:p w14:paraId="546961A3">
      <w:pPr>
        <w:bidi w:val="0"/>
        <w:rPr>
          <w:rFonts w:hint="eastAsia"/>
          <w:lang w:val="en-US" w:eastAsia="zh-CN"/>
        </w:rPr>
      </w:pPr>
      <w:r>
        <w:rPr>
          <w:rFonts w:hint="eastAsia"/>
          <w:lang w:val="en-US" w:eastAsia="zh-CN"/>
        </w:rPr>
        <w:t>扶手安装高度符合设计及规范要求。</w:t>
      </w:r>
    </w:p>
    <w:p w14:paraId="0D75C98F">
      <w:pPr>
        <w:bidi w:val="0"/>
        <w:rPr>
          <w:rFonts w:hint="eastAsia"/>
          <w:lang w:val="en-US" w:eastAsia="zh-CN"/>
        </w:rPr>
      </w:pPr>
      <w:r>
        <w:rPr>
          <w:rFonts w:hint="eastAsia"/>
          <w:lang w:val="en-US" w:eastAsia="zh-CN"/>
        </w:rPr>
        <w:t>固定支架间距均匀，安装牢固。</w:t>
      </w:r>
    </w:p>
    <w:p w14:paraId="24A60B1F">
      <w:pPr>
        <w:bidi w:val="0"/>
        <w:rPr>
          <w:rFonts w:hint="eastAsia"/>
          <w:lang w:val="en-US" w:eastAsia="zh-CN"/>
        </w:rPr>
      </w:pPr>
      <w:r>
        <w:rPr>
          <w:rFonts w:hint="eastAsia"/>
          <w:lang w:val="en-US" w:eastAsia="zh-CN"/>
        </w:rPr>
        <w:t>扶手顺直，与墙面平行，距离墙面尺寸一致。</w:t>
      </w:r>
    </w:p>
    <w:p w14:paraId="75A291B9">
      <w:pPr>
        <w:bidi w:val="0"/>
        <w:rPr>
          <w:rFonts w:hint="eastAsia"/>
          <w:lang w:val="en-US" w:eastAsia="zh-CN"/>
        </w:rPr>
      </w:pPr>
      <w:r>
        <w:rPr>
          <w:rFonts w:hint="eastAsia"/>
          <w:lang w:val="en-US" w:eastAsia="zh-CN"/>
        </w:rPr>
        <w:t>表面处理光滑，无毛刺、尖角。</w:t>
      </w:r>
    </w:p>
    <w:p w14:paraId="7191F1B8">
      <w:pPr>
        <w:pStyle w:val="4"/>
        <w:bidi w:val="0"/>
        <w:rPr>
          <w:rFonts w:hint="eastAsia"/>
          <w:lang w:val="en-US" w:eastAsia="zh-CN"/>
        </w:rPr>
      </w:pPr>
      <w:r>
        <w:rPr>
          <w:rFonts w:hint="eastAsia"/>
          <w:lang w:val="en-US" w:eastAsia="zh-CN"/>
        </w:rPr>
        <w:t xml:space="preserve"> 不锈钢栏杆加高</w:t>
      </w:r>
    </w:p>
    <w:p w14:paraId="74F0BE2B">
      <w:pPr>
        <w:pStyle w:val="5"/>
        <w:bidi w:val="0"/>
        <w:rPr>
          <w:rFonts w:hint="eastAsia"/>
          <w:lang w:val="en-US" w:eastAsia="zh-CN"/>
        </w:rPr>
      </w:pPr>
      <w:r>
        <w:rPr>
          <w:rFonts w:hint="eastAsia"/>
          <w:lang w:val="en-US" w:eastAsia="zh-CN"/>
        </w:rPr>
        <w:t>材质要求</w:t>
      </w:r>
    </w:p>
    <w:p w14:paraId="604C3D41">
      <w:pPr>
        <w:bidi w:val="0"/>
        <w:rPr>
          <w:rFonts w:hint="eastAsia"/>
          <w:lang w:val="en-US" w:eastAsia="zh-CN"/>
        </w:rPr>
      </w:pPr>
      <w:r>
        <w:rPr>
          <w:rFonts w:hint="eastAsia"/>
          <w:lang w:val="en-US" w:eastAsia="zh-CN"/>
        </w:rPr>
        <w:t>扶手：φ50钢管，壁厚3.0mm。</w:t>
      </w:r>
    </w:p>
    <w:p w14:paraId="0C403BF5">
      <w:pPr>
        <w:bidi w:val="0"/>
        <w:rPr>
          <w:rFonts w:hint="eastAsia"/>
          <w:lang w:val="en-US" w:eastAsia="zh-CN"/>
        </w:rPr>
      </w:pPr>
      <w:r>
        <w:rPr>
          <w:rFonts w:hint="eastAsia"/>
          <w:lang w:val="en-US" w:eastAsia="zh-CN"/>
        </w:rPr>
        <w:t>立杆：30×30mm方形钢管，壁厚2.0mm。</w:t>
      </w:r>
    </w:p>
    <w:p w14:paraId="5B8787EB">
      <w:pPr>
        <w:bidi w:val="0"/>
        <w:rPr>
          <w:rFonts w:hint="eastAsia"/>
          <w:lang w:val="en-US" w:eastAsia="zh-CN"/>
        </w:rPr>
      </w:pPr>
      <w:r>
        <w:rPr>
          <w:rFonts w:hint="eastAsia"/>
          <w:lang w:val="en-US" w:eastAsia="zh-CN"/>
        </w:rPr>
        <w:t>横杆：20×20mm方形钢管，壁厚1.5mm。</w:t>
      </w:r>
    </w:p>
    <w:p w14:paraId="1CFA0FB8">
      <w:pPr>
        <w:bidi w:val="0"/>
        <w:rPr>
          <w:rFonts w:hint="eastAsia"/>
          <w:lang w:val="en-US" w:eastAsia="zh-CN"/>
        </w:rPr>
      </w:pPr>
      <w:r>
        <w:rPr>
          <w:rFonts w:hint="eastAsia"/>
          <w:lang w:val="en-US" w:eastAsia="zh-CN"/>
        </w:rPr>
        <w:t>材质：采用304不锈钢或按设计要求。</w:t>
      </w:r>
    </w:p>
    <w:p w14:paraId="1E616E1C">
      <w:pPr>
        <w:pStyle w:val="5"/>
        <w:bidi w:val="0"/>
        <w:rPr>
          <w:rFonts w:hint="eastAsia"/>
          <w:lang w:val="en-US" w:eastAsia="zh-CN"/>
        </w:rPr>
      </w:pPr>
      <w:r>
        <w:rPr>
          <w:rFonts w:hint="eastAsia"/>
          <w:lang w:val="en-US" w:eastAsia="zh-CN"/>
        </w:rPr>
        <w:t>制作与安装要求</w:t>
      </w:r>
    </w:p>
    <w:p w14:paraId="3DBC0E34">
      <w:pPr>
        <w:bidi w:val="0"/>
        <w:rPr>
          <w:rFonts w:hint="eastAsia"/>
          <w:lang w:val="en-US" w:eastAsia="zh-CN"/>
        </w:rPr>
      </w:pPr>
      <w:r>
        <w:rPr>
          <w:rFonts w:hint="eastAsia"/>
          <w:lang w:val="en-US" w:eastAsia="zh-CN"/>
        </w:rPr>
        <w:t>加高部分应与原有栏杆风格协调统一。</w:t>
      </w:r>
    </w:p>
    <w:p w14:paraId="00001170">
      <w:pPr>
        <w:bidi w:val="0"/>
        <w:rPr>
          <w:rFonts w:hint="eastAsia"/>
          <w:lang w:val="en-US" w:eastAsia="zh-CN"/>
        </w:rPr>
      </w:pPr>
      <w:r>
        <w:rPr>
          <w:rFonts w:hint="eastAsia"/>
          <w:lang w:val="en-US" w:eastAsia="zh-CN"/>
        </w:rPr>
        <w:t>按图纸位置、规格、数量预埋固定件，预埋位置准确、锚固牢固，与墙体结合密实。</w:t>
      </w:r>
    </w:p>
    <w:p w14:paraId="78115F1D">
      <w:pPr>
        <w:bidi w:val="0"/>
        <w:rPr>
          <w:rFonts w:hint="eastAsia"/>
          <w:lang w:val="en-US" w:eastAsia="zh-CN"/>
        </w:rPr>
      </w:pPr>
      <w:r>
        <w:rPr>
          <w:rFonts w:hint="eastAsia"/>
          <w:lang w:val="en-US" w:eastAsia="zh-CN"/>
        </w:rPr>
        <w:t>加高高度：600mm（或按设计要求）。</w:t>
      </w:r>
    </w:p>
    <w:p w14:paraId="45111388">
      <w:pPr>
        <w:bidi w:val="0"/>
        <w:rPr>
          <w:rFonts w:hint="eastAsia"/>
          <w:lang w:val="en-US" w:eastAsia="zh-CN"/>
        </w:rPr>
      </w:pPr>
      <w:r>
        <w:rPr>
          <w:rFonts w:hint="eastAsia"/>
          <w:lang w:val="en-US" w:eastAsia="zh-CN"/>
        </w:rPr>
        <w:t>焊接牢固，打磨抛光，表面处理与原有栏杆一致。</w:t>
      </w:r>
    </w:p>
    <w:p w14:paraId="29A8AD43">
      <w:pPr>
        <w:bidi w:val="0"/>
        <w:rPr>
          <w:rFonts w:hint="eastAsia"/>
          <w:lang w:val="en-US" w:eastAsia="zh-CN"/>
        </w:rPr>
      </w:pPr>
      <w:r>
        <w:rPr>
          <w:rFonts w:hint="eastAsia"/>
          <w:lang w:val="en-US" w:eastAsia="zh-CN"/>
        </w:rPr>
        <w:t>整体栏杆高度满足规范要求的防护高度。</w:t>
      </w:r>
    </w:p>
    <w:p w14:paraId="65993A3A">
      <w:pPr>
        <w:pStyle w:val="2"/>
        <w:bidi w:val="0"/>
        <w:rPr>
          <w:rFonts w:hint="eastAsia"/>
          <w:lang w:val="en-US" w:eastAsia="zh-CN"/>
        </w:rPr>
      </w:pPr>
      <w:r>
        <w:rPr>
          <w:rFonts w:hint="eastAsia"/>
          <w:lang w:val="en-US" w:eastAsia="zh-CN"/>
        </w:rPr>
        <w:t>材料要求</w:t>
      </w:r>
    </w:p>
    <w:p w14:paraId="61E36CEE">
      <w:pPr>
        <w:pStyle w:val="4"/>
        <w:bidi w:val="0"/>
        <w:rPr>
          <w:rFonts w:hint="eastAsia"/>
          <w:lang w:val="en-US" w:eastAsia="zh-CN"/>
        </w:rPr>
      </w:pPr>
      <w:r>
        <w:rPr>
          <w:rFonts w:hint="eastAsia"/>
          <w:lang w:val="en-US" w:eastAsia="zh-CN"/>
        </w:rPr>
        <w:t>一般要求</w:t>
      </w:r>
    </w:p>
    <w:p w14:paraId="397A99A9">
      <w:pPr>
        <w:bidi w:val="0"/>
        <w:rPr>
          <w:rFonts w:hint="eastAsia"/>
          <w:lang w:val="en-US" w:eastAsia="zh-CN"/>
        </w:rPr>
      </w:pPr>
      <w:r>
        <w:rPr>
          <w:rFonts w:hint="eastAsia"/>
          <w:lang w:val="en-US" w:eastAsia="zh-CN"/>
        </w:rPr>
        <w:t>所有材料必须符合国家现行标准及设计要求，具有出厂合格证、性能检测报告等质量证明文件。</w:t>
      </w:r>
    </w:p>
    <w:p w14:paraId="63A6F640">
      <w:pPr>
        <w:bidi w:val="0"/>
        <w:rPr>
          <w:rFonts w:hint="eastAsia"/>
          <w:lang w:val="en-US" w:eastAsia="zh-CN"/>
        </w:rPr>
      </w:pPr>
      <w:r>
        <w:rPr>
          <w:rFonts w:hint="eastAsia"/>
          <w:lang w:val="en-US" w:eastAsia="zh-CN"/>
        </w:rPr>
        <w:t>材料进场时必须报监理及甲方验收，验收合格后方可使用。</w:t>
      </w:r>
    </w:p>
    <w:p w14:paraId="53BAE320">
      <w:pPr>
        <w:bidi w:val="0"/>
        <w:rPr>
          <w:rFonts w:hint="eastAsia"/>
          <w:lang w:val="en-US" w:eastAsia="zh-CN"/>
        </w:rPr>
      </w:pPr>
      <w:r>
        <w:rPr>
          <w:rFonts w:hint="eastAsia"/>
          <w:lang w:val="en-US" w:eastAsia="zh-CN"/>
        </w:rPr>
        <w:t>涉及安全及使用功能的材料必须按规定进行见证取样送检。</w:t>
      </w:r>
    </w:p>
    <w:p w14:paraId="3DAFDA1B">
      <w:pPr>
        <w:bidi w:val="0"/>
        <w:rPr>
          <w:rFonts w:hint="eastAsia"/>
          <w:lang w:val="en-US" w:eastAsia="zh-CN"/>
        </w:rPr>
      </w:pPr>
      <w:r>
        <w:rPr>
          <w:rFonts w:hint="eastAsia"/>
          <w:lang w:val="en-US" w:eastAsia="zh-CN"/>
        </w:rPr>
        <w:t>所有材料的品牌、规格、型号、颜色必须符合设计及甲方要求。</w:t>
      </w:r>
    </w:p>
    <w:p w14:paraId="29E141C4">
      <w:pPr>
        <w:pStyle w:val="4"/>
        <w:bidi w:val="0"/>
        <w:rPr>
          <w:rFonts w:hint="eastAsia"/>
          <w:lang w:val="en-US" w:eastAsia="zh-CN"/>
        </w:rPr>
      </w:pPr>
      <w:r>
        <w:rPr>
          <w:rFonts w:hint="eastAsia"/>
          <w:lang w:val="en-US" w:eastAsia="zh-CN"/>
        </w:rPr>
        <w:t xml:space="preserve"> 主要材料要求</w:t>
      </w:r>
    </w:p>
    <w:p w14:paraId="7AAC0259">
      <w:pPr>
        <w:pStyle w:val="5"/>
        <w:bidi w:val="0"/>
        <w:rPr>
          <w:rFonts w:hint="eastAsia"/>
          <w:lang w:val="en-US" w:eastAsia="zh-CN"/>
        </w:rPr>
      </w:pPr>
      <w:r>
        <w:rPr>
          <w:rFonts w:hint="eastAsia"/>
          <w:lang w:val="en-US" w:eastAsia="zh-CN"/>
        </w:rPr>
        <w:t xml:space="preserve"> 钢材</w:t>
      </w:r>
    </w:p>
    <w:p w14:paraId="64D1CE69">
      <w:pPr>
        <w:bidi w:val="0"/>
        <w:rPr>
          <w:rFonts w:hint="eastAsia"/>
          <w:lang w:val="en-US" w:eastAsia="zh-CN"/>
        </w:rPr>
      </w:pPr>
      <w:r>
        <w:rPr>
          <w:rFonts w:hint="eastAsia"/>
          <w:lang w:val="en-US" w:eastAsia="zh-CN"/>
        </w:rPr>
        <w:t>碳素结构钢应符合GB/T 700的规定，优质碳素结构钢应符合GB/T 699的规定。</w:t>
      </w:r>
    </w:p>
    <w:p w14:paraId="6431678B">
      <w:pPr>
        <w:bidi w:val="0"/>
        <w:rPr>
          <w:rFonts w:hint="eastAsia"/>
          <w:lang w:val="en-US" w:eastAsia="zh-CN"/>
        </w:rPr>
      </w:pPr>
      <w:r>
        <w:rPr>
          <w:rFonts w:hint="eastAsia"/>
          <w:lang w:val="en-US" w:eastAsia="zh-CN"/>
        </w:rPr>
        <w:t>不锈钢材应符合GB/T 3280、GB/T 4237的规定，采用304不锈钢。</w:t>
      </w:r>
    </w:p>
    <w:p w14:paraId="2409CC2A">
      <w:pPr>
        <w:bidi w:val="0"/>
        <w:rPr>
          <w:rFonts w:hint="eastAsia"/>
          <w:lang w:val="en-US" w:eastAsia="zh-CN"/>
        </w:rPr>
      </w:pPr>
      <w:r>
        <w:rPr>
          <w:rFonts w:hint="eastAsia"/>
          <w:lang w:val="en-US" w:eastAsia="zh-CN"/>
        </w:rPr>
        <w:t>钢材表面应无明显锈蚀、裂纹、夹层等缺陷。</w:t>
      </w:r>
    </w:p>
    <w:p w14:paraId="5E787304">
      <w:pPr>
        <w:pStyle w:val="5"/>
        <w:bidi w:val="0"/>
        <w:rPr>
          <w:rFonts w:hint="eastAsia"/>
          <w:lang w:val="en-US" w:eastAsia="zh-CN"/>
        </w:rPr>
      </w:pPr>
      <w:r>
        <w:rPr>
          <w:rFonts w:hint="eastAsia"/>
          <w:lang w:val="en-US" w:eastAsia="zh-CN"/>
        </w:rPr>
        <w:t xml:space="preserve"> 铝合金型材</w:t>
      </w:r>
    </w:p>
    <w:p w14:paraId="0C13C125">
      <w:pPr>
        <w:bidi w:val="0"/>
        <w:rPr>
          <w:rFonts w:hint="eastAsia"/>
          <w:lang w:val="en-US" w:eastAsia="zh-CN"/>
        </w:rPr>
      </w:pPr>
      <w:r>
        <w:rPr>
          <w:rFonts w:hint="eastAsia"/>
          <w:lang w:val="en-US" w:eastAsia="zh-CN"/>
        </w:rPr>
        <w:t>铝合金型材应符合GB/T 5237的规定，采用6063-T5或6063-T6铝合金。</w:t>
      </w:r>
    </w:p>
    <w:p w14:paraId="17A270D5">
      <w:pPr>
        <w:bidi w:val="0"/>
        <w:rPr>
          <w:rFonts w:hint="eastAsia"/>
          <w:lang w:val="en-US" w:eastAsia="zh-CN"/>
        </w:rPr>
      </w:pPr>
      <w:r>
        <w:rPr>
          <w:rFonts w:hint="eastAsia"/>
          <w:lang w:val="en-US" w:eastAsia="zh-CN"/>
        </w:rPr>
        <w:t>型材壁厚应符合设计要求，受力杆件壁厚≥1.8mm。</w:t>
      </w:r>
    </w:p>
    <w:p w14:paraId="6B781803">
      <w:pPr>
        <w:bidi w:val="0"/>
        <w:rPr>
          <w:rFonts w:hint="eastAsia"/>
          <w:lang w:val="en-US" w:eastAsia="zh-CN"/>
        </w:rPr>
      </w:pPr>
      <w:r>
        <w:rPr>
          <w:rFonts w:hint="eastAsia"/>
          <w:lang w:val="en-US" w:eastAsia="zh-CN"/>
        </w:rPr>
        <w:t>表面氟碳漆喷涂处理，涂层厚度、附着力、耐候性等应符合相关标准要求。</w:t>
      </w:r>
    </w:p>
    <w:p w14:paraId="312C9D52">
      <w:pPr>
        <w:pStyle w:val="5"/>
        <w:bidi w:val="0"/>
        <w:rPr>
          <w:rFonts w:hint="eastAsia"/>
          <w:lang w:val="en-US" w:eastAsia="zh-CN"/>
        </w:rPr>
      </w:pPr>
      <w:r>
        <w:rPr>
          <w:rFonts w:hint="eastAsia"/>
          <w:lang w:val="en-US" w:eastAsia="zh-CN"/>
        </w:rPr>
        <w:t>玻璃</w:t>
      </w:r>
    </w:p>
    <w:p w14:paraId="6D6C3137">
      <w:pPr>
        <w:bidi w:val="0"/>
        <w:rPr>
          <w:rFonts w:hint="eastAsia"/>
          <w:lang w:val="en-US" w:eastAsia="zh-CN"/>
        </w:rPr>
      </w:pPr>
      <w:r>
        <w:rPr>
          <w:rFonts w:hint="eastAsia"/>
          <w:lang w:val="en-US" w:eastAsia="zh-CN"/>
        </w:rPr>
        <w:t>钢化玻璃应符合GB 15763.2的规定，具有3C认证标志。</w:t>
      </w:r>
    </w:p>
    <w:p w14:paraId="31B22FFA">
      <w:pPr>
        <w:bidi w:val="0"/>
        <w:rPr>
          <w:rFonts w:hint="eastAsia"/>
          <w:lang w:val="en-US" w:eastAsia="zh-CN"/>
        </w:rPr>
      </w:pPr>
      <w:r>
        <w:rPr>
          <w:rFonts w:hint="eastAsia"/>
          <w:lang w:val="en-US" w:eastAsia="zh-CN"/>
        </w:rPr>
        <w:t>夹层玻璃应符合GB 15763.3的规定。</w:t>
      </w:r>
    </w:p>
    <w:p w14:paraId="45A7C54E">
      <w:pPr>
        <w:bidi w:val="0"/>
        <w:rPr>
          <w:rFonts w:hint="eastAsia"/>
          <w:lang w:val="en-US" w:eastAsia="zh-CN"/>
        </w:rPr>
      </w:pPr>
      <w:r>
        <w:rPr>
          <w:rFonts w:hint="eastAsia"/>
          <w:lang w:val="en-US" w:eastAsia="zh-CN"/>
        </w:rPr>
        <w:t>中空玻璃应符合GB/T 11944的规定。</w:t>
      </w:r>
    </w:p>
    <w:p w14:paraId="640FE4F3">
      <w:pPr>
        <w:bidi w:val="0"/>
        <w:rPr>
          <w:rFonts w:hint="eastAsia"/>
          <w:lang w:val="en-US" w:eastAsia="zh-CN"/>
        </w:rPr>
      </w:pPr>
      <w:r>
        <w:rPr>
          <w:rFonts w:hint="eastAsia"/>
          <w:lang w:val="en-US" w:eastAsia="zh-CN"/>
        </w:rPr>
        <w:t>防火玻璃应符合GB 15763.1的规定，具有相应的防火检测报告。</w:t>
      </w:r>
    </w:p>
    <w:p w14:paraId="17BAF07E">
      <w:pPr>
        <w:bidi w:val="0"/>
        <w:rPr>
          <w:rFonts w:hint="eastAsia"/>
          <w:lang w:val="en-US" w:eastAsia="zh-CN"/>
        </w:rPr>
      </w:pPr>
      <w:r>
        <w:rPr>
          <w:rFonts w:hint="eastAsia"/>
          <w:lang w:val="en-US" w:eastAsia="zh-CN"/>
        </w:rPr>
        <w:t>Low-E玻璃的光学性能、热工性能应符合设计要求。</w:t>
      </w:r>
    </w:p>
    <w:p w14:paraId="3803B262">
      <w:pPr>
        <w:pStyle w:val="5"/>
        <w:bidi w:val="0"/>
        <w:rPr>
          <w:rFonts w:hint="eastAsia"/>
          <w:lang w:val="en-US" w:eastAsia="zh-CN"/>
        </w:rPr>
      </w:pPr>
      <w:r>
        <w:rPr>
          <w:rFonts w:hint="eastAsia"/>
          <w:lang w:val="en-US" w:eastAsia="zh-CN"/>
        </w:rPr>
        <w:t>五金配件</w:t>
      </w:r>
    </w:p>
    <w:p w14:paraId="31A4BC51">
      <w:pPr>
        <w:bidi w:val="0"/>
        <w:rPr>
          <w:rFonts w:hint="eastAsia"/>
          <w:lang w:val="en-US" w:eastAsia="zh-CN"/>
        </w:rPr>
      </w:pPr>
      <w:r>
        <w:rPr>
          <w:rFonts w:hint="eastAsia"/>
          <w:lang w:val="en-US" w:eastAsia="zh-CN"/>
        </w:rPr>
        <w:t>五金配件应符合国家相关标准，具有产品合格证。</w:t>
      </w:r>
    </w:p>
    <w:p w14:paraId="32461648">
      <w:pPr>
        <w:bidi w:val="0"/>
        <w:rPr>
          <w:rFonts w:hint="eastAsia"/>
          <w:lang w:val="en-US" w:eastAsia="zh-CN"/>
        </w:rPr>
      </w:pPr>
      <w:r>
        <w:rPr>
          <w:rFonts w:hint="eastAsia"/>
          <w:lang w:val="en-US" w:eastAsia="zh-CN"/>
        </w:rPr>
        <w:t>防火五金件必须具有消防产品认证。</w:t>
      </w:r>
    </w:p>
    <w:p w14:paraId="33488392">
      <w:pPr>
        <w:bidi w:val="0"/>
        <w:rPr>
          <w:rFonts w:hint="eastAsia"/>
          <w:lang w:val="en-US" w:eastAsia="zh-CN"/>
        </w:rPr>
      </w:pPr>
      <w:r>
        <w:rPr>
          <w:rFonts w:hint="eastAsia"/>
          <w:lang w:val="en-US" w:eastAsia="zh-CN"/>
        </w:rPr>
        <w:t>不锈钢五金件应采用304不锈钢材质。</w:t>
      </w:r>
    </w:p>
    <w:p w14:paraId="2DE2A6C2">
      <w:pPr>
        <w:bidi w:val="0"/>
        <w:rPr>
          <w:rFonts w:hint="eastAsia"/>
          <w:lang w:val="en-US" w:eastAsia="zh-CN"/>
        </w:rPr>
      </w:pPr>
      <w:r>
        <w:rPr>
          <w:rFonts w:hint="eastAsia"/>
          <w:lang w:val="en-US" w:eastAsia="zh-CN"/>
        </w:rPr>
        <w:t>五金件应启闭灵活、经久耐用，满足使用功能要求。</w:t>
      </w:r>
    </w:p>
    <w:p w14:paraId="177BD8E8">
      <w:pPr>
        <w:pStyle w:val="5"/>
        <w:bidi w:val="0"/>
        <w:rPr>
          <w:rFonts w:hint="eastAsia"/>
          <w:lang w:val="en-US" w:eastAsia="zh-CN"/>
        </w:rPr>
      </w:pPr>
      <w:r>
        <w:rPr>
          <w:rFonts w:hint="eastAsia"/>
          <w:lang w:val="en-US" w:eastAsia="zh-CN"/>
        </w:rPr>
        <w:t xml:space="preserve"> 密封材料</w:t>
      </w:r>
    </w:p>
    <w:p w14:paraId="05EF859C">
      <w:pPr>
        <w:bidi w:val="0"/>
        <w:rPr>
          <w:rFonts w:hint="eastAsia"/>
          <w:lang w:val="en-US" w:eastAsia="zh-CN"/>
        </w:rPr>
      </w:pPr>
      <w:r>
        <w:rPr>
          <w:rFonts w:hint="eastAsia"/>
          <w:lang w:val="en-US" w:eastAsia="zh-CN"/>
        </w:rPr>
        <w:t>密封胶条应采用三元乙丙（EPDM）橡胶，符合相关标准要求。</w:t>
      </w:r>
    </w:p>
    <w:p w14:paraId="70152D23">
      <w:pPr>
        <w:bidi w:val="0"/>
        <w:rPr>
          <w:rFonts w:hint="eastAsia"/>
          <w:lang w:val="en-US" w:eastAsia="zh-CN"/>
        </w:rPr>
      </w:pPr>
      <w:r>
        <w:rPr>
          <w:rFonts w:hint="eastAsia"/>
          <w:lang w:val="en-US" w:eastAsia="zh-CN"/>
        </w:rPr>
        <w:t>密封胶应采用中性硅酮密封胶，与接触材料相容，具有良好的粘结性、耐候性。</w:t>
      </w:r>
    </w:p>
    <w:p w14:paraId="52DE1D33">
      <w:pPr>
        <w:bidi w:val="0"/>
        <w:rPr>
          <w:rFonts w:hint="eastAsia"/>
          <w:lang w:val="en-US" w:eastAsia="zh-CN"/>
        </w:rPr>
      </w:pPr>
      <w:r>
        <w:rPr>
          <w:rFonts w:hint="eastAsia"/>
          <w:lang w:val="en-US" w:eastAsia="zh-CN"/>
        </w:rPr>
        <w:t>防火密封材料应具有相应的防火性能。</w:t>
      </w:r>
    </w:p>
    <w:p w14:paraId="255F4232">
      <w:pPr>
        <w:pStyle w:val="5"/>
        <w:bidi w:val="0"/>
        <w:rPr>
          <w:rFonts w:hint="eastAsia"/>
          <w:lang w:val="en-US" w:eastAsia="zh-CN"/>
        </w:rPr>
      </w:pPr>
      <w:r>
        <w:rPr>
          <w:rFonts w:hint="eastAsia"/>
          <w:lang w:val="en-US" w:eastAsia="zh-CN"/>
        </w:rPr>
        <w:t>木材及木制品</w:t>
      </w:r>
    </w:p>
    <w:p w14:paraId="4F076AFA">
      <w:pPr>
        <w:bidi w:val="0"/>
        <w:rPr>
          <w:rFonts w:hint="eastAsia"/>
          <w:lang w:val="en-US" w:eastAsia="zh-CN"/>
        </w:rPr>
      </w:pPr>
      <w:r>
        <w:rPr>
          <w:rFonts w:hint="eastAsia"/>
          <w:lang w:val="en-US" w:eastAsia="zh-CN"/>
        </w:rPr>
        <w:t>木材的树种、材质等级、含水率应符合设计要求及相关标准。</w:t>
      </w:r>
    </w:p>
    <w:p w14:paraId="7D33DEE3">
      <w:pPr>
        <w:bidi w:val="0"/>
        <w:rPr>
          <w:rFonts w:hint="eastAsia"/>
          <w:lang w:val="en-US" w:eastAsia="zh-CN"/>
        </w:rPr>
      </w:pPr>
      <w:r>
        <w:rPr>
          <w:rFonts w:hint="eastAsia"/>
          <w:lang w:val="en-US" w:eastAsia="zh-CN"/>
        </w:rPr>
        <w:t>人造板的甲醛释放量应符合GB 18580-2017 E1级要求。</w:t>
      </w:r>
    </w:p>
    <w:p w14:paraId="5DB1A4F2">
      <w:pPr>
        <w:bidi w:val="0"/>
        <w:rPr>
          <w:rFonts w:hint="eastAsia"/>
          <w:lang w:val="en-US" w:eastAsia="zh-CN"/>
        </w:rPr>
      </w:pPr>
      <w:r>
        <w:rPr>
          <w:rFonts w:hint="eastAsia"/>
          <w:lang w:val="en-US" w:eastAsia="zh-CN"/>
        </w:rPr>
        <w:t>木制品表面应光滑平整，无明显缺陷。</w:t>
      </w:r>
    </w:p>
    <w:p w14:paraId="6A0C3E92">
      <w:pPr>
        <w:pStyle w:val="2"/>
        <w:bidi w:val="0"/>
        <w:rPr>
          <w:rFonts w:hint="eastAsia"/>
          <w:lang w:val="en-US" w:eastAsia="zh-CN"/>
        </w:rPr>
      </w:pPr>
      <w:r>
        <w:rPr>
          <w:rFonts w:hint="eastAsia"/>
          <w:lang w:val="en-US" w:eastAsia="zh-CN"/>
        </w:rPr>
        <w:t>质量验收标准</w:t>
      </w:r>
    </w:p>
    <w:p w14:paraId="7D8BAE4F">
      <w:pPr>
        <w:pStyle w:val="4"/>
        <w:bidi w:val="0"/>
        <w:rPr>
          <w:rFonts w:hint="eastAsia"/>
          <w:lang w:val="en-US" w:eastAsia="zh-CN"/>
        </w:rPr>
      </w:pPr>
      <w:r>
        <w:rPr>
          <w:rFonts w:hint="eastAsia"/>
          <w:lang w:val="en-US" w:eastAsia="zh-CN"/>
        </w:rPr>
        <w:t>门窗工程验收</w:t>
      </w:r>
    </w:p>
    <w:p w14:paraId="7DC5A22F">
      <w:pPr>
        <w:pStyle w:val="5"/>
        <w:bidi w:val="0"/>
        <w:rPr>
          <w:rFonts w:hint="eastAsia"/>
          <w:lang w:val="en-US" w:eastAsia="zh-CN"/>
        </w:rPr>
      </w:pPr>
      <w:r>
        <w:rPr>
          <w:rFonts w:hint="eastAsia"/>
          <w:lang w:val="en-US" w:eastAsia="zh-CN"/>
        </w:rPr>
        <w:t xml:space="preserve"> 主控项目</w:t>
      </w:r>
    </w:p>
    <w:p w14:paraId="30737AA3">
      <w:pPr>
        <w:bidi w:val="0"/>
        <w:rPr>
          <w:rFonts w:hint="eastAsia"/>
          <w:lang w:val="en-US" w:eastAsia="zh-CN"/>
        </w:rPr>
      </w:pPr>
      <w:r>
        <w:rPr>
          <w:rFonts w:hint="eastAsia"/>
          <w:lang w:val="en-US" w:eastAsia="zh-CN"/>
        </w:rPr>
        <w:t>门窗的品种、类型、规格、尺寸、开启方向、安装位置及连接方式应符合设计要求。</w:t>
      </w:r>
    </w:p>
    <w:p w14:paraId="051B22DF">
      <w:pPr>
        <w:bidi w:val="0"/>
        <w:rPr>
          <w:rFonts w:hint="eastAsia"/>
          <w:lang w:val="en-US" w:eastAsia="zh-CN"/>
        </w:rPr>
      </w:pPr>
      <w:r>
        <w:rPr>
          <w:rFonts w:hint="eastAsia"/>
          <w:lang w:val="en-US" w:eastAsia="zh-CN"/>
        </w:rPr>
        <w:t>门窗框的安装必须牢固，预埋件的数量、位置、埋设方式、与框的连接方式必须符合设计要求。</w:t>
      </w:r>
    </w:p>
    <w:p w14:paraId="43A47772">
      <w:pPr>
        <w:bidi w:val="0"/>
        <w:rPr>
          <w:rFonts w:hint="eastAsia"/>
          <w:lang w:val="en-US" w:eastAsia="zh-CN"/>
        </w:rPr>
      </w:pPr>
      <w:r>
        <w:rPr>
          <w:rFonts w:hint="eastAsia"/>
          <w:lang w:val="en-US" w:eastAsia="zh-CN"/>
        </w:rPr>
        <w:t>门窗扇必须安装牢固，并应开关灵活、关闭严密，无倒翘。</w:t>
      </w:r>
    </w:p>
    <w:p w14:paraId="147878FD">
      <w:pPr>
        <w:bidi w:val="0"/>
        <w:rPr>
          <w:rFonts w:hint="eastAsia"/>
          <w:lang w:val="en-US" w:eastAsia="zh-CN"/>
        </w:rPr>
      </w:pPr>
      <w:r>
        <w:rPr>
          <w:rFonts w:hint="eastAsia"/>
          <w:lang w:val="en-US" w:eastAsia="zh-CN"/>
        </w:rPr>
        <w:t>门窗配件的型号、规格、数量应符合设计要求，安装应牢固，位置应正确，功能应满足使用要求。</w:t>
      </w:r>
    </w:p>
    <w:p w14:paraId="05FC1760">
      <w:pPr>
        <w:bidi w:val="0"/>
        <w:rPr>
          <w:rFonts w:hint="eastAsia"/>
          <w:lang w:val="en-US" w:eastAsia="zh-CN"/>
        </w:rPr>
      </w:pPr>
      <w:r>
        <w:rPr>
          <w:rFonts w:hint="eastAsia"/>
          <w:lang w:val="en-US" w:eastAsia="zh-CN"/>
        </w:rPr>
        <w:t>防火门必须具有消防产品认证，安装后应满足防火分隔要求。</w:t>
      </w:r>
    </w:p>
    <w:p w14:paraId="4E0799F7">
      <w:pPr>
        <w:pStyle w:val="5"/>
        <w:bidi w:val="0"/>
        <w:rPr>
          <w:rFonts w:hint="eastAsia"/>
          <w:lang w:val="en-US" w:eastAsia="zh-CN"/>
        </w:rPr>
      </w:pPr>
      <w:r>
        <w:rPr>
          <w:rFonts w:hint="eastAsia"/>
          <w:lang w:val="en-US" w:eastAsia="zh-CN"/>
        </w:rPr>
        <w:t>一般项目</w:t>
      </w:r>
    </w:p>
    <w:p w14:paraId="0ACFA491">
      <w:pPr>
        <w:bidi w:val="0"/>
        <w:rPr>
          <w:rFonts w:hint="eastAsia"/>
          <w:lang w:val="en-US" w:eastAsia="zh-CN"/>
        </w:rPr>
      </w:pPr>
      <w:r>
        <w:rPr>
          <w:rFonts w:hint="eastAsia"/>
          <w:lang w:val="en-US" w:eastAsia="zh-CN"/>
        </w:rPr>
        <w:t>门窗表面应洁净、平整、光滑、色泽一致，无锈蚀。大面应无划痕、碰伤。</w:t>
      </w:r>
    </w:p>
    <w:p w14:paraId="04478E06">
      <w:pPr>
        <w:bidi w:val="0"/>
        <w:rPr>
          <w:rFonts w:hint="eastAsia"/>
          <w:lang w:val="en-US" w:eastAsia="zh-CN"/>
        </w:rPr>
      </w:pPr>
      <w:r>
        <w:rPr>
          <w:rFonts w:hint="eastAsia"/>
          <w:lang w:val="en-US" w:eastAsia="zh-CN"/>
        </w:rPr>
        <w:t>门窗框与墙体之间的缝隙应填嵌饱满，并采用密封胶密封。密封胶表面应光滑、顺直，无裂纹。</w:t>
      </w:r>
    </w:p>
    <w:p w14:paraId="2B710E09">
      <w:pPr>
        <w:bidi w:val="0"/>
        <w:rPr>
          <w:rFonts w:hint="eastAsia"/>
          <w:lang w:val="en-US" w:eastAsia="zh-CN"/>
        </w:rPr>
      </w:pPr>
      <w:r>
        <w:rPr>
          <w:rFonts w:hint="eastAsia"/>
          <w:lang w:val="en-US" w:eastAsia="zh-CN"/>
        </w:rPr>
        <w:t>门窗扇的橡胶密封条或毛毡密封条应安装完好，不得脱槽。</w:t>
      </w:r>
    </w:p>
    <w:p w14:paraId="3870BB54">
      <w:pPr>
        <w:bidi w:val="0"/>
        <w:rPr>
          <w:rFonts w:hint="eastAsia"/>
          <w:lang w:val="en-US" w:eastAsia="zh-CN"/>
        </w:rPr>
      </w:pPr>
      <w:r>
        <w:rPr>
          <w:rFonts w:hint="eastAsia"/>
          <w:lang w:val="en-US" w:eastAsia="zh-CN"/>
        </w:rPr>
        <w:t>有排水孔的门窗，排水孔应畅通，位置和数量应符合设计要求。</w:t>
      </w:r>
    </w:p>
    <w:p w14:paraId="40797C99">
      <w:pPr>
        <w:pStyle w:val="5"/>
        <w:bidi w:val="0"/>
        <w:rPr>
          <w:rFonts w:hint="eastAsia"/>
          <w:lang w:val="en-US" w:eastAsia="zh-CN"/>
        </w:rPr>
      </w:pPr>
      <w:r>
        <w:rPr>
          <w:rFonts w:hint="eastAsia"/>
          <w:lang w:val="en-US" w:eastAsia="zh-CN"/>
        </w:rPr>
        <w:t xml:space="preserve"> 允许偏差</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4"/>
        <w:gridCol w:w="2364"/>
        <w:gridCol w:w="2365"/>
        <w:gridCol w:w="2365"/>
      </w:tblGrid>
      <w:tr w14:paraId="7F99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4" w:type="dxa"/>
            <w:shd w:val="clear" w:color="auto" w:fill="auto"/>
            <w:vAlign w:val="top"/>
          </w:tcPr>
          <w:p w14:paraId="5EAE831C">
            <w:pPr>
              <w:pStyle w:val="32"/>
              <w:bidi w:val="0"/>
              <w:rPr>
                <w:rFonts w:hint="eastAsia"/>
                <w:lang w:val="en-US" w:eastAsia="zh-CN"/>
              </w:rPr>
            </w:pPr>
            <w:r>
              <w:rPr>
                <w:lang w:val="en-US" w:eastAsia="zh-CN"/>
              </w:rPr>
              <w:t>项次</w:t>
            </w:r>
          </w:p>
        </w:tc>
        <w:tc>
          <w:tcPr>
            <w:tcW w:w="2364" w:type="dxa"/>
            <w:shd w:val="clear" w:color="auto" w:fill="auto"/>
            <w:vAlign w:val="top"/>
          </w:tcPr>
          <w:p w14:paraId="0C51557B">
            <w:pPr>
              <w:pStyle w:val="32"/>
              <w:bidi w:val="0"/>
              <w:rPr>
                <w:rFonts w:hint="eastAsia"/>
                <w:lang w:val="en-US" w:eastAsia="zh-CN"/>
              </w:rPr>
            </w:pPr>
            <w:r>
              <w:rPr>
                <w:lang w:val="en-US" w:eastAsia="zh-CN"/>
              </w:rPr>
              <w:t>项目</w:t>
            </w:r>
          </w:p>
        </w:tc>
        <w:tc>
          <w:tcPr>
            <w:tcW w:w="2365" w:type="dxa"/>
            <w:shd w:val="clear" w:color="auto" w:fill="auto"/>
            <w:vAlign w:val="top"/>
          </w:tcPr>
          <w:p w14:paraId="389F901B">
            <w:pPr>
              <w:pStyle w:val="32"/>
              <w:bidi w:val="0"/>
              <w:rPr>
                <w:rFonts w:hint="eastAsia"/>
                <w:lang w:val="en-US" w:eastAsia="zh-CN"/>
              </w:rPr>
            </w:pPr>
            <w:r>
              <w:rPr>
                <w:lang w:val="en-US" w:eastAsia="zh-CN"/>
              </w:rPr>
              <w:t>允许偏差(mm)</w:t>
            </w:r>
          </w:p>
        </w:tc>
        <w:tc>
          <w:tcPr>
            <w:tcW w:w="2365" w:type="dxa"/>
            <w:shd w:val="clear" w:color="auto" w:fill="auto"/>
            <w:vAlign w:val="top"/>
          </w:tcPr>
          <w:p w14:paraId="4A0713D9">
            <w:pPr>
              <w:pStyle w:val="32"/>
              <w:bidi w:val="0"/>
              <w:rPr>
                <w:rFonts w:hint="eastAsia"/>
                <w:lang w:val="en-US" w:eastAsia="zh-CN"/>
              </w:rPr>
            </w:pPr>
            <w:r>
              <w:rPr>
                <w:lang w:val="en-US" w:eastAsia="zh-CN"/>
              </w:rPr>
              <w:t>检验方法</w:t>
            </w:r>
          </w:p>
        </w:tc>
      </w:tr>
      <w:tr w14:paraId="6986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4" w:type="dxa"/>
            <w:shd w:val="clear" w:color="auto" w:fill="auto"/>
            <w:vAlign w:val="top"/>
          </w:tcPr>
          <w:p w14:paraId="451F25BC">
            <w:pPr>
              <w:pStyle w:val="32"/>
              <w:bidi w:val="0"/>
              <w:rPr>
                <w:rFonts w:hint="eastAsia"/>
                <w:lang w:val="en-US" w:eastAsia="zh-CN"/>
              </w:rPr>
            </w:pPr>
            <w:r>
              <w:rPr>
                <w:lang w:val="en-US" w:eastAsia="zh-CN"/>
              </w:rPr>
              <w:t>1</w:t>
            </w:r>
          </w:p>
        </w:tc>
        <w:tc>
          <w:tcPr>
            <w:tcW w:w="2364" w:type="dxa"/>
            <w:shd w:val="clear" w:color="auto" w:fill="auto"/>
            <w:vAlign w:val="top"/>
          </w:tcPr>
          <w:p w14:paraId="7B3A375C">
            <w:pPr>
              <w:pStyle w:val="32"/>
              <w:bidi w:val="0"/>
              <w:rPr>
                <w:rFonts w:hint="eastAsia"/>
                <w:lang w:val="en-US" w:eastAsia="zh-CN"/>
              </w:rPr>
            </w:pPr>
            <w:r>
              <w:rPr>
                <w:lang w:val="en-US" w:eastAsia="zh-CN"/>
              </w:rPr>
              <w:t>门窗槽口宽度、高度</w:t>
            </w:r>
          </w:p>
        </w:tc>
        <w:tc>
          <w:tcPr>
            <w:tcW w:w="2365" w:type="dxa"/>
            <w:shd w:val="clear" w:color="auto" w:fill="auto"/>
            <w:vAlign w:val="top"/>
          </w:tcPr>
          <w:p w14:paraId="42720B9E">
            <w:pPr>
              <w:pStyle w:val="32"/>
              <w:bidi w:val="0"/>
              <w:rPr>
                <w:rFonts w:hint="eastAsia"/>
                <w:lang w:val="en-US" w:eastAsia="zh-CN"/>
              </w:rPr>
            </w:pPr>
            <w:r>
              <w:rPr>
                <w:lang w:val="en-US" w:eastAsia="zh-CN"/>
              </w:rPr>
              <w:t>≤1500mm：1.5；&gt;1500mm：2</w:t>
            </w:r>
          </w:p>
        </w:tc>
        <w:tc>
          <w:tcPr>
            <w:tcW w:w="2365" w:type="dxa"/>
            <w:shd w:val="clear" w:color="auto" w:fill="auto"/>
            <w:vAlign w:val="top"/>
          </w:tcPr>
          <w:p w14:paraId="5951FBB3">
            <w:pPr>
              <w:pStyle w:val="32"/>
              <w:bidi w:val="0"/>
              <w:rPr>
                <w:rFonts w:hint="eastAsia"/>
                <w:lang w:val="en-US" w:eastAsia="zh-CN"/>
              </w:rPr>
            </w:pPr>
            <w:r>
              <w:rPr>
                <w:lang w:val="en-US" w:eastAsia="zh-CN"/>
              </w:rPr>
              <w:t>用钢尺检查</w:t>
            </w:r>
          </w:p>
        </w:tc>
      </w:tr>
      <w:tr w14:paraId="12A66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4" w:type="dxa"/>
            <w:shd w:val="clear" w:color="auto" w:fill="auto"/>
            <w:vAlign w:val="top"/>
          </w:tcPr>
          <w:p w14:paraId="5BD51FF2">
            <w:pPr>
              <w:pStyle w:val="32"/>
              <w:bidi w:val="0"/>
              <w:rPr>
                <w:rFonts w:hint="eastAsia"/>
                <w:lang w:val="en-US" w:eastAsia="zh-CN"/>
              </w:rPr>
            </w:pPr>
            <w:r>
              <w:rPr>
                <w:lang w:val="en-US" w:eastAsia="zh-CN"/>
              </w:rPr>
              <w:t>2</w:t>
            </w:r>
          </w:p>
        </w:tc>
        <w:tc>
          <w:tcPr>
            <w:tcW w:w="2364" w:type="dxa"/>
            <w:shd w:val="clear" w:color="auto" w:fill="auto"/>
            <w:vAlign w:val="top"/>
          </w:tcPr>
          <w:p w14:paraId="0C9E604A">
            <w:pPr>
              <w:pStyle w:val="32"/>
              <w:bidi w:val="0"/>
              <w:rPr>
                <w:rFonts w:hint="eastAsia"/>
                <w:lang w:val="en-US" w:eastAsia="zh-CN"/>
              </w:rPr>
            </w:pPr>
            <w:r>
              <w:rPr>
                <w:lang w:val="en-US" w:eastAsia="zh-CN"/>
              </w:rPr>
              <w:t>门窗槽口对角线长度差</w:t>
            </w:r>
          </w:p>
        </w:tc>
        <w:tc>
          <w:tcPr>
            <w:tcW w:w="2365" w:type="dxa"/>
            <w:shd w:val="clear" w:color="auto" w:fill="auto"/>
            <w:vAlign w:val="top"/>
          </w:tcPr>
          <w:p w14:paraId="1C7134AF">
            <w:pPr>
              <w:pStyle w:val="32"/>
              <w:bidi w:val="0"/>
              <w:rPr>
                <w:rFonts w:hint="eastAsia"/>
                <w:lang w:val="en-US" w:eastAsia="zh-CN"/>
              </w:rPr>
            </w:pPr>
            <w:r>
              <w:rPr>
                <w:lang w:val="en-US" w:eastAsia="zh-CN"/>
              </w:rPr>
              <w:t>≤2000mm：2；&gt;2000mm：3</w:t>
            </w:r>
          </w:p>
        </w:tc>
        <w:tc>
          <w:tcPr>
            <w:tcW w:w="2365" w:type="dxa"/>
            <w:shd w:val="clear" w:color="auto" w:fill="auto"/>
            <w:vAlign w:val="top"/>
          </w:tcPr>
          <w:p w14:paraId="0D3DDD5E">
            <w:pPr>
              <w:pStyle w:val="32"/>
              <w:bidi w:val="0"/>
              <w:rPr>
                <w:rFonts w:hint="eastAsia"/>
                <w:lang w:val="en-US" w:eastAsia="zh-CN"/>
              </w:rPr>
            </w:pPr>
            <w:r>
              <w:rPr>
                <w:lang w:val="en-US" w:eastAsia="zh-CN"/>
              </w:rPr>
              <w:t>用钢尺检查</w:t>
            </w:r>
          </w:p>
        </w:tc>
      </w:tr>
      <w:tr w14:paraId="1C89D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4" w:type="dxa"/>
            <w:shd w:val="clear" w:color="auto" w:fill="auto"/>
            <w:vAlign w:val="top"/>
          </w:tcPr>
          <w:p w14:paraId="4F650B2D">
            <w:pPr>
              <w:pStyle w:val="32"/>
              <w:bidi w:val="0"/>
              <w:rPr>
                <w:rFonts w:hint="eastAsia"/>
                <w:lang w:val="en-US" w:eastAsia="zh-CN"/>
              </w:rPr>
            </w:pPr>
            <w:r>
              <w:rPr>
                <w:lang w:val="en-US" w:eastAsia="zh-CN"/>
              </w:rPr>
              <w:t>3</w:t>
            </w:r>
          </w:p>
        </w:tc>
        <w:tc>
          <w:tcPr>
            <w:tcW w:w="2364" w:type="dxa"/>
            <w:shd w:val="clear" w:color="auto" w:fill="auto"/>
            <w:vAlign w:val="top"/>
          </w:tcPr>
          <w:p w14:paraId="045C4664">
            <w:pPr>
              <w:pStyle w:val="32"/>
              <w:bidi w:val="0"/>
              <w:rPr>
                <w:rFonts w:hint="eastAsia"/>
                <w:lang w:val="en-US" w:eastAsia="zh-CN"/>
              </w:rPr>
            </w:pPr>
            <w:r>
              <w:rPr>
                <w:lang w:val="en-US" w:eastAsia="zh-CN"/>
              </w:rPr>
              <w:t>门窗框的正、侧面垂直度</w:t>
            </w:r>
          </w:p>
        </w:tc>
        <w:tc>
          <w:tcPr>
            <w:tcW w:w="2365" w:type="dxa"/>
            <w:shd w:val="clear" w:color="auto" w:fill="auto"/>
            <w:vAlign w:val="top"/>
          </w:tcPr>
          <w:p w14:paraId="7996F9DF">
            <w:pPr>
              <w:pStyle w:val="32"/>
              <w:bidi w:val="0"/>
              <w:rPr>
                <w:rFonts w:hint="eastAsia"/>
                <w:lang w:val="en-US" w:eastAsia="zh-CN"/>
              </w:rPr>
            </w:pPr>
            <w:r>
              <w:rPr>
                <w:lang w:val="en-US" w:eastAsia="zh-CN"/>
              </w:rPr>
              <w:t>2.5</w:t>
            </w:r>
          </w:p>
        </w:tc>
        <w:tc>
          <w:tcPr>
            <w:tcW w:w="2365" w:type="dxa"/>
            <w:shd w:val="clear" w:color="auto" w:fill="auto"/>
            <w:vAlign w:val="top"/>
          </w:tcPr>
          <w:p w14:paraId="053071CF">
            <w:pPr>
              <w:pStyle w:val="32"/>
              <w:bidi w:val="0"/>
              <w:rPr>
                <w:rFonts w:hint="eastAsia"/>
                <w:lang w:val="en-US" w:eastAsia="zh-CN"/>
              </w:rPr>
            </w:pPr>
            <w:r>
              <w:rPr>
                <w:lang w:val="en-US" w:eastAsia="zh-CN"/>
              </w:rPr>
              <w:t>用垂直检测尺检查</w:t>
            </w:r>
          </w:p>
        </w:tc>
      </w:tr>
      <w:tr w14:paraId="0E382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4" w:type="dxa"/>
            <w:shd w:val="clear" w:color="auto" w:fill="auto"/>
            <w:vAlign w:val="top"/>
          </w:tcPr>
          <w:p w14:paraId="759D7841">
            <w:pPr>
              <w:pStyle w:val="32"/>
              <w:bidi w:val="0"/>
              <w:rPr>
                <w:rFonts w:hint="eastAsia"/>
                <w:lang w:val="en-US" w:eastAsia="zh-CN"/>
              </w:rPr>
            </w:pPr>
            <w:r>
              <w:rPr>
                <w:lang w:val="en-US" w:eastAsia="zh-CN"/>
              </w:rPr>
              <w:t>4</w:t>
            </w:r>
          </w:p>
        </w:tc>
        <w:tc>
          <w:tcPr>
            <w:tcW w:w="2364" w:type="dxa"/>
            <w:shd w:val="clear" w:color="auto" w:fill="auto"/>
            <w:vAlign w:val="top"/>
          </w:tcPr>
          <w:p w14:paraId="0AE1D9CD">
            <w:pPr>
              <w:pStyle w:val="32"/>
              <w:bidi w:val="0"/>
              <w:rPr>
                <w:rFonts w:hint="eastAsia"/>
                <w:lang w:val="en-US" w:eastAsia="zh-CN"/>
              </w:rPr>
            </w:pPr>
            <w:r>
              <w:rPr>
                <w:lang w:val="en-US" w:eastAsia="zh-CN"/>
              </w:rPr>
              <w:t>门窗横框的水平度</w:t>
            </w:r>
          </w:p>
        </w:tc>
        <w:tc>
          <w:tcPr>
            <w:tcW w:w="2365" w:type="dxa"/>
            <w:shd w:val="clear" w:color="auto" w:fill="auto"/>
            <w:vAlign w:val="top"/>
          </w:tcPr>
          <w:p w14:paraId="5D06B305">
            <w:pPr>
              <w:pStyle w:val="32"/>
              <w:bidi w:val="0"/>
              <w:rPr>
                <w:rFonts w:hint="eastAsia"/>
                <w:lang w:val="en-US" w:eastAsia="zh-CN"/>
              </w:rPr>
            </w:pPr>
            <w:r>
              <w:rPr>
                <w:lang w:val="en-US" w:eastAsia="zh-CN"/>
              </w:rPr>
              <w:t>2</w:t>
            </w:r>
          </w:p>
        </w:tc>
        <w:tc>
          <w:tcPr>
            <w:tcW w:w="2365" w:type="dxa"/>
            <w:shd w:val="clear" w:color="auto" w:fill="auto"/>
            <w:vAlign w:val="top"/>
          </w:tcPr>
          <w:p w14:paraId="4D4AF88B">
            <w:pPr>
              <w:pStyle w:val="32"/>
              <w:bidi w:val="0"/>
              <w:rPr>
                <w:rFonts w:hint="eastAsia"/>
                <w:lang w:val="en-US" w:eastAsia="zh-CN"/>
              </w:rPr>
            </w:pPr>
            <w:r>
              <w:rPr>
                <w:lang w:val="en-US" w:eastAsia="zh-CN"/>
              </w:rPr>
              <w:t>用1m水平尺和塞尺检查</w:t>
            </w:r>
          </w:p>
        </w:tc>
      </w:tr>
      <w:tr w14:paraId="589C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4" w:type="dxa"/>
            <w:shd w:val="clear" w:color="auto" w:fill="auto"/>
            <w:vAlign w:val="top"/>
          </w:tcPr>
          <w:p w14:paraId="2BD8D462">
            <w:pPr>
              <w:pStyle w:val="32"/>
              <w:bidi w:val="0"/>
              <w:rPr>
                <w:rFonts w:hint="eastAsia"/>
                <w:lang w:val="en-US" w:eastAsia="zh-CN"/>
              </w:rPr>
            </w:pPr>
            <w:r>
              <w:rPr>
                <w:lang w:val="en-US" w:eastAsia="zh-CN"/>
              </w:rPr>
              <w:t>5</w:t>
            </w:r>
          </w:p>
        </w:tc>
        <w:tc>
          <w:tcPr>
            <w:tcW w:w="2364" w:type="dxa"/>
            <w:shd w:val="clear" w:color="auto" w:fill="auto"/>
            <w:vAlign w:val="top"/>
          </w:tcPr>
          <w:p w14:paraId="50FA038B">
            <w:pPr>
              <w:pStyle w:val="32"/>
              <w:bidi w:val="0"/>
              <w:rPr>
                <w:rFonts w:hint="eastAsia"/>
                <w:lang w:val="en-US" w:eastAsia="zh-CN"/>
              </w:rPr>
            </w:pPr>
            <w:r>
              <w:rPr>
                <w:lang w:val="en-US" w:eastAsia="zh-CN"/>
              </w:rPr>
              <w:t>门窗横框标高</w:t>
            </w:r>
          </w:p>
        </w:tc>
        <w:tc>
          <w:tcPr>
            <w:tcW w:w="2365" w:type="dxa"/>
            <w:shd w:val="clear" w:color="auto" w:fill="auto"/>
            <w:vAlign w:val="top"/>
          </w:tcPr>
          <w:p w14:paraId="3391BD91">
            <w:pPr>
              <w:pStyle w:val="32"/>
              <w:bidi w:val="0"/>
              <w:rPr>
                <w:rFonts w:hint="eastAsia"/>
                <w:lang w:val="en-US" w:eastAsia="zh-CN"/>
              </w:rPr>
            </w:pPr>
            <w:r>
              <w:rPr>
                <w:lang w:val="en-US" w:eastAsia="zh-CN"/>
              </w:rPr>
              <w:t>5</w:t>
            </w:r>
          </w:p>
        </w:tc>
        <w:tc>
          <w:tcPr>
            <w:tcW w:w="2365" w:type="dxa"/>
            <w:shd w:val="clear" w:color="auto" w:fill="auto"/>
            <w:vAlign w:val="top"/>
          </w:tcPr>
          <w:p w14:paraId="21D67806">
            <w:pPr>
              <w:pStyle w:val="32"/>
              <w:bidi w:val="0"/>
              <w:rPr>
                <w:rFonts w:hint="eastAsia"/>
                <w:lang w:val="en-US" w:eastAsia="zh-CN"/>
              </w:rPr>
            </w:pPr>
            <w:r>
              <w:rPr>
                <w:lang w:val="en-US" w:eastAsia="zh-CN"/>
              </w:rPr>
              <w:t>用钢尺检查</w:t>
            </w:r>
          </w:p>
        </w:tc>
      </w:tr>
      <w:tr w14:paraId="3B1B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4" w:type="dxa"/>
            <w:shd w:val="clear" w:color="auto" w:fill="auto"/>
            <w:vAlign w:val="top"/>
          </w:tcPr>
          <w:p w14:paraId="6EC19E1A">
            <w:pPr>
              <w:pStyle w:val="32"/>
              <w:bidi w:val="0"/>
              <w:rPr>
                <w:rFonts w:hint="eastAsia"/>
                <w:lang w:val="en-US" w:eastAsia="zh-CN"/>
              </w:rPr>
            </w:pPr>
            <w:r>
              <w:rPr>
                <w:lang w:val="en-US" w:eastAsia="zh-CN"/>
              </w:rPr>
              <w:t>6</w:t>
            </w:r>
          </w:p>
        </w:tc>
        <w:tc>
          <w:tcPr>
            <w:tcW w:w="2364" w:type="dxa"/>
            <w:shd w:val="clear" w:color="auto" w:fill="auto"/>
            <w:vAlign w:val="top"/>
          </w:tcPr>
          <w:p w14:paraId="2EBEBB26">
            <w:pPr>
              <w:pStyle w:val="32"/>
              <w:bidi w:val="0"/>
              <w:rPr>
                <w:rFonts w:hint="eastAsia"/>
                <w:lang w:val="en-US" w:eastAsia="zh-CN"/>
              </w:rPr>
            </w:pPr>
            <w:r>
              <w:rPr>
                <w:lang w:val="en-US" w:eastAsia="zh-CN"/>
              </w:rPr>
              <w:t>门窗竖向偏离中心</w:t>
            </w:r>
          </w:p>
        </w:tc>
        <w:tc>
          <w:tcPr>
            <w:tcW w:w="2365" w:type="dxa"/>
            <w:shd w:val="clear" w:color="auto" w:fill="auto"/>
            <w:vAlign w:val="top"/>
          </w:tcPr>
          <w:p w14:paraId="174B727B">
            <w:pPr>
              <w:pStyle w:val="32"/>
              <w:bidi w:val="0"/>
              <w:rPr>
                <w:rFonts w:hint="eastAsia"/>
                <w:lang w:val="en-US" w:eastAsia="zh-CN"/>
              </w:rPr>
            </w:pPr>
            <w:r>
              <w:rPr>
                <w:lang w:val="en-US" w:eastAsia="zh-CN"/>
              </w:rPr>
              <w:t>5</w:t>
            </w:r>
          </w:p>
        </w:tc>
        <w:tc>
          <w:tcPr>
            <w:tcW w:w="2365" w:type="dxa"/>
            <w:shd w:val="clear" w:color="auto" w:fill="auto"/>
            <w:vAlign w:val="top"/>
          </w:tcPr>
          <w:p w14:paraId="597296A7">
            <w:pPr>
              <w:pStyle w:val="32"/>
              <w:bidi w:val="0"/>
              <w:rPr>
                <w:rFonts w:hint="eastAsia"/>
                <w:lang w:val="en-US" w:eastAsia="zh-CN"/>
              </w:rPr>
            </w:pPr>
            <w:r>
              <w:rPr>
                <w:lang w:val="en-US" w:eastAsia="zh-CN"/>
              </w:rPr>
              <w:t>用钢尺检查</w:t>
            </w:r>
          </w:p>
        </w:tc>
      </w:tr>
      <w:tr w14:paraId="02B7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4" w:type="dxa"/>
            <w:shd w:val="clear" w:color="auto" w:fill="auto"/>
            <w:vAlign w:val="top"/>
          </w:tcPr>
          <w:p w14:paraId="46C5E49E">
            <w:pPr>
              <w:pStyle w:val="32"/>
              <w:bidi w:val="0"/>
              <w:rPr>
                <w:rFonts w:hint="eastAsia"/>
                <w:lang w:val="en-US" w:eastAsia="zh-CN"/>
              </w:rPr>
            </w:pPr>
            <w:r>
              <w:rPr>
                <w:lang w:val="en-US" w:eastAsia="zh-CN"/>
              </w:rPr>
              <w:t>7</w:t>
            </w:r>
          </w:p>
        </w:tc>
        <w:tc>
          <w:tcPr>
            <w:tcW w:w="2364" w:type="dxa"/>
            <w:shd w:val="clear" w:color="auto" w:fill="auto"/>
            <w:vAlign w:val="top"/>
          </w:tcPr>
          <w:p w14:paraId="3F3C8552">
            <w:pPr>
              <w:pStyle w:val="32"/>
              <w:bidi w:val="0"/>
              <w:rPr>
                <w:rFonts w:hint="eastAsia"/>
                <w:lang w:val="en-US" w:eastAsia="zh-CN"/>
              </w:rPr>
            </w:pPr>
            <w:r>
              <w:rPr>
                <w:lang w:val="en-US" w:eastAsia="zh-CN"/>
              </w:rPr>
              <w:t>双层门窗内外框间距</w:t>
            </w:r>
          </w:p>
        </w:tc>
        <w:tc>
          <w:tcPr>
            <w:tcW w:w="2365" w:type="dxa"/>
            <w:shd w:val="clear" w:color="auto" w:fill="auto"/>
            <w:vAlign w:val="top"/>
          </w:tcPr>
          <w:p w14:paraId="10D90B13">
            <w:pPr>
              <w:pStyle w:val="32"/>
              <w:bidi w:val="0"/>
              <w:rPr>
                <w:rFonts w:hint="eastAsia"/>
                <w:lang w:val="en-US" w:eastAsia="zh-CN"/>
              </w:rPr>
            </w:pPr>
            <w:r>
              <w:rPr>
                <w:lang w:val="en-US" w:eastAsia="zh-CN"/>
              </w:rPr>
              <w:t>4</w:t>
            </w:r>
          </w:p>
        </w:tc>
        <w:tc>
          <w:tcPr>
            <w:tcW w:w="2365" w:type="dxa"/>
            <w:shd w:val="clear" w:color="auto" w:fill="auto"/>
            <w:vAlign w:val="top"/>
          </w:tcPr>
          <w:p w14:paraId="2D1C9471">
            <w:pPr>
              <w:pStyle w:val="32"/>
              <w:bidi w:val="0"/>
              <w:rPr>
                <w:rFonts w:hint="eastAsia"/>
                <w:lang w:val="en-US" w:eastAsia="zh-CN"/>
              </w:rPr>
            </w:pPr>
            <w:r>
              <w:rPr>
                <w:lang w:val="en-US" w:eastAsia="zh-CN"/>
              </w:rPr>
              <w:t>用钢尺检查</w:t>
            </w:r>
          </w:p>
        </w:tc>
      </w:tr>
      <w:tr w14:paraId="111F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4" w:type="dxa"/>
            <w:shd w:val="clear" w:color="auto" w:fill="auto"/>
            <w:vAlign w:val="top"/>
          </w:tcPr>
          <w:p w14:paraId="0EAE6EBD">
            <w:pPr>
              <w:pStyle w:val="32"/>
              <w:bidi w:val="0"/>
              <w:rPr>
                <w:rFonts w:hint="eastAsia"/>
                <w:lang w:val="en-US" w:eastAsia="zh-CN"/>
              </w:rPr>
            </w:pPr>
            <w:r>
              <w:rPr>
                <w:lang w:val="en-US" w:eastAsia="zh-CN"/>
              </w:rPr>
              <w:t>8</w:t>
            </w:r>
          </w:p>
        </w:tc>
        <w:tc>
          <w:tcPr>
            <w:tcW w:w="2364" w:type="dxa"/>
            <w:shd w:val="clear" w:color="auto" w:fill="auto"/>
            <w:vAlign w:val="top"/>
          </w:tcPr>
          <w:p w14:paraId="675CBDA2">
            <w:pPr>
              <w:pStyle w:val="32"/>
              <w:bidi w:val="0"/>
              <w:rPr>
                <w:rFonts w:hint="eastAsia"/>
                <w:lang w:val="en-US" w:eastAsia="zh-CN"/>
              </w:rPr>
            </w:pPr>
            <w:r>
              <w:rPr>
                <w:lang w:val="en-US" w:eastAsia="zh-CN"/>
              </w:rPr>
              <w:t>推拉门窗扇与框搭接量</w:t>
            </w:r>
          </w:p>
        </w:tc>
        <w:tc>
          <w:tcPr>
            <w:tcW w:w="2365" w:type="dxa"/>
            <w:shd w:val="clear" w:color="auto" w:fill="auto"/>
            <w:vAlign w:val="top"/>
          </w:tcPr>
          <w:p w14:paraId="0BA1633E">
            <w:pPr>
              <w:pStyle w:val="32"/>
              <w:bidi w:val="0"/>
              <w:rPr>
                <w:rFonts w:hint="eastAsia"/>
                <w:lang w:val="en-US" w:eastAsia="zh-CN"/>
              </w:rPr>
            </w:pPr>
            <w:r>
              <w:rPr>
                <w:lang w:val="en-US" w:eastAsia="zh-CN"/>
              </w:rPr>
              <w:t>±1.5</w:t>
            </w:r>
          </w:p>
        </w:tc>
        <w:tc>
          <w:tcPr>
            <w:tcW w:w="2365" w:type="dxa"/>
            <w:shd w:val="clear" w:color="auto" w:fill="auto"/>
            <w:vAlign w:val="top"/>
          </w:tcPr>
          <w:p w14:paraId="68EA00AA">
            <w:pPr>
              <w:pStyle w:val="32"/>
              <w:bidi w:val="0"/>
              <w:rPr>
                <w:rFonts w:hint="eastAsia"/>
                <w:lang w:val="en-US" w:eastAsia="zh-CN"/>
              </w:rPr>
            </w:pPr>
            <w:r>
              <w:rPr>
                <w:lang w:val="en-US" w:eastAsia="zh-CN"/>
              </w:rPr>
              <w:t>用钢直尺检查</w:t>
            </w:r>
          </w:p>
        </w:tc>
      </w:tr>
    </w:tbl>
    <w:p w14:paraId="77769088">
      <w:pPr>
        <w:pStyle w:val="4"/>
        <w:bidi w:val="0"/>
        <w:rPr>
          <w:rFonts w:hint="eastAsia"/>
          <w:lang w:val="en-US" w:eastAsia="zh-CN"/>
        </w:rPr>
      </w:pPr>
      <w:r>
        <w:rPr>
          <w:rFonts w:hint="eastAsia"/>
          <w:lang w:val="en-US" w:eastAsia="zh-CN"/>
        </w:rPr>
        <w:t>栏杆工程验收</w:t>
      </w:r>
    </w:p>
    <w:p w14:paraId="6E9126C7">
      <w:pPr>
        <w:pStyle w:val="5"/>
        <w:bidi w:val="0"/>
        <w:rPr>
          <w:rFonts w:hint="eastAsia"/>
          <w:lang w:val="en-US" w:eastAsia="zh-CN"/>
        </w:rPr>
      </w:pPr>
      <w:r>
        <w:rPr>
          <w:rFonts w:hint="eastAsia"/>
          <w:lang w:val="en-US" w:eastAsia="zh-CN"/>
        </w:rPr>
        <w:t xml:space="preserve"> 主控项目</w:t>
      </w:r>
    </w:p>
    <w:p w14:paraId="25D2E51F">
      <w:pPr>
        <w:bidi w:val="0"/>
        <w:rPr>
          <w:rFonts w:hint="eastAsia"/>
          <w:lang w:val="en-US" w:eastAsia="zh-CN"/>
        </w:rPr>
      </w:pPr>
      <w:r>
        <w:rPr>
          <w:rFonts w:hint="eastAsia"/>
          <w:lang w:val="en-US" w:eastAsia="zh-CN"/>
        </w:rPr>
        <w:t>栏杆的材质、规格、数量、造型、尺寸及安装位置应符合设计要求。</w:t>
      </w:r>
    </w:p>
    <w:p w14:paraId="43BED2B7">
      <w:pPr>
        <w:bidi w:val="0"/>
        <w:rPr>
          <w:rFonts w:hint="eastAsia"/>
          <w:lang w:val="en-US" w:eastAsia="zh-CN"/>
        </w:rPr>
      </w:pPr>
      <w:r>
        <w:rPr>
          <w:rFonts w:hint="eastAsia"/>
          <w:lang w:val="en-US" w:eastAsia="zh-CN"/>
        </w:rPr>
        <w:t>栏杆的高度、栏杆间距、安装位置必须符合设计要求和规范规定。栏杆安装必须牢固。</w:t>
      </w:r>
    </w:p>
    <w:p w14:paraId="0D0FB01D">
      <w:pPr>
        <w:bidi w:val="0"/>
        <w:rPr>
          <w:rFonts w:hint="eastAsia"/>
          <w:lang w:val="en-US" w:eastAsia="zh-CN"/>
        </w:rPr>
      </w:pPr>
      <w:r>
        <w:rPr>
          <w:rFonts w:hint="eastAsia"/>
          <w:lang w:val="en-US" w:eastAsia="zh-CN"/>
        </w:rPr>
        <w:t>预埋件的数量、规格、位置以及栏杆与预埋件的连接节点应符合设计要求。</w:t>
      </w:r>
    </w:p>
    <w:p w14:paraId="2F703465">
      <w:pPr>
        <w:bidi w:val="0"/>
        <w:rPr>
          <w:rFonts w:hint="eastAsia"/>
          <w:lang w:val="en-US" w:eastAsia="zh-CN"/>
        </w:rPr>
      </w:pPr>
      <w:r>
        <w:rPr>
          <w:rFonts w:hint="eastAsia"/>
          <w:lang w:val="en-US" w:eastAsia="zh-CN"/>
        </w:rPr>
        <w:t>玻璃栏杆的玻璃品种、规格、颜色应符合设计要求，安装必须牢固。</w:t>
      </w:r>
    </w:p>
    <w:p w14:paraId="5DCA8198">
      <w:pPr>
        <w:pStyle w:val="5"/>
        <w:bidi w:val="0"/>
        <w:rPr>
          <w:rFonts w:hint="eastAsia"/>
          <w:lang w:val="en-US" w:eastAsia="zh-CN"/>
        </w:rPr>
      </w:pPr>
      <w:r>
        <w:rPr>
          <w:rFonts w:hint="eastAsia"/>
          <w:lang w:val="en-US" w:eastAsia="zh-CN"/>
        </w:rPr>
        <w:t>一般项目</w:t>
      </w:r>
    </w:p>
    <w:p w14:paraId="2A51EEBE">
      <w:pPr>
        <w:bidi w:val="0"/>
        <w:rPr>
          <w:rFonts w:hint="eastAsia"/>
          <w:lang w:val="en-US" w:eastAsia="zh-CN"/>
        </w:rPr>
      </w:pPr>
      <w:r>
        <w:rPr>
          <w:rFonts w:hint="eastAsia"/>
          <w:lang w:val="en-US" w:eastAsia="zh-CN"/>
        </w:rPr>
        <w:t>栏杆表面应光滑、顺直、洁净，无划痕、变形、锈蚀。</w:t>
      </w:r>
    </w:p>
    <w:p w14:paraId="7D709C3A">
      <w:pPr>
        <w:bidi w:val="0"/>
        <w:rPr>
          <w:rFonts w:hint="eastAsia"/>
          <w:lang w:val="en-US" w:eastAsia="zh-CN"/>
        </w:rPr>
      </w:pPr>
      <w:r>
        <w:rPr>
          <w:rFonts w:hint="eastAsia"/>
          <w:lang w:val="en-US" w:eastAsia="zh-CN"/>
        </w:rPr>
        <w:t>栏杆接缝应严密，表面应平整，色泽应一致。</w:t>
      </w:r>
    </w:p>
    <w:p w14:paraId="76EF126C">
      <w:pPr>
        <w:bidi w:val="0"/>
        <w:rPr>
          <w:rFonts w:hint="eastAsia"/>
          <w:lang w:val="en-US" w:eastAsia="zh-CN"/>
        </w:rPr>
      </w:pPr>
      <w:r>
        <w:rPr>
          <w:rFonts w:hint="eastAsia"/>
          <w:lang w:val="en-US" w:eastAsia="zh-CN"/>
        </w:rPr>
        <w:t>不锈钢栏杆抛光面应光亮，无明显划痕、色差。</w:t>
      </w:r>
    </w:p>
    <w:p w14:paraId="5BEAA464">
      <w:pPr>
        <w:bidi w:val="0"/>
        <w:rPr>
          <w:rFonts w:hint="eastAsia"/>
          <w:lang w:val="en-US" w:eastAsia="zh-CN"/>
        </w:rPr>
      </w:pPr>
      <w:r>
        <w:rPr>
          <w:rFonts w:hint="eastAsia"/>
          <w:lang w:val="en-US" w:eastAsia="zh-CN"/>
        </w:rPr>
        <w:t>玻璃栏杆的玻璃应平整、洁净，无裂纹、缺损。</w:t>
      </w:r>
    </w:p>
    <w:p w14:paraId="0CF9EFAC">
      <w:pPr>
        <w:pStyle w:val="5"/>
        <w:bidi w:val="0"/>
        <w:rPr>
          <w:rFonts w:hint="eastAsia"/>
          <w:lang w:val="en-US" w:eastAsia="zh-CN"/>
        </w:rPr>
      </w:pPr>
      <w:r>
        <w:rPr>
          <w:rFonts w:hint="eastAsia"/>
          <w:lang w:val="en-US" w:eastAsia="zh-CN"/>
        </w:rPr>
        <w:t>允许偏差</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4"/>
        <w:gridCol w:w="2364"/>
        <w:gridCol w:w="2365"/>
        <w:gridCol w:w="2365"/>
      </w:tblGrid>
      <w:tr w14:paraId="790E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4" w:type="dxa"/>
            <w:shd w:val="clear" w:color="auto" w:fill="auto"/>
            <w:vAlign w:val="top"/>
          </w:tcPr>
          <w:p w14:paraId="2B7ACEDA">
            <w:pPr>
              <w:pStyle w:val="32"/>
              <w:bidi w:val="0"/>
              <w:rPr>
                <w:rFonts w:hint="eastAsia"/>
                <w:lang w:val="en-US" w:eastAsia="zh-CN"/>
              </w:rPr>
            </w:pPr>
            <w:r>
              <w:rPr>
                <w:lang w:val="en-US" w:eastAsia="zh-CN"/>
              </w:rPr>
              <w:t>项次</w:t>
            </w:r>
          </w:p>
        </w:tc>
        <w:tc>
          <w:tcPr>
            <w:tcW w:w="2364" w:type="dxa"/>
            <w:shd w:val="clear" w:color="auto" w:fill="auto"/>
            <w:vAlign w:val="top"/>
          </w:tcPr>
          <w:p w14:paraId="151962B7">
            <w:pPr>
              <w:pStyle w:val="32"/>
              <w:bidi w:val="0"/>
              <w:rPr>
                <w:rFonts w:hint="eastAsia"/>
                <w:lang w:val="en-US" w:eastAsia="zh-CN"/>
              </w:rPr>
            </w:pPr>
            <w:r>
              <w:rPr>
                <w:lang w:val="en-US" w:eastAsia="zh-CN"/>
              </w:rPr>
              <w:t>项目</w:t>
            </w:r>
          </w:p>
        </w:tc>
        <w:tc>
          <w:tcPr>
            <w:tcW w:w="2365" w:type="dxa"/>
            <w:shd w:val="clear" w:color="auto" w:fill="auto"/>
            <w:vAlign w:val="top"/>
          </w:tcPr>
          <w:p w14:paraId="115B2F60">
            <w:pPr>
              <w:pStyle w:val="32"/>
              <w:bidi w:val="0"/>
              <w:rPr>
                <w:rFonts w:hint="eastAsia"/>
                <w:lang w:val="en-US" w:eastAsia="zh-CN"/>
              </w:rPr>
            </w:pPr>
            <w:r>
              <w:rPr>
                <w:lang w:val="en-US" w:eastAsia="zh-CN"/>
              </w:rPr>
              <w:t>允许偏差(mm)</w:t>
            </w:r>
          </w:p>
        </w:tc>
        <w:tc>
          <w:tcPr>
            <w:tcW w:w="2365" w:type="dxa"/>
            <w:shd w:val="clear" w:color="auto" w:fill="auto"/>
            <w:vAlign w:val="top"/>
          </w:tcPr>
          <w:p w14:paraId="6CD1ECA4">
            <w:pPr>
              <w:pStyle w:val="32"/>
              <w:bidi w:val="0"/>
              <w:rPr>
                <w:rFonts w:hint="eastAsia"/>
                <w:lang w:val="en-US" w:eastAsia="zh-CN"/>
              </w:rPr>
            </w:pPr>
            <w:r>
              <w:rPr>
                <w:lang w:val="en-US" w:eastAsia="zh-CN"/>
              </w:rPr>
              <w:t>检验方法</w:t>
            </w:r>
          </w:p>
        </w:tc>
      </w:tr>
      <w:tr w14:paraId="371C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4" w:type="dxa"/>
            <w:shd w:val="clear" w:color="auto" w:fill="auto"/>
            <w:vAlign w:val="top"/>
          </w:tcPr>
          <w:p w14:paraId="6DD403CC">
            <w:pPr>
              <w:pStyle w:val="32"/>
              <w:bidi w:val="0"/>
              <w:rPr>
                <w:rFonts w:hint="eastAsia"/>
                <w:lang w:val="en-US" w:eastAsia="zh-CN"/>
              </w:rPr>
            </w:pPr>
            <w:r>
              <w:rPr>
                <w:lang w:val="en-US" w:eastAsia="zh-CN"/>
              </w:rPr>
              <w:t>1</w:t>
            </w:r>
          </w:p>
        </w:tc>
        <w:tc>
          <w:tcPr>
            <w:tcW w:w="2364" w:type="dxa"/>
            <w:shd w:val="clear" w:color="auto" w:fill="auto"/>
            <w:vAlign w:val="top"/>
          </w:tcPr>
          <w:p w14:paraId="5143744A">
            <w:pPr>
              <w:pStyle w:val="32"/>
              <w:bidi w:val="0"/>
              <w:rPr>
                <w:rFonts w:hint="eastAsia"/>
                <w:lang w:val="en-US" w:eastAsia="zh-CN"/>
              </w:rPr>
            </w:pPr>
            <w:r>
              <w:rPr>
                <w:lang w:val="en-US" w:eastAsia="zh-CN"/>
              </w:rPr>
              <w:t>栏杆垂直度</w:t>
            </w:r>
          </w:p>
        </w:tc>
        <w:tc>
          <w:tcPr>
            <w:tcW w:w="2365" w:type="dxa"/>
            <w:shd w:val="clear" w:color="auto" w:fill="auto"/>
            <w:vAlign w:val="top"/>
          </w:tcPr>
          <w:p w14:paraId="1CA3A275">
            <w:pPr>
              <w:pStyle w:val="32"/>
              <w:bidi w:val="0"/>
              <w:rPr>
                <w:rFonts w:hint="eastAsia"/>
                <w:lang w:val="en-US" w:eastAsia="zh-CN"/>
              </w:rPr>
            </w:pPr>
            <w:r>
              <w:rPr>
                <w:lang w:val="en-US" w:eastAsia="zh-CN"/>
              </w:rPr>
              <w:t>3</w:t>
            </w:r>
          </w:p>
        </w:tc>
        <w:tc>
          <w:tcPr>
            <w:tcW w:w="2365" w:type="dxa"/>
            <w:shd w:val="clear" w:color="auto" w:fill="auto"/>
            <w:vAlign w:val="top"/>
          </w:tcPr>
          <w:p w14:paraId="32BC3801">
            <w:pPr>
              <w:pStyle w:val="32"/>
              <w:bidi w:val="0"/>
              <w:rPr>
                <w:rFonts w:hint="eastAsia"/>
                <w:lang w:val="en-US" w:eastAsia="zh-CN"/>
              </w:rPr>
            </w:pPr>
            <w:r>
              <w:rPr>
                <w:lang w:val="en-US" w:eastAsia="zh-CN"/>
              </w:rPr>
              <w:t>用垂直检测尺检查</w:t>
            </w:r>
          </w:p>
        </w:tc>
      </w:tr>
      <w:tr w14:paraId="28B8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4" w:type="dxa"/>
            <w:shd w:val="clear" w:color="auto" w:fill="auto"/>
            <w:vAlign w:val="top"/>
          </w:tcPr>
          <w:p w14:paraId="48878D79">
            <w:pPr>
              <w:pStyle w:val="32"/>
              <w:bidi w:val="0"/>
              <w:rPr>
                <w:rFonts w:hint="eastAsia"/>
                <w:lang w:val="en-US" w:eastAsia="zh-CN"/>
              </w:rPr>
            </w:pPr>
            <w:r>
              <w:rPr>
                <w:lang w:val="en-US" w:eastAsia="zh-CN"/>
              </w:rPr>
              <w:t>2</w:t>
            </w:r>
          </w:p>
        </w:tc>
        <w:tc>
          <w:tcPr>
            <w:tcW w:w="2364" w:type="dxa"/>
            <w:shd w:val="clear" w:color="auto" w:fill="auto"/>
            <w:vAlign w:val="top"/>
          </w:tcPr>
          <w:p w14:paraId="3DAC2759">
            <w:pPr>
              <w:pStyle w:val="32"/>
              <w:bidi w:val="0"/>
              <w:rPr>
                <w:rFonts w:hint="eastAsia"/>
                <w:lang w:val="en-US" w:eastAsia="zh-CN"/>
              </w:rPr>
            </w:pPr>
            <w:r>
              <w:rPr>
                <w:lang w:val="en-US" w:eastAsia="zh-CN"/>
              </w:rPr>
              <w:t>栏杆高度</w:t>
            </w:r>
          </w:p>
        </w:tc>
        <w:tc>
          <w:tcPr>
            <w:tcW w:w="2365" w:type="dxa"/>
            <w:shd w:val="clear" w:color="auto" w:fill="auto"/>
            <w:vAlign w:val="top"/>
          </w:tcPr>
          <w:p w14:paraId="05955418">
            <w:pPr>
              <w:pStyle w:val="32"/>
              <w:bidi w:val="0"/>
              <w:rPr>
                <w:rFonts w:hint="eastAsia"/>
                <w:lang w:val="en-US" w:eastAsia="zh-CN"/>
              </w:rPr>
            </w:pPr>
            <w:r>
              <w:rPr>
                <w:lang w:val="en-US" w:eastAsia="zh-CN"/>
              </w:rPr>
              <w:t>±3</w:t>
            </w:r>
          </w:p>
        </w:tc>
        <w:tc>
          <w:tcPr>
            <w:tcW w:w="2365" w:type="dxa"/>
            <w:shd w:val="clear" w:color="auto" w:fill="auto"/>
            <w:vAlign w:val="top"/>
          </w:tcPr>
          <w:p w14:paraId="3C291D6B">
            <w:pPr>
              <w:pStyle w:val="32"/>
              <w:bidi w:val="0"/>
              <w:rPr>
                <w:rFonts w:hint="eastAsia"/>
                <w:lang w:val="en-US" w:eastAsia="zh-CN"/>
              </w:rPr>
            </w:pPr>
            <w:r>
              <w:rPr>
                <w:lang w:val="en-US" w:eastAsia="zh-CN"/>
              </w:rPr>
              <w:t>用钢尺检查</w:t>
            </w:r>
          </w:p>
        </w:tc>
      </w:tr>
      <w:tr w14:paraId="7573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4" w:type="dxa"/>
            <w:shd w:val="clear" w:color="auto" w:fill="auto"/>
            <w:vAlign w:val="top"/>
          </w:tcPr>
          <w:p w14:paraId="1F82509F">
            <w:pPr>
              <w:pStyle w:val="32"/>
              <w:bidi w:val="0"/>
              <w:rPr>
                <w:rFonts w:hint="eastAsia"/>
                <w:lang w:val="en-US" w:eastAsia="zh-CN"/>
              </w:rPr>
            </w:pPr>
            <w:r>
              <w:rPr>
                <w:lang w:val="en-US" w:eastAsia="zh-CN"/>
              </w:rPr>
              <w:t>3</w:t>
            </w:r>
          </w:p>
        </w:tc>
        <w:tc>
          <w:tcPr>
            <w:tcW w:w="2364" w:type="dxa"/>
            <w:shd w:val="clear" w:color="auto" w:fill="auto"/>
            <w:vAlign w:val="top"/>
          </w:tcPr>
          <w:p w14:paraId="601C8D4C">
            <w:pPr>
              <w:pStyle w:val="32"/>
              <w:bidi w:val="0"/>
              <w:rPr>
                <w:rFonts w:hint="eastAsia"/>
                <w:lang w:val="en-US" w:eastAsia="zh-CN"/>
              </w:rPr>
            </w:pPr>
            <w:r>
              <w:rPr>
                <w:lang w:val="en-US" w:eastAsia="zh-CN"/>
              </w:rPr>
              <w:t>栏杆间距</w:t>
            </w:r>
          </w:p>
        </w:tc>
        <w:tc>
          <w:tcPr>
            <w:tcW w:w="2365" w:type="dxa"/>
            <w:shd w:val="clear" w:color="auto" w:fill="auto"/>
            <w:vAlign w:val="top"/>
          </w:tcPr>
          <w:p w14:paraId="29C8956B">
            <w:pPr>
              <w:pStyle w:val="32"/>
              <w:bidi w:val="0"/>
              <w:rPr>
                <w:rFonts w:hint="eastAsia"/>
                <w:lang w:val="en-US" w:eastAsia="zh-CN"/>
              </w:rPr>
            </w:pPr>
            <w:r>
              <w:rPr>
                <w:lang w:val="en-US" w:eastAsia="zh-CN"/>
              </w:rPr>
              <w:t>±3</w:t>
            </w:r>
          </w:p>
        </w:tc>
        <w:tc>
          <w:tcPr>
            <w:tcW w:w="2365" w:type="dxa"/>
            <w:shd w:val="clear" w:color="auto" w:fill="auto"/>
            <w:vAlign w:val="top"/>
          </w:tcPr>
          <w:p w14:paraId="356A7921">
            <w:pPr>
              <w:pStyle w:val="32"/>
              <w:bidi w:val="0"/>
              <w:rPr>
                <w:rFonts w:hint="eastAsia"/>
                <w:lang w:val="en-US" w:eastAsia="zh-CN"/>
              </w:rPr>
            </w:pPr>
            <w:r>
              <w:rPr>
                <w:lang w:val="en-US" w:eastAsia="zh-CN"/>
              </w:rPr>
              <w:t>用钢尺检查</w:t>
            </w:r>
          </w:p>
        </w:tc>
      </w:tr>
      <w:tr w14:paraId="7A82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4" w:type="dxa"/>
            <w:shd w:val="clear" w:color="auto" w:fill="auto"/>
            <w:vAlign w:val="top"/>
          </w:tcPr>
          <w:p w14:paraId="7088978F">
            <w:pPr>
              <w:pStyle w:val="32"/>
              <w:bidi w:val="0"/>
              <w:rPr>
                <w:rFonts w:hint="eastAsia"/>
                <w:lang w:val="en-US" w:eastAsia="zh-CN"/>
              </w:rPr>
            </w:pPr>
            <w:r>
              <w:rPr>
                <w:lang w:val="en-US" w:eastAsia="zh-CN"/>
              </w:rPr>
              <w:t>4</w:t>
            </w:r>
          </w:p>
        </w:tc>
        <w:tc>
          <w:tcPr>
            <w:tcW w:w="2364" w:type="dxa"/>
            <w:shd w:val="clear" w:color="auto" w:fill="auto"/>
            <w:vAlign w:val="top"/>
          </w:tcPr>
          <w:p w14:paraId="0A0A3791">
            <w:pPr>
              <w:pStyle w:val="32"/>
              <w:bidi w:val="0"/>
              <w:rPr>
                <w:rFonts w:hint="eastAsia"/>
                <w:lang w:val="en-US" w:eastAsia="zh-CN"/>
              </w:rPr>
            </w:pPr>
            <w:r>
              <w:rPr>
                <w:lang w:val="en-US" w:eastAsia="zh-CN"/>
              </w:rPr>
              <w:t>扶手直线度</w:t>
            </w:r>
          </w:p>
        </w:tc>
        <w:tc>
          <w:tcPr>
            <w:tcW w:w="2365" w:type="dxa"/>
            <w:shd w:val="clear" w:color="auto" w:fill="auto"/>
            <w:vAlign w:val="top"/>
          </w:tcPr>
          <w:p w14:paraId="443348DB">
            <w:pPr>
              <w:pStyle w:val="32"/>
              <w:bidi w:val="0"/>
              <w:rPr>
                <w:rFonts w:hint="eastAsia"/>
                <w:lang w:val="en-US" w:eastAsia="zh-CN"/>
              </w:rPr>
            </w:pPr>
            <w:r>
              <w:rPr>
                <w:lang w:val="en-US" w:eastAsia="zh-CN"/>
              </w:rPr>
              <w:t>4</w:t>
            </w:r>
          </w:p>
        </w:tc>
        <w:tc>
          <w:tcPr>
            <w:tcW w:w="2365" w:type="dxa"/>
            <w:shd w:val="clear" w:color="auto" w:fill="auto"/>
            <w:vAlign w:val="top"/>
          </w:tcPr>
          <w:p w14:paraId="4BD39219">
            <w:pPr>
              <w:pStyle w:val="32"/>
              <w:bidi w:val="0"/>
              <w:rPr>
                <w:rFonts w:hint="eastAsia"/>
                <w:lang w:val="en-US" w:eastAsia="zh-CN"/>
              </w:rPr>
            </w:pPr>
            <w:r>
              <w:rPr>
                <w:lang w:val="en-US" w:eastAsia="zh-CN"/>
              </w:rPr>
              <w:t>拉通线，用钢直尺检查</w:t>
            </w:r>
          </w:p>
        </w:tc>
      </w:tr>
      <w:tr w14:paraId="59E0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4" w:type="dxa"/>
            <w:shd w:val="clear" w:color="auto" w:fill="auto"/>
            <w:vAlign w:val="top"/>
          </w:tcPr>
          <w:p w14:paraId="75842C73">
            <w:pPr>
              <w:pStyle w:val="32"/>
              <w:bidi w:val="0"/>
              <w:rPr>
                <w:rFonts w:hint="eastAsia"/>
                <w:lang w:val="en-US" w:eastAsia="zh-CN"/>
              </w:rPr>
            </w:pPr>
            <w:r>
              <w:rPr>
                <w:lang w:val="en-US" w:eastAsia="zh-CN"/>
              </w:rPr>
              <w:t>5</w:t>
            </w:r>
          </w:p>
        </w:tc>
        <w:tc>
          <w:tcPr>
            <w:tcW w:w="2364" w:type="dxa"/>
            <w:shd w:val="clear" w:color="auto" w:fill="auto"/>
            <w:vAlign w:val="top"/>
          </w:tcPr>
          <w:p w14:paraId="353D1C58">
            <w:pPr>
              <w:pStyle w:val="32"/>
              <w:bidi w:val="0"/>
              <w:rPr>
                <w:rFonts w:hint="eastAsia"/>
                <w:lang w:val="en-US" w:eastAsia="zh-CN"/>
              </w:rPr>
            </w:pPr>
            <w:r>
              <w:rPr>
                <w:lang w:val="en-US" w:eastAsia="zh-CN"/>
              </w:rPr>
              <w:t>扶手高度</w:t>
            </w:r>
          </w:p>
        </w:tc>
        <w:tc>
          <w:tcPr>
            <w:tcW w:w="2365" w:type="dxa"/>
            <w:shd w:val="clear" w:color="auto" w:fill="auto"/>
            <w:vAlign w:val="top"/>
          </w:tcPr>
          <w:p w14:paraId="4DE7EA58">
            <w:pPr>
              <w:pStyle w:val="32"/>
              <w:bidi w:val="0"/>
              <w:rPr>
                <w:rFonts w:hint="eastAsia"/>
                <w:lang w:val="en-US" w:eastAsia="zh-CN"/>
              </w:rPr>
            </w:pPr>
            <w:r>
              <w:rPr>
                <w:lang w:val="en-US" w:eastAsia="zh-CN"/>
              </w:rPr>
              <w:t>±3</w:t>
            </w:r>
          </w:p>
        </w:tc>
        <w:tc>
          <w:tcPr>
            <w:tcW w:w="2365" w:type="dxa"/>
            <w:shd w:val="clear" w:color="auto" w:fill="auto"/>
            <w:vAlign w:val="top"/>
          </w:tcPr>
          <w:p w14:paraId="13B3D8E6">
            <w:pPr>
              <w:pStyle w:val="32"/>
              <w:bidi w:val="0"/>
              <w:rPr>
                <w:rFonts w:hint="eastAsia"/>
                <w:lang w:val="en-US" w:eastAsia="zh-CN"/>
              </w:rPr>
            </w:pPr>
            <w:r>
              <w:rPr>
                <w:lang w:val="en-US" w:eastAsia="zh-CN"/>
              </w:rPr>
              <w:t>用钢尺检查</w:t>
            </w:r>
          </w:p>
        </w:tc>
      </w:tr>
    </w:tbl>
    <w:p w14:paraId="1E5E1AA5">
      <w:pPr>
        <w:pStyle w:val="2"/>
        <w:bidi w:val="0"/>
        <w:rPr>
          <w:rFonts w:hint="eastAsia"/>
          <w:lang w:val="en-US" w:eastAsia="zh-CN"/>
        </w:rPr>
      </w:pPr>
      <w:r>
        <w:rPr>
          <w:rFonts w:hint="eastAsia"/>
          <w:lang w:val="en-US" w:eastAsia="zh-CN"/>
        </w:rPr>
        <w:t>试验与检测要求</w:t>
      </w:r>
    </w:p>
    <w:p w14:paraId="797E4DDE">
      <w:pPr>
        <w:pStyle w:val="4"/>
        <w:bidi w:val="0"/>
        <w:rPr>
          <w:rFonts w:hint="eastAsia"/>
          <w:lang w:val="en-US" w:eastAsia="zh-CN"/>
        </w:rPr>
      </w:pPr>
      <w:r>
        <w:rPr>
          <w:rFonts w:hint="eastAsia"/>
          <w:lang w:val="en-US" w:eastAsia="zh-CN"/>
        </w:rPr>
        <w:t>门窗检测</w:t>
      </w:r>
    </w:p>
    <w:p w14:paraId="48AD0FA8">
      <w:pPr>
        <w:bidi w:val="0"/>
        <w:rPr>
          <w:rFonts w:hint="eastAsia"/>
          <w:lang w:val="en-US" w:eastAsia="zh-CN"/>
        </w:rPr>
      </w:pPr>
      <w:r>
        <w:rPr>
          <w:rFonts w:hint="eastAsia"/>
          <w:lang w:val="en-US" w:eastAsia="zh-CN"/>
        </w:rPr>
        <w:t>门窗三性试验：抗风压性能、水密性能、气密性能检测，由具有相应资质的检测机构进行，检测费用包含在综合单价中。</w:t>
      </w:r>
    </w:p>
    <w:p w14:paraId="2D959015">
      <w:pPr>
        <w:bidi w:val="0"/>
        <w:rPr>
          <w:rFonts w:hint="eastAsia"/>
          <w:lang w:val="en-US" w:eastAsia="zh-CN"/>
        </w:rPr>
      </w:pPr>
      <w:r>
        <w:rPr>
          <w:rFonts w:hint="eastAsia"/>
          <w:lang w:val="en-US" w:eastAsia="zh-CN"/>
        </w:rPr>
        <w:t>防火门检测：防火门必须具有国家消防产品质量监督检验中心出具的型式检验报告，进场后按规定进行抽样检查。</w:t>
      </w:r>
    </w:p>
    <w:p w14:paraId="4F2E7660">
      <w:pPr>
        <w:bidi w:val="0"/>
        <w:rPr>
          <w:rFonts w:hint="eastAsia"/>
          <w:lang w:val="en-US" w:eastAsia="zh-CN"/>
        </w:rPr>
      </w:pPr>
      <w:r>
        <w:rPr>
          <w:rFonts w:hint="eastAsia"/>
          <w:lang w:val="en-US" w:eastAsia="zh-CN"/>
        </w:rPr>
        <w:t>玻璃检测：钢化玻璃、夹层玻璃、中空玻璃等应按规定进行见证取样送检。</w:t>
      </w:r>
    </w:p>
    <w:p w14:paraId="36AD6395">
      <w:pPr>
        <w:bidi w:val="0"/>
        <w:rPr>
          <w:rFonts w:hint="eastAsia"/>
          <w:lang w:val="en-US" w:eastAsia="zh-CN"/>
        </w:rPr>
      </w:pPr>
      <w:r>
        <w:rPr>
          <w:rFonts w:hint="eastAsia"/>
          <w:lang w:val="en-US" w:eastAsia="zh-CN"/>
        </w:rPr>
        <w:t>铝型材检测：铝合金型材的壁厚、力学性能、涂层厚度等应按规定进行检测。</w:t>
      </w:r>
    </w:p>
    <w:p w14:paraId="4C8BFF9A">
      <w:pPr>
        <w:pStyle w:val="4"/>
        <w:bidi w:val="0"/>
        <w:rPr>
          <w:rFonts w:hint="eastAsia"/>
          <w:lang w:val="en-US" w:eastAsia="zh-CN"/>
        </w:rPr>
      </w:pPr>
      <w:r>
        <w:rPr>
          <w:rFonts w:hint="eastAsia"/>
          <w:lang w:val="en-US" w:eastAsia="zh-CN"/>
        </w:rPr>
        <w:t>栏杆检测</w:t>
      </w:r>
    </w:p>
    <w:p w14:paraId="1E4FE277">
      <w:pPr>
        <w:bidi w:val="0"/>
        <w:rPr>
          <w:rFonts w:hint="eastAsia"/>
          <w:lang w:val="en-US" w:eastAsia="zh-CN"/>
        </w:rPr>
      </w:pPr>
      <w:r>
        <w:rPr>
          <w:rFonts w:hint="eastAsia"/>
          <w:lang w:val="en-US" w:eastAsia="zh-CN"/>
        </w:rPr>
        <w:t>材料检测：不锈钢管材、钢板等原材料应按规定进行质量检测。</w:t>
      </w:r>
    </w:p>
    <w:p w14:paraId="096FB694">
      <w:pPr>
        <w:bidi w:val="0"/>
        <w:rPr>
          <w:rFonts w:hint="eastAsia"/>
          <w:lang w:val="en-US" w:eastAsia="zh-CN"/>
        </w:rPr>
      </w:pPr>
      <w:r>
        <w:rPr>
          <w:rFonts w:hint="eastAsia"/>
          <w:lang w:val="en-US" w:eastAsia="zh-CN"/>
        </w:rPr>
        <w:t>栏杆抗水平荷载试验：必要时应进行栏杆抗水平荷载试验，确保满足规范要求。</w:t>
      </w:r>
    </w:p>
    <w:p w14:paraId="373ADAD0">
      <w:pPr>
        <w:bidi w:val="0"/>
        <w:rPr>
          <w:rFonts w:hint="eastAsia"/>
          <w:lang w:val="en-US" w:eastAsia="zh-CN"/>
        </w:rPr>
      </w:pPr>
      <w:r>
        <w:rPr>
          <w:rFonts w:hint="eastAsia"/>
          <w:lang w:val="en-US" w:eastAsia="zh-CN"/>
        </w:rPr>
        <w:t>玻璃检测：玻璃栏杆所用玻璃应按规定进行检测。</w:t>
      </w:r>
    </w:p>
    <w:p w14:paraId="07C1C6AC">
      <w:pPr>
        <w:pStyle w:val="4"/>
        <w:bidi w:val="0"/>
        <w:rPr>
          <w:rFonts w:hint="eastAsia"/>
          <w:lang w:val="en-US" w:eastAsia="zh-CN"/>
        </w:rPr>
      </w:pPr>
      <w:r>
        <w:rPr>
          <w:rFonts w:hint="eastAsia"/>
          <w:lang w:val="en-US" w:eastAsia="zh-CN"/>
        </w:rPr>
        <w:t>其他检测</w:t>
      </w:r>
    </w:p>
    <w:p w14:paraId="0DE4F84F">
      <w:pPr>
        <w:bidi w:val="0"/>
        <w:rPr>
          <w:rFonts w:hint="eastAsia"/>
          <w:lang w:val="en-US" w:eastAsia="zh-CN"/>
        </w:rPr>
      </w:pPr>
      <w:r>
        <w:rPr>
          <w:rFonts w:hint="eastAsia"/>
          <w:lang w:val="en-US" w:eastAsia="zh-CN"/>
        </w:rPr>
        <w:t>所有涉及安全及使用功能的材料和产品都必须按国家及地方相关规定进行检测。</w:t>
      </w:r>
    </w:p>
    <w:p w14:paraId="063847A5">
      <w:pPr>
        <w:bidi w:val="0"/>
        <w:rPr>
          <w:rFonts w:hint="eastAsia"/>
          <w:lang w:val="en-US" w:eastAsia="zh-CN"/>
        </w:rPr>
      </w:pPr>
      <w:r>
        <w:rPr>
          <w:rFonts w:hint="eastAsia"/>
          <w:lang w:val="en-US" w:eastAsia="zh-CN"/>
        </w:rPr>
        <w:t>检测费用均包含在投标报价中，不另行支付。</w:t>
      </w:r>
    </w:p>
    <w:p w14:paraId="5FA63A99">
      <w:pPr>
        <w:bidi w:val="0"/>
        <w:rPr>
          <w:rFonts w:hint="eastAsia"/>
          <w:lang w:val="en-US" w:eastAsia="zh-CN"/>
        </w:rPr>
      </w:pPr>
      <w:r>
        <w:rPr>
          <w:rFonts w:hint="eastAsia"/>
          <w:lang w:val="en-US" w:eastAsia="zh-CN"/>
        </w:rPr>
        <w:t>检测不合格的产品必须退场，由此造成的损失由投标人承担。</w:t>
      </w:r>
    </w:p>
    <w:p w14:paraId="6BECBE1C">
      <w:pPr>
        <w:pStyle w:val="2"/>
        <w:bidi w:val="0"/>
        <w:rPr>
          <w:rFonts w:hint="eastAsia"/>
          <w:lang w:val="en-US" w:eastAsia="zh-CN"/>
        </w:rPr>
      </w:pPr>
      <w:r>
        <w:rPr>
          <w:rFonts w:hint="eastAsia"/>
          <w:lang w:val="en-US" w:eastAsia="zh-CN"/>
        </w:rPr>
        <w:t>成品保护要求</w:t>
      </w:r>
    </w:p>
    <w:p w14:paraId="41676DCE">
      <w:pPr>
        <w:pStyle w:val="4"/>
        <w:bidi w:val="0"/>
        <w:rPr>
          <w:rFonts w:hint="eastAsia"/>
          <w:lang w:val="en-US" w:eastAsia="zh-CN"/>
        </w:rPr>
      </w:pPr>
      <w:r>
        <w:rPr>
          <w:rFonts w:hint="eastAsia"/>
          <w:lang w:val="en-US" w:eastAsia="zh-CN"/>
        </w:rPr>
        <w:t xml:space="preserve"> 运输及堆放保护</w:t>
      </w:r>
    </w:p>
    <w:p w14:paraId="395FD838">
      <w:pPr>
        <w:bidi w:val="0"/>
        <w:rPr>
          <w:rFonts w:hint="eastAsia"/>
          <w:lang w:val="en-US" w:eastAsia="zh-CN"/>
        </w:rPr>
      </w:pPr>
      <w:r>
        <w:rPr>
          <w:rFonts w:hint="eastAsia"/>
          <w:lang w:val="en-US" w:eastAsia="zh-CN"/>
        </w:rPr>
        <w:t>产品在运输过程中应采取有效的保护措施，防止碰撞、划伤、变形。</w:t>
      </w:r>
    </w:p>
    <w:p w14:paraId="4F3DD2E9">
      <w:pPr>
        <w:bidi w:val="0"/>
        <w:rPr>
          <w:rFonts w:hint="eastAsia"/>
          <w:lang w:val="en-US" w:eastAsia="zh-CN"/>
        </w:rPr>
      </w:pPr>
      <w:r>
        <w:rPr>
          <w:rFonts w:hint="eastAsia"/>
          <w:lang w:val="en-US" w:eastAsia="zh-CN"/>
        </w:rPr>
        <w:t>产品应分类堆放，堆放场地应平整、干燥，有防雨、防潮措施。</w:t>
      </w:r>
    </w:p>
    <w:p w14:paraId="6DA29DC5">
      <w:pPr>
        <w:bidi w:val="0"/>
        <w:rPr>
          <w:rFonts w:hint="eastAsia"/>
          <w:lang w:val="en-US" w:eastAsia="zh-CN"/>
        </w:rPr>
      </w:pPr>
      <w:r>
        <w:rPr>
          <w:rFonts w:hint="eastAsia"/>
          <w:lang w:val="en-US" w:eastAsia="zh-CN"/>
        </w:rPr>
        <w:t>堆放时应使用垫木，避免直接接触地面，堆放高度应符合安全要求。</w:t>
      </w:r>
    </w:p>
    <w:p w14:paraId="37A05E08">
      <w:pPr>
        <w:bidi w:val="0"/>
        <w:rPr>
          <w:rFonts w:hint="eastAsia"/>
          <w:lang w:val="en-US" w:eastAsia="zh-CN"/>
        </w:rPr>
      </w:pPr>
      <w:r>
        <w:rPr>
          <w:rFonts w:hint="eastAsia"/>
          <w:lang w:val="en-US" w:eastAsia="zh-CN"/>
        </w:rPr>
        <w:t>玻璃应直立堆放，倾斜角度不大于15°，并有防倾倒措施。</w:t>
      </w:r>
    </w:p>
    <w:p w14:paraId="3605026D">
      <w:pPr>
        <w:pStyle w:val="4"/>
        <w:bidi w:val="0"/>
        <w:rPr>
          <w:rFonts w:hint="eastAsia"/>
          <w:lang w:val="en-US" w:eastAsia="zh-CN"/>
        </w:rPr>
      </w:pPr>
      <w:r>
        <w:rPr>
          <w:rFonts w:hint="eastAsia"/>
          <w:lang w:val="en-US" w:eastAsia="zh-CN"/>
        </w:rPr>
        <w:t xml:space="preserve"> 安装过程保护</w:t>
      </w:r>
    </w:p>
    <w:p w14:paraId="3C3E739E">
      <w:pPr>
        <w:bidi w:val="0"/>
        <w:rPr>
          <w:rFonts w:hint="eastAsia"/>
          <w:lang w:val="en-US" w:eastAsia="zh-CN"/>
        </w:rPr>
      </w:pPr>
      <w:r>
        <w:rPr>
          <w:rFonts w:hint="eastAsia"/>
          <w:lang w:val="en-US" w:eastAsia="zh-CN"/>
        </w:rPr>
        <w:t>门窗框安装后应粘贴保护膜，防止水泥砂浆等污染。</w:t>
      </w:r>
    </w:p>
    <w:p w14:paraId="2B082C25">
      <w:pPr>
        <w:bidi w:val="0"/>
        <w:rPr>
          <w:rFonts w:hint="eastAsia"/>
          <w:lang w:val="en-US" w:eastAsia="zh-CN"/>
        </w:rPr>
      </w:pPr>
      <w:r>
        <w:rPr>
          <w:rFonts w:hint="eastAsia"/>
          <w:lang w:val="en-US" w:eastAsia="zh-CN"/>
        </w:rPr>
        <w:t>栏杆安装后应采取包裹等保护措施，防止碰撞损坏。</w:t>
      </w:r>
    </w:p>
    <w:p w14:paraId="328A4717">
      <w:pPr>
        <w:bidi w:val="0"/>
        <w:rPr>
          <w:rFonts w:hint="eastAsia"/>
          <w:lang w:val="en-US" w:eastAsia="zh-CN"/>
        </w:rPr>
      </w:pPr>
      <w:r>
        <w:rPr>
          <w:rFonts w:hint="eastAsia"/>
          <w:lang w:val="en-US" w:eastAsia="zh-CN"/>
        </w:rPr>
        <w:t>玻璃安装后应设置明显的警示标志，防止碰撞。</w:t>
      </w:r>
    </w:p>
    <w:p w14:paraId="5F89606A">
      <w:pPr>
        <w:bidi w:val="0"/>
        <w:rPr>
          <w:rFonts w:hint="eastAsia"/>
          <w:lang w:val="en-US" w:eastAsia="zh-CN"/>
        </w:rPr>
      </w:pPr>
      <w:r>
        <w:rPr>
          <w:rFonts w:hint="eastAsia"/>
          <w:lang w:val="en-US" w:eastAsia="zh-CN"/>
        </w:rPr>
        <w:t>交叉施工时应采取有效的隔离保护措施。</w:t>
      </w:r>
    </w:p>
    <w:p w14:paraId="144E252E">
      <w:pPr>
        <w:bidi w:val="0"/>
        <w:rPr>
          <w:rFonts w:hint="eastAsia"/>
          <w:lang w:val="en-US" w:eastAsia="zh-CN"/>
        </w:rPr>
      </w:pPr>
      <w:r>
        <w:rPr>
          <w:rFonts w:hint="eastAsia"/>
          <w:lang w:val="en-US" w:eastAsia="zh-CN"/>
        </w:rPr>
        <w:t>严禁在已安装完成的门窗、栏杆上悬挂重物或作为脚手架支撑点。</w:t>
      </w:r>
    </w:p>
    <w:p w14:paraId="51131F8D">
      <w:pPr>
        <w:pStyle w:val="4"/>
        <w:bidi w:val="0"/>
        <w:rPr>
          <w:rFonts w:hint="eastAsia"/>
          <w:lang w:val="en-US" w:eastAsia="zh-CN"/>
        </w:rPr>
      </w:pPr>
      <w:r>
        <w:rPr>
          <w:rFonts w:hint="eastAsia"/>
          <w:lang w:val="en-US" w:eastAsia="zh-CN"/>
        </w:rPr>
        <w:t>竣工验收前保护</w:t>
      </w:r>
    </w:p>
    <w:p w14:paraId="3C0B0B1C">
      <w:pPr>
        <w:bidi w:val="0"/>
        <w:rPr>
          <w:rFonts w:hint="eastAsia"/>
          <w:lang w:val="en-US" w:eastAsia="zh-CN"/>
        </w:rPr>
      </w:pPr>
      <w:r>
        <w:rPr>
          <w:rFonts w:hint="eastAsia"/>
          <w:lang w:val="en-US" w:eastAsia="zh-CN"/>
        </w:rPr>
        <w:t>工程竣工验收前，投标人应负责对已完成的产品进行保护。</w:t>
      </w:r>
    </w:p>
    <w:p w14:paraId="6377046E">
      <w:pPr>
        <w:bidi w:val="0"/>
        <w:rPr>
          <w:rFonts w:hint="eastAsia"/>
          <w:lang w:val="en-US" w:eastAsia="zh-CN"/>
        </w:rPr>
      </w:pPr>
      <w:r>
        <w:rPr>
          <w:rFonts w:hint="eastAsia"/>
          <w:lang w:val="en-US" w:eastAsia="zh-CN"/>
        </w:rPr>
        <w:t>如因保护不当造成产品损坏、污染，投标人应无偿进行修复或更换。</w:t>
      </w:r>
    </w:p>
    <w:p w14:paraId="30C29A7F">
      <w:pPr>
        <w:bidi w:val="0"/>
        <w:rPr>
          <w:rFonts w:hint="eastAsia"/>
          <w:lang w:val="en-US" w:eastAsia="zh-CN"/>
        </w:rPr>
      </w:pPr>
      <w:r>
        <w:rPr>
          <w:rFonts w:hint="eastAsia"/>
          <w:lang w:val="en-US" w:eastAsia="zh-CN"/>
        </w:rPr>
        <w:t>竣工验收前应进行全面清洁，确保产品表面洁净、光亮。</w:t>
      </w:r>
    </w:p>
    <w:p w14:paraId="0C90FA43">
      <w:pPr>
        <w:pStyle w:val="2"/>
        <w:bidi w:val="0"/>
        <w:rPr>
          <w:rFonts w:hint="eastAsia"/>
          <w:lang w:val="en-US" w:eastAsia="zh-CN"/>
        </w:rPr>
      </w:pPr>
      <w:r>
        <w:rPr>
          <w:rFonts w:hint="eastAsia"/>
          <w:lang w:val="en-US" w:eastAsia="zh-CN"/>
        </w:rPr>
        <w:t>安全文明施工要求</w:t>
      </w:r>
    </w:p>
    <w:p w14:paraId="3775F476">
      <w:pPr>
        <w:pStyle w:val="4"/>
        <w:bidi w:val="0"/>
        <w:rPr>
          <w:rFonts w:hint="eastAsia"/>
          <w:lang w:val="en-US" w:eastAsia="zh-CN"/>
        </w:rPr>
      </w:pPr>
      <w:r>
        <w:rPr>
          <w:rFonts w:hint="eastAsia"/>
          <w:lang w:val="en-US" w:eastAsia="zh-CN"/>
        </w:rPr>
        <w:t>安全施工要求</w:t>
      </w:r>
    </w:p>
    <w:p w14:paraId="3324C223">
      <w:pPr>
        <w:bidi w:val="0"/>
        <w:rPr>
          <w:rFonts w:hint="eastAsia"/>
          <w:lang w:val="en-US" w:eastAsia="zh-CN"/>
        </w:rPr>
      </w:pPr>
      <w:r>
        <w:rPr>
          <w:rFonts w:hint="eastAsia"/>
          <w:lang w:val="en-US" w:eastAsia="zh-CN"/>
        </w:rPr>
        <w:t>施工人员必须经过安全教育培训，特种作业人员必须持证上岗。</w:t>
      </w:r>
    </w:p>
    <w:p w14:paraId="625984BF">
      <w:pPr>
        <w:bidi w:val="0"/>
        <w:rPr>
          <w:rFonts w:hint="eastAsia"/>
          <w:lang w:val="en-US" w:eastAsia="zh-CN"/>
        </w:rPr>
      </w:pPr>
      <w:r>
        <w:rPr>
          <w:rFonts w:hint="eastAsia"/>
          <w:lang w:val="en-US" w:eastAsia="zh-CN"/>
        </w:rPr>
        <w:t>进入施工现场必须佩戴安全帽，高处作业必须系安全带。</w:t>
      </w:r>
    </w:p>
    <w:p w14:paraId="4E217F2D">
      <w:pPr>
        <w:bidi w:val="0"/>
        <w:rPr>
          <w:rFonts w:hint="eastAsia"/>
          <w:lang w:val="en-US" w:eastAsia="zh-CN"/>
        </w:rPr>
      </w:pPr>
      <w:r>
        <w:rPr>
          <w:rFonts w:hint="eastAsia"/>
          <w:lang w:val="en-US" w:eastAsia="zh-CN"/>
        </w:rPr>
        <w:t>施工用电必须符合安全规范，配电箱应接地，漏电保护器应灵敏有效。</w:t>
      </w:r>
    </w:p>
    <w:p w14:paraId="70AAE4FB">
      <w:pPr>
        <w:bidi w:val="0"/>
        <w:rPr>
          <w:rFonts w:hint="eastAsia"/>
          <w:lang w:val="en-US" w:eastAsia="zh-CN"/>
        </w:rPr>
      </w:pPr>
      <w:r>
        <w:rPr>
          <w:rFonts w:hint="eastAsia"/>
          <w:lang w:val="en-US" w:eastAsia="zh-CN"/>
        </w:rPr>
        <w:t>高处作业时应搭设可靠的操作平台或脚手架，严禁违规作业。</w:t>
      </w:r>
    </w:p>
    <w:p w14:paraId="4268DBA0">
      <w:pPr>
        <w:bidi w:val="0"/>
        <w:rPr>
          <w:rFonts w:hint="eastAsia"/>
          <w:lang w:val="en-US" w:eastAsia="zh-CN"/>
        </w:rPr>
      </w:pPr>
      <w:r>
        <w:rPr>
          <w:rFonts w:hint="eastAsia"/>
          <w:lang w:val="en-US" w:eastAsia="zh-CN"/>
        </w:rPr>
        <w:t>玻璃安装时应采取防止玻璃坠落的安全措施。</w:t>
      </w:r>
    </w:p>
    <w:p w14:paraId="71EED8F4">
      <w:pPr>
        <w:bidi w:val="0"/>
        <w:rPr>
          <w:rFonts w:hint="eastAsia"/>
          <w:lang w:val="en-US" w:eastAsia="zh-CN"/>
        </w:rPr>
      </w:pPr>
      <w:r>
        <w:rPr>
          <w:rFonts w:hint="eastAsia"/>
          <w:lang w:val="en-US" w:eastAsia="zh-CN"/>
        </w:rPr>
        <w:t>焊接作业时应采取防火措施，配备灭火器材。</w:t>
      </w:r>
    </w:p>
    <w:p w14:paraId="72F2C8B3">
      <w:pPr>
        <w:pStyle w:val="4"/>
        <w:bidi w:val="0"/>
        <w:rPr>
          <w:rFonts w:hint="eastAsia"/>
          <w:lang w:val="en-US" w:eastAsia="zh-CN"/>
        </w:rPr>
      </w:pPr>
      <w:r>
        <w:rPr>
          <w:rFonts w:hint="eastAsia"/>
          <w:lang w:val="en-US" w:eastAsia="zh-CN"/>
        </w:rPr>
        <w:t xml:space="preserve"> 文明施工要求</w:t>
      </w:r>
    </w:p>
    <w:p w14:paraId="2BD9BA48">
      <w:pPr>
        <w:bidi w:val="0"/>
        <w:rPr>
          <w:rFonts w:hint="eastAsia"/>
          <w:lang w:val="en-US" w:eastAsia="zh-CN"/>
        </w:rPr>
      </w:pPr>
      <w:r>
        <w:rPr>
          <w:rFonts w:hint="eastAsia"/>
          <w:lang w:val="en-US" w:eastAsia="zh-CN"/>
        </w:rPr>
        <w:t>施工现场应保持整洁，材料堆放整齐，做到工完场清。</w:t>
      </w:r>
    </w:p>
    <w:p w14:paraId="59481F99">
      <w:pPr>
        <w:bidi w:val="0"/>
        <w:rPr>
          <w:rFonts w:hint="eastAsia"/>
          <w:lang w:val="en-US" w:eastAsia="zh-CN"/>
        </w:rPr>
      </w:pPr>
      <w:r>
        <w:rPr>
          <w:rFonts w:hint="eastAsia"/>
          <w:lang w:val="en-US" w:eastAsia="zh-CN"/>
        </w:rPr>
        <w:t>施工垃圾应及时清理，集中堆放，按规定清运。</w:t>
      </w:r>
    </w:p>
    <w:p w14:paraId="35A13B3D">
      <w:pPr>
        <w:bidi w:val="0"/>
        <w:rPr>
          <w:rFonts w:hint="eastAsia"/>
          <w:lang w:val="en-US" w:eastAsia="zh-CN"/>
        </w:rPr>
      </w:pPr>
      <w:r>
        <w:rPr>
          <w:rFonts w:hint="eastAsia"/>
          <w:lang w:val="en-US" w:eastAsia="zh-CN"/>
        </w:rPr>
        <w:t>施工过程中应采取降噪措施，避免噪声扰民。</w:t>
      </w:r>
    </w:p>
    <w:p w14:paraId="6EA6261B">
      <w:pPr>
        <w:bidi w:val="0"/>
        <w:rPr>
          <w:rFonts w:hint="eastAsia"/>
          <w:lang w:val="en-US" w:eastAsia="zh-CN"/>
        </w:rPr>
      </w:pPr>
      <w:r>
        <w:rPr>
          <w:rFonts w:hint="eastAsia"/>
          <w:lang w:val="en-US" w:eastAsia="zh-CN"/>
        </w:rPr>
        <w:t>严禁在施工现场吸烟、酗酒。</w:t>
      </w:r>
    </w:p>
    <w:p w14:paraId="105C219E">
      <w:pPr>
        <w:bidi w:val="0"/>
        <w:rPr>
          <w:rFonts w:hint="eastAsia"/>
          <w:lang w:val="en-US" w:eastAsia="zh-CN"/>
        </w:rPr>
      </w:pPr>
      <w:r>
        <w:rPr>
          <w:rFonts w:hint="eastAsia"/>
          <w:lang w:val="en-US" w:eastAsia="zh-CN"/>
        </w:rPr>
        <w:t>施工人员应统一着装，佩戴工作牌，文明施工。</w:t>
      </w:r>
    </w:p>
    <w:p w14:paraId="3378A2B2">
      <w:pPr>
        <w:pStyle w:val="4"/>
        <w:bidi w:val="0"/>
        <w:rPr>
          <w:rFonts w:hint="eastAsia"/>
          <w:lang w:val="en-US" w:eastAsia="zh-CN"/>
        </w:rPr>
      </w:pPr>
      <w:r>
        <w:rPr>
          <w:rFonts w:hint="eastAsia"/>
          <w:lang w:val="en-US" w:eastAsia="zh-CN"/>
        </w:rPr>
        <w:t xml:space="preserve"> 环境保护要求</w:t>
      </w:r>
    </w:p>
    <w:p w14:paraId="2365E141">
      <w:pPr>
        <w:bidi w:val="0"/>
        <w:rPr>
          <w:rFonts w:hint="eastAsia"/>
          <w:lang w:val="en-US" w:eastAsia="zh-CN"/>
        </w:rPr>
      </w:pPr>
      <w:r>
        <w:rPr>
          <w:rFonts w:hint="eastAsia"/>
          <w:lang w:val="en-US" w:eastAsia="zh-CN"/>
        </w:rPr>
        <w:t>施工过程中应采取有效的防尘措施，减少扬尘污染。</w:t>
      </w:r>
    </w:p>
    <w:p w14:paraId="3D002848">
      <w:pPr>
        <w:bidi w:val="0"/>
        <w:rPr>
          <w:rFonts w:hint="eastAsia"/>
          <w:lang w:val="en-US" w:eastAsia="zh-CN"/>
        </w:rPr>
      </w:pPr>
      <w:r>
        <w:rPr>
          <w:rFonts w:hint="eastAsia"/>
          <w:lang w:val="en-US" w:eastAsia="zh-CN"/>
        </w:rPr>
        <w:t>施工废水应经处理后排放，严禁直接排放。</w:t>
      </w:r>
    </w:p>
    <w:p w14:paraId="6535FDE9">
      <w:pPr>
        <w:bidi w:val="0"/>
        <w:rPr>
          <w:rFonts w:hint="eastAsia"/>
          <w:lang w:val="en-US" w:eastAsia="zh-CN"/>
        </w:rPr>
      </w:pPr>
      <w:r>
        <w:rPr>
          <w:rFonts w:hint="eastAsia"/>
          <w:lang w:val="en-US" w:eastAsia="zh-CN"/>
        </w:rPr>
        <w:t>油漆、胶水等易挥发材料应密封存放，减少有害气体排放。</w:t>
      </w:r>
    </w:p>
    <w:p w14:paraId="1259845C">
      <w:pPr>
        <w:bidi w:val="0"/>
        <w:rPr>
          <w:rFonts w:hint="eastAsia"/>
          <w:lang w:val="en-US" w:eastAsia="zh-CN"/>
        </w:rPr>
      </w:pPr>
      <w:r>
        <w:rPr>
          <w:rFonts w:hint="eastAsia"/>
          <w:lang w:val="en-US" w:eastAsia="zh-CN"/>
        </w:rPr>
        <w:t>包装材料等可回收物品应分类回收，节约资源。</w:t>
      </w:r>
    </w:p>
    <w:p w14:paraId="01FF4812">
      <w:pPr>
        <w:bidi w:val="0"/>
        <w:rPr>
          <w:rFonts w:hint="default"/>
          <w:lang w:val="en-US" w:eastAsia="zh-CN"/>
        </w:rPr>
      </w:pPr>
      <w:r>
        <w:rPr>
          <w:rFonts w:hint="eastAsia"/>
          <w:lang w:val="en-US" w:eastAsia="zh-CN"/>
        </w:rPr>
        <w:t>备注：本工程所有不锈钢均为304型号，</w:t>
      </w:r>
      <w:bookmarkStart w:id="0" w:name="_GoBack"/>
      <w:bookmarkEnd w:id="0"/>
      <w:r>
        <w:rPr>
          <w:rFonts w:hint="eastAsia"/>
          <w:lang w:val="en-US" w:eastAsia="zh-CN"/>
        </w:rPr>
        <w:t>本技术要求未尽事宜，按国家、广东省及珠海市现行相关规范、标准和规定执行，以及设计图纸要求实施。如本技术要求与国家现行标准有冲突，以较高标准为准。</w:t>
      </w:r>
    </w:p>
    <w:sectPr>
      <w:headerReference r:id="rId5" w:type="default"/>
      <w:footerReference r:id="rId6" w:type="default"/>
      <w:pgSz w:w="11906" w:h="16838"/>
      <w:pgMar w:top="1247" w:right="1247" w:bottom="1247" w:left="1247" w:header="680" w:footer="680" w:gutter="170"/>
      <w:pgNumType w:fmt="numberInDash"/>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algun Gothic">
    <w:panose1 w:val="020B0503020000020004"/>
    <w:charset w:val="81"/>
    <w:family w:val="swiss"/>
    <w:pitch w:val="default"/>
    <w:sig w:usb0="9000002F" w:usb1="29D77CFB" w:usb2="00000012" w:usb3="00000000" w:csb0="0008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3635057"/>
      <w:docPartObj>
        <w:docPartGallery w:val="autotext"/>
      </w:docPartObj>
    </w:sdtPr>
    <w:sdtContent>
      <w:p w14:paraId="22EFE8EF">
        <w:pPr>
          <w:tabs>
            <w:tab w:val="center" w:pos="4153"/>
            <w:tab w:val="right" w:pos="8306"/>
          </w:tabs>
          <w:ind w:firstLine="360"/>
          <w:jc w:val="center"/>
        </w:pPr>
        <w:r>
          <w:fldChar w:fldCharType="begin"/>
        </w:r>
        <w:r>
          <w:instrText xml:space="preserve">PAGE   \* MERGEFORMAT</w:instrText>
        </w:r>
        <w:r>
          <w:fldChar w:fldCharType="separate"/>
        </w:r>
        <w:r>
          <w:rPr>
            <w:lang w:val="zh-CN"/>
          </w:rPr>
          <w:t>-</w:t>
        </w:r>
        <w:r>
          <w:t xml:space="preserve"> 533 -</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1D450">
    <w:pPr>
      <w:pStyle w:val="11"/>
      <w:keepNext w:val="0"/>
      <w:keepLines w:val="0"/>
      <w:pageBreakBefore w:val="0"/>
      <w:widowControl w:val="0"/>
      <w:pBdr>
        <w:bottom w:val="single" w:color="auto" w:sz="4" w:space="0"/>
      </w:pBdr>
      <w:kinsoku/>
      <w:wordWrap/>
      <w:overflowPunct/>
      <w:topLinePunct w:val="0"/>
      <w:bidi w:val="0"/>
      <w:adjustRightInd/>
      <w:snapToGrid w:val="0"/>
      <w:spacing w:line="240" w:lineRule="auto"/>
      <w:ind w:left="0" w:leftChars="0" w:firstLine="0" w:firstLineChars="0"/>
      <w:jc w:val="left"/>
      <w:textAlignment w:val="auto"/>
      <w:rPr>
        <w:rFonts w:hint="default"/>
        <w:lang w:val="en-US"/>
      </w:rPr>
    </w:pPr>
    <w:r>
      <w:rPr>
        <w:rFonts w:hint="eastAsia"/>
        <w:b/>
        <w:bCs/>
        <w:sz w:val="44"/>
        <w:szCs w:val="52"/>
      </w:rPr>
      <w:drawing>
        <wp:inline distT="0" distB="0" distL="114300" distR="114300">
          <wp:extent cx="965835" cy="219710"/>
          <wp:effectExtent l="0" t="0" r="5715" b="8890"/>
          <wp:docPr id="112" name="图片 2" descr="南粤建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 descr="南粤建筑"/>
                  <pic:cNvPicPr>
                    <a:picLocks noChangeAspect="1"/>
                  </pic:cNvPicPr>
                </pic:nvPicPr>
                <pic:blipFill>
                  <a:blip r:embed="rId1"/>
                  <a:stretch>
                    <a:fillRect/>
                  </a:stretch>
                </pic:blipFill>
                <pic:spPr>
                  <a:xfrm>
                    <a:off x="0" y="0"/>
                    <a:ext cx="965835" cy="219710"/>
                  </a:xfrm>
                  <a:prstGeom prst="rect">
                    <a:avLst/>
                  </a:prstGeom>
                  <a:noFill/>
                  <a:ln>
                    <a:noFill/>
                  </a:ln>
                </pic:spPr>
              </pic:pic>
            </a:graphicData>
          </a:graphic>
        </wp:inline>
      </w:drawing>
    </w:r>
    <w:r>
      <w:rPr>
        <w:rFonts w:hint="eastAsia"/>
        <w:b/>
        <w:bCs/>
        <w:sz w:val="44"/>
        <w:szCs w:val="52"/>
        <w:lang w:val="en-US" w:eastAsia="zh-CN"/>
      </w:rPr>
      <w:t xml:space="preserve">             </w:t>
    </w:r>
    <w:r>
      <w:rPr>
        <w:rFonts w:hint="eastAsia"/>
      </w:rPr>
      <w:t>珠海市香洲区中小学、幼儿园办学场所及停车场改造提升工程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620CDA"/>
    <w:multiLevelType w:val="multilevel"/>
    <w:tmpl w:val="24620CDA"/>
    <w:lvl w:ilvl="0" w:tentative="0">
      <w:start w:val="1"/>
      <w:numFmt w:val="chineseCountingThousand"/>
      <w:pStyle w:val="3"/>
      <w:suff w:val="space"/>
      <w:lvlText w:val="第 %1 章"/>
      <w:lvlJc w:val="left"/>
      <w:pPr>
        <w:ind w:left="0" w:firstLine="0"/>
      </w:pPr>
      <w:rPr>
        <w:rFonts w:hint="default" w:ascii="Times New Roman" w:hAnsi="Times New Roman" w:eastAsia="宋体"/>
        <w:b/>
        <w:i w:val="0"/>
        <w:color w:val="auto"/>
        <w:sz w:val="32"/>
        <w:u w:val="none"/>
      </w:rPr>
    </w:lvl>
    <w:lvl w:ilvl="1" w:tentative="0">
      <w:start w:val="1"/>
      <w:numFmt w:val="decimal"/>
      <w:pStyle w:val="2"/>
      <w:suff w:val="space"/>
      <w:lvlText w:val="第 %2 节"/>
      <w:lvlJc w:val="left"/>
      <w:pPr>
        <w:ind w:left="0" w:firstLine="57"/>
      </w:pPr>
      <w:rPr>
        <w:rFonts w:hint="default" w:ascii="Times New Roman" w:hAnsi="Times New Roman" w:eastAsia="宋体"/>
        <w:b/>
        <w:bCs w:val="0"/>
        <w:i w:val="0"/>
        <w:iCs w:val="0"/>
        <w:caps w:val="0"/>
        <w:smallCaps w:val="0"/>
        <w:strike w:val="0"/>
        <w:dstrike w:val="0"/>
        <w:outline w:val="0"/>
        <w:shadow w:val="0"/>
        <w:emboss w:val="0"/>
        <w:imprint w:val="0"/>
        <w:vanish w:val="0"/>
        <w:spacing w:val="0"/>
        <w:position w:val="0"/>
        <w:sz w:val="30"/>
        <w:u w:val="none"/>
        <w:vertAlign w:val="baseline"/>
        <w:lang w:val="en-US"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2" w:tentative="0">
      <w:start w:val="1"/>
      <w:numFmt w:val="decimal"/>
      <w:pStyle w:val="4"/>
      <w:suff w:val="space"/>
      <w:lvlText w:val="%2.%3"/>
      <w:lvlJc w:val="left"/>
      <w:pPr>
        <w:ind w:left="0" w:firstLine="0"/>
      </w:pPr>
      <w:rPr>
        <w:rFonts w:hint="default" w:ascii="Times New Roman" w:hAnsi="Times New Roman" w:eastAsia="宋体"/>
        <w:b/>
        <w:i w:val="0"/>
        <w:sz w:val="28"/>
        <w:u w:val="none"/>
      </w:rPr>
    </w:lvl>
    <w:lvl w:ilvl="3" w:tentative="0">
      <w:start w:val="1"/>
      <w:numFmt w:val="decimal"/>
      <w:pStyle w:val="5"/>
      <w:suff w:val="space"/>
      <w:lvlText w:val="%2.%3.%4"/>
      <w:lvlJc w:val="left"/>
      <w:pPr>
        <w:ind w:left="1135" w:firstLine="0"/>
      </w:pPr>
      <w:rPr>
        <w:rFonts w:hint="default" w:ascii="Times New Roman" w:hAnsi="Times New Roman" w:eastAsia="宋体"/>
        <w:b w:val="0"/>
        <w:i w:val="0"/>
        <w:sz w:val="24"/>
        <w:u w:val="none"/>
      </w:rPr>
    </w:lvl>
    <w:lvl w:ilvl="4" w:tentative="0">
      <w:start w:val="1"/>
      <w:numFmt w:val="decimal"/>
      <w:pStyle w:val="6"/>
      <w:suff w:val="space"/>
      <w:lvlText w:val="%2.%3.%4.%5"/>
      <w:lvlJc w:val="left"/>
      <w:pPr>
        <w:ind w:left="710" w:firstLine="0"/>
      </w:pPr>
      <w:rPr>
        <w:rFonts w:hint="default" w:ascii="Times New Roman" w:hAnsi="Times New Roman" w:eastAsia="宋体"/>
        <w:b w:val="0"/>
        <w:i w:val="0"/>
        <w:sz w:val="24"/>
        <w:u w:val="none"/>
      </w:rPr>
    </w:lvl>
    <w:lvl w:ilvl="5" w:tentative="0">
      <w:start w:val="1"/>
      <w:numFmt w:val="decimal"/>
      <w:pStyle w:val="22"/>
      <w:suff w:val="space"/>
      <w:lvlText w:val="(%6)"/>
      <w:lvlJc w:val="left"/>
      <w:pPr>
        <w:ind w:left="425" w:firstLine="284"/>
      </w:pPr>
      <w:rPr>
        <w:rFonts w:hint="default" w:ascii="Times New Roman" w:hAnsi="Times New Roman" w:eastAsia="宋体"/>
        <w:b w:val="0"/>
        <w:i w:val="0"/>
        <w:color w:val="auto"/>
        <w:sz w:val="24"/>
        <w:u w:val="none"/>
      </w:rPr>
    </w:lvl>
    <w:lvl w:ilvl="6" w:tentative="0">
      <w:start w:val="1"/>
      <w:numFmt w:val="decimal"/>
      <w:pStyle w:val="31"/>
      <w:suff w:val="space"/>
      <w:lvlText w:val="%7)"/>
      <w:lvlJc w:val="left"/>
      <w:pPr>
        <w:ind w:left="0" w:firstLine="454"/>
      </w:pPr>
      <w:rPr>
        <w:rFonts w:hint="default" w:ascii="Times New Roman" w:hAnsi="Times New Roman" w:eastAsia="宋体"/>
        <w:b w:val="0"/>
        <w:i w:val="0"/>
        <w:color w:val="auto"/>
        <w:sz w:val="24"/>
        <w:u w:val="none"/>
      </w:rPr>
    </w:lvl>
    <w:lvl w:ilvl="7" w:tentative="0">
      <w:start w:val="1"/>
      <w:numFmt w:val="decimal"/>
      <w:lvlRestart w:val="5"/>
      <w:pStyle w:val="27"/>
      <w:suff w:val="space"/>
      <w:lvlText w:val="表%1.%2.%3.%4-%8"/>
      <w:lvlJc w:val="left"/>
      <w:pPr>
        <w:ind w:left="0" w:firstLine="0"/>
      </w:pPr>
      <w:rPr>
        <w:rFonts w:hint="default" w:ascii="Times New Roman" w:hAnsi="Times New Roman" w:eastAsia="黑体"/>
        <w:b w:val="0"/>
        <w:i w:val="0"/>
        <w:sz w:val="24"/>
        <w:u w:val="none"/>
      </w:rPr>
    </w:lvl>
    <w:lvl w:ilvl="8" w:tentative="0">
      <w:start w:val="1"/>
      <w:numFmt w:val="decimal"/>
      <w:pStyle w:val="29"/>
      <w:suff w:val="space"/>
      <w:lvlText w:val="图%1.%2.%3.%4-%9"/>
      <w:lvlJc w:val="left"/>
      <w:pPr>
        <w:ind w:left="3686" w:firstLine="0"/>
      </w:pPr>
      <w:rPr>
        <w:rFonts w:hint="eastAsia"/>
        <w:b w:val="0"/>
        <w:bCs w:val="0"/>
        <w:i w:val="0"/>
        <w:iCs w:val="0"/>
        <w:caps w:val="0"/>
        <w:smallCaps w:val="0"/>
        <w:strike w:val="0"/>
        <w:dstrike w:val="0"/>
        <w:outline w:val="0"/>
        <w:shadow w:val="0"/>
        <w:emboss w:val="0"/>
        <w:imprint w:val="0"/>
        <w:vanish w:val="0"/>
        <w:color w:val="auto"/>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6A6"/>
    <w:rsid w:val="0000066D"/>
    <w:rsid w:val="000006BD"/>
    <w:rsid w:val="00000924"/>
    <w:rsid w:val="0000407C"/>
    <w:rsid w:val="00004DFE"/>
    <w:rsid w:val="00005E7D"/>
    <w:rsid w:val="00006D19"/>
    <w:rsid w:val="000102E2"/>
    <w:rsid w:val="00010DC8"/>
    <w:rsid w:val="000118AA"/>
    <w:rsid w:val="00013496"/>
    <w:rsid w:val="00013B6E"/>
    <w:rsid w:val="00015829"/>
    <w:rsid w:val="00015F96"/>
    <w:rsid w:val="000174E3"/>
    <w:rsid w:val="00017B92"/>
    <w:rsid w:val="00020A29"/>
    <w:rsid w:val="00021890"/>
    <w:rsid w:val="00021B13"/>
    <w:rsid w:val="00022B2F"/>
    <w:rsid w:val="000241E0"/>
    <w:rsid w:val="0003011C"/>
    <w:rsid w:val="00030351"/>
    <w:rsid w:val="000306BC"/>
    <w:rsid w:val="0003276C"/>
    <w:rsid w:val="00032968"/>
    <w:rsid w:val="0003332E"/>
    <w:rsid w:val="00033FDA"/>
    <w:rsid w:val="00034227"/>
    <w:rsid w:val="000346CC"/>
    <w:rsid w:val="00034E4F"/>
    <w:rsid w:val="00034EE4"/>
    <w:rsid w:val="00035F71"/>
    <w:rsid w:val="000362FF"/>
    <w:rsid w:val="0003697F"/>
    <w:rsid w:val="00037148"/>
    <w:rsid w:val="0004145D"/>
    <w:rsid w:val="00042154"/>
    <w:rsid w:val="00047500"/>
    <w:rsid w:val="0005050A"/>
    <w:rsid w:val="00050C87"/>
    <w:rsid w:val="00052B0D"/>
    <w:rsid w:val="000544ED"/>
    <w:rsid w:val="000549AE"/>
    <w:rsid w:val="00055F4D"/>
    <w:rsid w:val="00056972"/>
    <w:rsid w:val="00056EB2"/>
    <w:rsid w:val="000579EB"/>
    <w:rsid w:val="00057DCC"/>
    <w:rsid w:val="00061C06"/>
    <w:rsid w:val="00062C39"/>
    <w:rsid w:val="00063D65"/>
    <w:rsid w:val="000654C0"/>
    <w:rsid w:val="00065F5A"/>
    <w:rsid w:val="0006601A"/>
    <w:rsid w:val="0006651E"/>
    <w:rsid w:val="00066CCD"/>
    <w:rsid w:val="00067CC4"/>
    <w:rsid w:val="00070DC2"/>
    <w:rsid w:val="00071804"/>
    <w:rsid w:val="00071A43"/>
    <w:rsid w:val="00074808"/>
    <w:rsid w:val="0007498B"/>
    <w:rsid w:val="00077632"/>
    <w:rsid w:val="00077A0C"/>
    <w:rsid w:val="00077C81"/>
    <w:rsid w:val="00082A45"/>
    <w:rsid w:val="00083706"/>
    <w:rsid w:val="00085386"/>
    <w:rsid w:val="0008754E"/>
    <w:rsid w:val="00087D71"/>
    <w:rsid w:val="00090B88"/>
    <w:rsid w:val="00090D6D"/>
    <w:rsid w:val="00091112"/>
    <w:rsid w:val="00095810"/>
    <w:rsid w:val="00096A2D"/>
    <w:rsid w:val="000A1F97"/>
    <w:rsid w:val="000A2917"/>
    <w:rsid w:val="000A2C24"/>
    <w:rsid w:val="000A327A"/>
    <w:rsid w:val="000A35D9"/>
    <w:rsid w:val="000A5867"/>
    <w:rsid w:val="000A7293"/>
    <w:rsid w:val="000A7A3D"/>
    <w:rsid w:val="000B0460"/>
    <w:rsid w:val="000B11FA"/>
    <w:rsid w:val="000B1708"/>
    <w:rsid w:val="000B4659"/>
    <w:rsid w:val="000B492D"/>
    <w:rsid w:val="000B57E1"/>
    <w:rsid w:val="000B7C84"/>
    <w:rsid w:val="000C033D"/>
    <w:rsid w:val="000C18F7"/>
    <w:rsid w:val="000C1B5D"/>
    <w:rsid w:val="000C299B"/>
    <w:rsid w:val="000C3C0C"/>
    <w:rsid w:val="000C3DC0"/>
    <w:rsid w:val="000C4133"/>
    <w:rsid w:val="000C4EC0"/>
    <w:rsid w:val="000D0850"/>
    <w:rsid w:val="000D0B77"/>
    <w:rsid w:val="000D1DB1"/>
    <w:rsid w:val="000D2949"/>
    <w:rsid w:val="000D3630"/>
    <w:rsid w:val="000D4870"/>
    <w:rsid w:val="000D568C"/>
    <w:rsid w:val="000D5C1F"/>
    <w:rsid w:val="000D5CD9"/>
    <w:rsid w:val="000D67DA"/>
    <w:rsid w:val="000D6EE1"/>
    <w:rsid w:val="000D7743"/>
    <w:rsid w:val="000E04DD"/>
    <w:rsid w:val="000E0929"/>
    <w:rsid w:val="000E0980"/>
    <w:rsid w:val="000E26D0"/>
    <w:rsid w:val="000E34DF"/>
    <w:rsid w:val="000E3AE7"/>
    <w:rsid w:val="000E3FB7"/>
    <w:rsid w:val="000E40B6"/>
    <w:rsid w:val="000E4787"/>
    <w:rsid w:val="000E5A00"/>
    <w:rsid w:val="000E5EF6"/>
    <w:rsid w:val="000F0AF9"/>
    <w:rsid w:val="000F77CC"/>
    <w:rsid w:val="000F7EFD"/>
    <w:rsid w:val="0010015F"/>
    <w:rsid w:val="00102CF6"/>
    <w:rsid w:val="00103FE9"/>
    <w:rsid w:val="00104CBC"/>
    <w:rsid w:val="00105415"/>
    <w:rsid w:val="001064A8"/>
    <w:rsid w:val="0011009E"/>
    <w:rsid w:val="00110DBC"/>
    <w:rsid w:val="00111DFB"/>
    <w:rsid w:val="00112AE9"/>
    <w:rsid w:val="00113099"/>
    <w:rsid w:val="00113F44"/>
    <w:rsid w:val="001171FC"/>
    <w:rsid w:val="00117F5F"/>
    <w:rsid w:val="001224A1"/>
    <w:rsid w:val="00123657"/>
    <w:rsid w:val="001252BE"/>
    <w:rsid w:val="001252F6"/>
    <w:rsid w:val="00125E19"/>
    <w:rsid w:val="00125F3C"/>
    <w:rsid w:val="00126742"/>
    <w:rsid w:val="00126F77"/>
    <w:rsid w:val="0012719D"/>
    <w:rsid w:val="00130333"/>
    <w:rsid w:val="00131556"/>
    <w:rsid w:val="0013197E"/>
    <w:rsid w:val="001319AC"/>
    <w:rsid w:val="00132AB1"/>
    <w:rsid w:val="00132FF3"/>
    <w:rsid w:val="00137B4F"/>
    <w:rsid w:val="00140900"/>
    <w:rsid w:val="00141214"/>
    <w:rsid w:val="0014180E"/>
    <w:rsid w:val="00142DE0"/>
    <w:rsid w:val="00144E89"/>
    <w:rsid w:val="001456DD"/>
    <w:rsid w:val="00145B98"/>
    <w:rsid w:val="00146A0C"/>
    <w:rsid w:val="00146DBB"/>
    <w:rsid w:val="0015026C"/>
    <w:rsid w:val="00150801"/>
    <w:rsid w:val="00150B9B"/>
    <w:rsid w:val="00150D76"/>
    <w:rsid w:val="0015150E"/>
    <w:rsid w:val="00152A5F"/>
    <w:rsid w:val="0015373F"/>
    <w:rsid w:val="00153E42"/>
    <w:rsid w:val="001571AA"/>
    <w:rsid w:val="00157F50"/>
    <w:rsid w:val="001618CB"/>
    <w:rsid w:val="00162CFD"/>
    <w:rsid w:val="00164B60"/>
    <w:rsid w:val="001650CB"/>
    <w:rsid w:val="00165C34"/>
    <w:rsid w:val="00167DD1"/>
    <w:rsid w:val="00170D6E"/>
    <w:rsid w:val="001717D9"/>
    <w:rsid w:val="00174CAF"/>
    <w:rsid w:val="00174ECD"/>
    <w:rsid w:val="00175307"/>
    <w:rsid w:val="00175D61"/>
    <w:rsid w:val="00176BC6"/>
    <w:rsid w:val="00180670"/>
    <w:rsid w:val="0018128A"/>
    <w:rsid w:val="00182B57"/>
    <w:rsid w:val="00182B66"/>
    <w:rsid w:val="001833F3"/>
    <w:rsid w:val="00185121"/>
    <w:rsid w:val="00185D4C"/>
    <w:rsid w:val="001863C7"/>
    <w:rsid w:val="0018724B"/>
    <w:rsid w:val="00190908"/>
    <w:rsid w:val="0019230E"/>
    <w:rsid w:val="00192B3F"/>
    <w:rsid w:val="00194452"/>
    <w:rsid w:val="00196168"/>
    <w:rsid w:val="001A034C"/>
    <w:rsid w:val="001A0F46"/>
    <w:rsid w:val="001A1287"/>
    <w:rsid w:val="001A1894"/>
    <w:rsid w:val="001A1D80"/>
    <w:rsid w:val="001A391B"/>
    <w:rsid w:val="001A408F"/>
    <w:rsid w:val="001A5FFF"/>
    <w:rsid w:val="001A6A0E"/>
    <w:rsid w:val="001A6C33"/>
    <w:rsid w:val="001A7849"/>
    <w:rsid w:val="001B22FE"/>
    <w:rsid w:val="001B27FC"/>
    <w:rsid w:val="001B3183"/>
    <w:rsid w:val="001B3F8F"/>
    <w:rsid w:val="001B46DE"/>
    <w:rsid w:val="001B5BE4"/>
    <w:rsid w:val="001B5DED"/>
    <w:rsid w:val="001B74E2"/>
    <w:rsid w:val="001C0C7C"/>
    <w:rsid w:val="001C12B9"/>
    <w:rsid w:val="001C2307"/>
    <w:rsid w:val="001C33AD"/>
    <w:rsid w:val="001C3F6F"/>
    <w:rsid w:val="001C43F2"/>
    <w:rsid w:val="001C5780"/>
    <w:rsid w:val="001C5E35"/>
    <w:rsid w:val="001C6197"/>
    <w:rsid w:val="001C67C0"/>
    <w:rsid w:val="001D02BB"/>
    <w:rsid w:val="001D11CB"/>
    <w:rsid w:val="001D2A54"/>
    <w:rsid w:val="001D3037"/>
    <w:rsid w:val="001D3465"/>
    <w:rsid w:val="001D475E"/>
    <w:rsid w:val="001D5633"/>
    <w:rsid w:val="001D74C4"/>
    <w:rsid w:val="001E0814"/>
    <w:rsid w:val="001E0833"/>
    <w:rsid w:val="001E0BE1"/>
    <w:rsid w:val="001E1473"/>
    <w:rsid w:val="001E14CB"/>
    <w:rsid w:val="001E1A69"/>
    <w:rsid w:val="001E2C03"/>
    <w:rsid w:val="001E2C9B"/>
    <w:rsid w:val="001E46A4"/>
    <w:rsid w:val="001E5EA7"/>
    <w:rsid w:val="001E611A"/>
    <w:rsid w:val="001E6257"/>
    <w:rsid w:val="001E729E"/>
    <w:rsid w:val="001F02D0"/>
    <w:rsid w:val="001F12B1"/>
    <w:rsid w:val="001F2758"/>
    <w:rsid w:val="001F4D89"/>
    <w:rsid w:val="001F72E7"/>
    <w:rsid w:val="00200144"/>
    <w:rsid w:val="002005F1"/>
    <w:rsid w:val="0020140A"/>
    <w:rsid w:val="002016A4"/>
    <w:rsid w:val="00201D90"/>
    <w:rsid w:val="0020350A"/>
    <w:rsid w:val="00203BEC"/>
    <w:rsid w:val="00203CEC"/>
    <w:rsid w:val="00203F34"/>
    <w:rsid w:val="00204E3B"/>
    <w:rsid w:val="002079EB"/>
    <w:rsid w:val="00211CEA"/>
    <w:rsid w:val="002123B7"/>
    <w:rsid w:val="0021293E"/>
    <w:rsid w:val="0021346F"/>
    <w:rsid w:val="00214F75"/>
    <w:rsid w:val="00216CFB"/>
    <w:rsid w:val="00220BE9"/>
    <w:rsid w:val="00221D55"/>
    <w:rsid w:val="0022205E"/>
    <w:rsid w:val="00223668"/>
    <w:rsid w:val="002244B9"/>
    <w:rsid w:val="00225058"/>
    <w:rsid w:val="00225736"/>
    <w:rsid w:val="002267D9"/>
    <w:rsid w:val="002268E7"/>
    <w:rsid w:val="0022744C"/>
    <w:rsid w:val="002278F9"/>
    <w:rsid w:val="00227F6E"/>
    <w:rsid w:val="00230435"/>
    <w:rsid w:val="00230F10"/>
    <w:rsid w:val="00231508"/>
    <w:rsid w:val="002320C1"/>
    <w:rsid w:val="00232E44"/>
    <w:rsid w:val="002334B0"/>
    <w:rsid w:val="002334DF"/>
    <w:rsid w:val="00234AE1"/>
    <w:rsid w:val="0023586F"/>
    <w:rsid w:val="00236356"/>
    <w:rsid w:val="002367E6"/>
    <w:rsid w:val="00240E62"/>
    <w:rsid w:val="0024153E"/>
    <w:rsid w:val="00242F40"/>
    <w:rsid w:val="002434D1"/>
    <w:rsid w:val="00246191"/>
    <w:rsid w:val="00252133"/>
    <w:rsid w:val="00252C04"/>
    <w:rsid w:val="00253F7E"/>
    <w:rsid w:val="00254C4E"/>
    <w:rsid w:val="00260836"/>
    <w:rsid w:val="00261C4A"/>
    <w:rsid w:val="00262182"/>
    <w:rsid w:val="00262B4E"/>
    <w:rsid w:val="002631D3"/>
    <w:rsid w:val="00265B4D"/>
    <w:rsid w:val="002667A8"/>
    <w:rsid w:val="00266BC9"/>
    <w:rsid w:val="00267060"/>
    <w:rsid w:val="00272C13"/>
    <w:rsid w:val="002744F0"/>
    <w:rsid w:val="0027564A"/>
    <w:rsid w:val="00276752"/>
    <w:rsid w:val="002774FE"/>
    <w:rsid w:val="002807AC"/>
    <w:rsid w:val="00282473"/>
    <w:rsid w:val="0028521D"/>
    <w:rsid w:val="00287241"/>
    <w:rsid w:val="00291DC1"/>
    <w:rsid w:val="00291ED9"/>
    <w:rsid w:val="002939BF"/>
    <w:rsid w:val="002950DC"/>
    <w:rsid w:val="00295897"/>
    <w:rsid w:val="00295A77"/>
    <w:rsid w:val="00296C52"/>
    <w:rsid w:val="00296C8C"/>
    <w:rsid w:val="00296CF9"/>
    <w:rsid w:val="00297261"/>
    <w:rsid w:val="00297E42"/>
    <w:rsid w:val="002A2C45"/>
    <w:rsid w:val="002A2C95"/>
    <w:rsid w:val="002A31A6"/>
    <w:rsid w:val="002A351A"/>
    <w:rsid w:val="002A48BC"/>
    <w:rsid w:val="002A521E"/>
    <w:rsid w:val="002A544C"/>
    <w:rsid w:val="002A612B"/>
    <w:rsid w:val="002A67FE"/>
    <w:rsid w:val="002A784F"/>
    <w:rsid w:val="002B2352"/>
    <w:rsid w:val="002B324C"/>
    <w:rsid w:val="002B419D"/>
    <w:rsid w:val="002B5B62"/>
    <w:rsid w:val="002B5DB6"/>
    <w:rsid w:val="002B72B0"/>
    <w:rsid w:val="002C0CC3"/>
    <w:rsid w:val="002C218E"/>
    <w:rsid w:val="002C2893"/>
    <w:rsid w:val="002C3D41"/>
    <w:rsid w:val="002C49DB"/>
    <w:rsid w:val="002C56AD"/>
    <w:rsid w:val="002C5F0A"/>
    <w:rsid w:val="002C69F1"/>
    <w:rsid w:val="002C6D1A"/>
    <w:rsid w:val="002C75CB"/>
    <w:rsid w:val="002C75CF"/>
    <w:rsid w:val="002D0440"/>
    <w:rsid w:val="002D0458"/>
    <w:rsid w:val="002D2538"/>
    <w:rsid w:val="002D3F4D"/>
    <w:rsid w:val="002D4B39"/>
    <w:rsid w:val="002D5214"/>
    <w:rsid w:val="002D5987"/>
    <w:rsid w:val="002D5C31"/>
    <w:rsid w:val="002D77E4"/>
    <w:rsid w:val="002E07F0"/>
    <w:rsid w:val="002E0D40"/>
    <w:rsid w:val="002E1120"/>
    <w:rsid w:val="002E128B"/>
    <w:rsid w:val="002E1B33"/>
    <w:rsid w:val="002E23FE"/>
    <w:rsid w:val="002E2429"/>
    <w:rsid w:val="002E3925"/>
    <w:rsid w:val="002E39E1"/>
    <w:rsid w:val="002E4F26"/>
    <w:rsid w:val="002E5D0F"/>
    <w:rsid w:val="002E6DAC"/>
    <w:rsid w:val="002E79DB"/>
    <w:rsid w:val="002E7E46"/>
    <w:rsid w:val="002E7F9E"/>
    <w:rsid w:val="002F0F86"/>
    <w:rsid w:val="002F1245"/>
    <w:rsid w:val="002F5DA4"/>
    <w:rsid w:val="002F6BBF"/>
    <w:rsid w:val="002F7F66"/>
    <w:rsid w:val="0030129C"/>
    <w:rsid w:val="00303A3D"/>
    <w:rsid w:val="00304E58"/>
    <w:rsid w:val="0030627B"/>
    <w:rsid w:val="003117E9"/>
    <w:rsid w:val="00312B0F"/>
    <w:rsid w:val="00312EB6"/>
    <w:rsid w:val="003140DE"/>
    <w:rsid w:val="00314AF0"/>
    <w:rsid w:val="00315D83"/>
    <w:rsid w:val="00316D63"/>
    <w:rsid w:val="00317DD6"/>
    <w:rsid w:val="00322B2C"/>
    <w:rsid w:val="0032350A"/>
    <w:rsid w:val="00324C5C"/>
    <w:rsid w:val="003251CC"/>
    <w:rsid w:val="00325F8B"/>
    <w:rsid w:val="00327E0C"/>
    <w:rsid w:val="0033050F"/>
    <w:rsid w:val="003317D1"/>
    <w:rsid w:val="0033397F"/>
    <w:rsid w:val="00333B1C"/>
    <w:rsid w:val="00333CF8"/>
    <w:rsid w:val="003353BB"/>
    <w:rsid w:val="0033618D"/>
    <w:rsid w:val="0033680B"/>
    <w:rsid w:val="00336921"/>
    <w:rsid w:val="00336AEA"/>
    <w:rsid w:val="0033761B"/>
    <w:rsid w:val="00337B09"/>
    <w:rsid w:val="00337DC8"/>
    <w:rsid w:val="00340F9A"/>
    <w:rsid w:val="00341D47"/>
    <w:rsid w:val="00345615"/>
    <w:rsid w:val="003457C6"/>
    <w:rsid w:val="0034624C"/>
    <w:rsid w:val="00350027"/>
    <w:rsid w:val="00350F03"/>
    <w:rsid w:val="00351CB2"/>
    <w:rsid w:val="00353AE8"/>
    <w:rsid w:val="00353D16"/>
    <w:rsid w:val="00353F49"/>
    <w:rsid w:val="003548E2"/>
    <w:rsid w:val="0035752C"/>
    <w:rsid w:val="00361DBF"/>
    <w:rsid w:val="003634C2"/>
    <w:rsid w:val="00363752"/>
    <w:rsid w:val="003659BD"/>
    <w:rsid w:val="00366435"/>
    <w:rsid w:val="00367F23"/>
    <w:rsid w:val="00371398"/>
    <w:rsid w:val="00371663"/>
    <w:rsid w:val="00371C8E"/>
    <w:rsid w:val="00373D17"/>
    <w:rsid w:val="0037483D"/>
    <w:rsid w:val="00374930"/>
    <w:rsid w:val="00374D25"/>
    <w:rsid w:val="00375A67"/>
    <w:rsid w:val="00375FB1"/>
    <w:rsid w:val="0037654D"/>
    <w:rsid w:val="003875B7"/>
    <w:rsid w:val="00390817"/>
    <w:rsid w:val="0039110D"/>
    <w:rsid w:val="00391AD2"/>
    <w:rsid w:val="003929BC"/>
    <w:rsid w:val="00393064"/>
    <w:rsid w:val="00394595"/>
    <w:rsid w:val="003951DA"/>
    <w:rsid w:val="0039587D"/>
    <w:rsid w:val="003959BB"/>
    <w:rsid w:val="00397528"/>
    <w:rsid w:val="0039779A"/>
    <w:rsid w:val="003A17FA"/>
    <w:rsid w:val="003A29AF"/>
    <w:rsid w:val="003A2E6B"/>
    <w:rsid w:val="003A34A7"/>
    <w:rsid w:val="003A3860"/>
    <w:rsid w:val="003A3F3D"/>
    <w:rsid w:val="003A52E1"/>
    <w:rsid w:val="003A5B66"/>
    <w:rsid w:val="003A5D86"/>
    <w:rsid w:val="003B0034"/>
    <w:rsid w:val="003B11D7"/>
    <w:rsid w:val="003B11FA"/>
    <w:rsid w:val="003B15DE"/>
    <w:rsid w:val="003B2CEE"/>
    <w:rsid w:val="003B2E94"/>
    <w:rsid w:val="003B757D"/>
    <w:rsid w:val="003B7BBF"/>
    <w:rsid w:val="003C2BD8"/>
    <w:rsid w:val="003C5D95"/>
    <w:rsid w:val="003D00EE"/>
    <w:rsid w:val="003D1E2D"/>
    <w:rsid w:val="003D246C"/>
    <w:rsid w:val="003D4235"/>
    <w:rsid w:val="003D45B8"/>
    <w:rsid w:val="003D4A87"/>
    <w:rsid w:val="003D51C6"/>
    <w:rsid w:val="003D51CC"/>
    <w:rsid w:val="003D5532"/>
    <w:rsid w:val="003D6E7A"/>
    <w:rsid w:val="003E10BC"/>
    <w:rsid w:val="003E1B87"/>
    <w:rsid w:val="003E2022"/>
    <w:rsid w:val="003E2569"/>
    <w:rsid w:val="003E3D0B"/>
    <w:rsid w:val="003E4A60"/>
    <w:rsid w:val="003E5262"/>
    <w:rsid w:val="003E5DFE"/>
    <w:rsid w:val="003E5E39"/>
    <w:rsid w:val="003E6CF1"/>
    <w:rsid w:val="003E7E25"/>
    <w:rsid w:val="003F0CC7"/>
    <w:rsid w:val="003F1CA4"/>
    <w:rsid w:val="003F2609"/>
    <w:rsid w:val="003F33CE"/>
    <w:rsid w:val="003F3C3F"/>
    <w:rsid w:val="003F4385"/>
    <w:rsid w:val="003F4BAA"/>
    <w:rsid w:val="003F598E"/>
    <w:rsid w:val="003F59AC"/>
    <w:rsid w:val="003F6040"/>
    <w:rsid w:val="003F61AF"/>
    <w:rsid w:val="003F711B"/>
    <w:rsid w:val="003F7F34"/>
    <w:rsid w:val="004002DC"/>
    <w:rsid w:val="00404A2C"/>
    <w:rsid w:val="004072A7"/>
    <w:rsid w:val="0041045A"/>
    <w:rsid w:val="00411F5C"/>
    <w:rsid w:val="00415232"/>
    <w:rsid w:val="00415786"/>
    <w:rsid w:val="00420D6B"/>
    <w:rsid w:val="004224C2"/>
    <w:rsid w:val="00425CB0"/>
    <w:rsid w:val="00426036"/>
    <w:rsid w:val="00426862"/>
    <w:rsid w:val="00430A79"/>
    <w:rsid w:val="00431E2B"/>
    <w:rsid w:val="00433529"/>
    <w:rsid w:val="00435AC4"/>
    <w:rsid w:val="004367C9"/>
    <w:rsid w:val="00440AFF"/>
    <w:rsid w:val="00442CE8"/>
    <w:rsid w:val="00443735"/>
    <w:rsid w:val="00443983"/>
    <w:rsid w:val="00444A73"/>
    <w:rsid w:val="00447217"/>
    <w:rsid w:val="0044757B"/>
    <w:rsid w:val="0045049C"/>
    <w:rsid w:val="00451410"/>
    <w:rsid w:val="004525D4"/>
    <w:rsid w:val="004530E6"/>
    <w:rsid w:val="00453820"/>
    <w:rsid w:val="00454085"/>
    <w:rsid w:val="0045438E"/>
    <w:rsid w:val="00455677"/>
    <w:rsid w:val="00456087"/>
    <w:rsid w:val="00456C4F"/>
    <w:rsid w:val="00457751"/>
    <w:rsid w:val="004602A0"/>
    <w:rsid w:val="004604C5"/>
    <w:rsid w:val="004607B6"/>
    <w:rsid w:val="00460DEF"/>
    <w:rsid w:val="00461C34"/>
    <w:rsid w:val="00462812"/>
    <w:rsid w:val="00462816"/>
    <w:rsid w:val="00463112"/>
    <w:rsid w:val="004658CA"/>
    <w:rsid w:val="00465D35"/>
    <w:rsid w:val="00465FC5"/>
    <w:rsid w:val="00466227"/>
    <w:rsid w:val="004700D4"/>
    <w:rsid w:val="004709F3"/>
    <w:rsid w:val="00471009"/>
    <w:rsid w:val="00471827"/>
    <w:rsid w:val="00472814"/>
    <w:rsid w:val="00475311"/>
    <w:rsid w:val="004756D2"/>
    <w:rsid w:val="00475F79"/>
    <w:rsid w:val="00476C7C"/>
    <w:rsid w:val="00480965"/>
    <w:rsid w:val="004815EC"/>
    <w:rsid w:val="004825D8"/>
    <w:rsid w:val="00483223"/>
    <w:rsid w:val="00483A83"/>
    <w:rsid w:val="00483E2D"/>
    <w:rsid w:val="00484E86"/>
    <w:rsid w:val="00485761"/>
    <w:rsid w:val="00486330"/>
    <w:rsid w:val="0048772C"/>
    <w:rsid w:val="004915AA"/>
    <w:rsid w:val="004918ED"/>
    <w:rsid w:val="00491F62"/>
    <w:rsid w:val="004923F2"/>
    <w:rsid w:val="00494004"/>
    <w:rsid w:val="00496285"/>
    <w:rsid w:val="004971C8"/>
    <w:rsid w:val="00497C43"/>
    <w:rsid w:val="004A03A3"/>
    <w:rsid w:val="004A19DA"/>
    <w:rsid w:val="004A1A50"/>
    <w:rsid w:val="004A2BCD"/>
    <w:rsid w:val="004A2C4A"/>
    <w:rsid w:val="004A37ED"/>
    <w:rsid w:val="004A4837"/>
    <w:rsid w:val="004A4AF8"/>
    <w:rsid w:val="004A4D83"/>
    <w:rsid w:val="004A51D1"/>
    <w:rsid w:val="004A5282"/>
    <w:rsid w:val="004A54F3"/>
    <w:rsid w:val="004A5E75"/>
    <w:rsid w:val="004A65AF"/>
    <w:rsid w:val="004A65BD"/>
    <w:rsid w:val="004A6F83"/>
    <w:rsid w:val="004A7ECC"/>
    <w:rsid w:val="004B0D53"/>
    <w:rsid w:val="004B4564"/>
    <w:rsid w:val="004B5E12"/>
    <w:rsid w:val="004B6F52"/>
    <w:rsid w:val="004B7DB9"/>
    <w:rsid w:val="004B7F12"/>
    <w:rsid w:val="004C03C8"/>
    <w:rsid w:val="004C1E12"/>
    <w:rsid w:val="004C2C8D"/>
    <w:rsid w:val="004C73E2"/>
    <w:rsid w:val="004D15A9"/>
    <w:rsid w:val="004D1BA4"/>
    <w:rsid w:val="004D2C58"/>
    <w:rsid w:val="004D317C"/>
    <w:rsid w:val="004D31AA"/>
    <w:rsid w:val="004D3401"/>
    <w:rsid w:val="004D4D82"/>
    <w:rsid w:val="004E1506"/>
    <w:rsid w:val="004E1E85"/>
    <w:rsid w:val="004E22B7"/>
    <w:rsid w:val="004E3405"/>
    <w:rsid w:val="004E3978"/>
    <w:rsid w:val="004E4275"/>
    <w:rsid w:val="004E4758"/>
    <w:rsid w:val="004E49EA"/>
    <w:rsid w:val="004E4EAF"/>
    <w:rsid w:val="004E5A86"/>
    <w:rsid w:val="004E63CF"/>
    <w:rsid w:val="004E75E6"/>
    <w:rsid w:val="004E7C9F"/>
    <w:rsid w:val="004E7CC3"/>
    <w:rsid w:val="004F05E0"/>
    <w:rsid w:val="004F2591"/>
    <w:rsid w:val="004F4191"/>
    <w:rsid w:val="0050218A"/>
    <w:rsid w:val="00502599"/>
    <w:rsid w:val="0050430E"/>
    <w:rsid w:val="00505378"/>
    <w:rsid w:val="005108D9"/>
    <w:rsid w:val="00510C32"/>
    <w:rsid w:val="00511C34"/>
    <w:rsid w:val="00513CDD"/>
    <w:rsid w:val="00513E88"/>
    <w:rsid w:val="0051514C"/>
    <w:rsid w:val="00515975"/>
    <w:rsid w:val="00515E83"/>
    <w:rsid w:val="00516733"/>
    <w:rsid w:val="00517256"/>
    <w:rsid w:val="005172BD"/>
    <w:rsid w:val="00517AEB"/>
    <w:rsid w:val="005216E1"/>
    <w:rsid w:val="005217E3"/>
    <w:rsid w:val="00522E4B"/>
    <w:rsid w:val="00523614"/>
    <w:rsid w:val="005242AE"/>
    <w:rsid w:val="00525456"/>
    <w:rsid w:val="00525A48"/>
    <w:rsid w:val="00525FA8"/>
    <w:rsid w:val="00526EBE"/>
    <w:rsid w:val="00526F34"/>
    <w:rsid w:val="00531350"/>
    <w:rsid w:val="00531838"/>
    <w:rsid w:val="00531EA8"/>
    <w:rsid w:val="00532BBF"/>
    <w:rsid w:val="00532C67"/>
    <w:rsid w:val="00534909"/>
    <w:rsid w:val="005364F9"/>
    <w:rsid w:val="00536562"/>
    <w:rsid w:val="0053689D"/>
    <w:rsid w:val="005403A1"/>
    <w:rsid w:val="00541217"/>
    <w:rsid w:val="005412B1"/>
    <w:rsid w:val="00541E2B"/>
    <w:rsid w:val="005454BD"/>
    <w:rsid w:val="0055032A"/>
    <w:rsid w:val="005504B8"/>
    <w:rsid w:val="00550686"/>
    <w:rsid w:val="00551D4B"/>
    <w:rsid w:val="0055275D"/>
    <w:rsid w:val="005528F2"/>
    <w:rsid w:val="00553984"/>
    <w:rsid w:val="00554FA6"/>
    <w:rsid w:val="00555B68"/>
    <w:rsid w:val="00556EAF"/>
    <w:rsid w:val="00557281"/>
    <w:rsid w:val="005635BA"/>
    <w:rsid w:val="00566434"/>
    <w:rsid w:val="005665AF"/>
    <w:rsid w:val="00567E7A"/>
    <w:rsid w:val="00567F6E"/>
    <w:rsid w:val="00571881"/>
    <w:rsid w:val="00572A88"/>
    <w:rsid w:val="0057304C"/>
    <w:rsid w:val="005733E5"/>
    <w:rsid w:val="00573F18"/>
    <w:rsid w:val="005745CB"/>
    <w:rsid w:val="00575729"/>
    <w:rsid w:val="00576290"/>
    <w:rsid w:val="0057683F"/>
    <w:rsid w:val="0057781F"/>
    <w:rsid w:val="00580A30"/>
    <w:rsid w:val="00583648"/>
    <w:rsid w:val="00583815"/>
    <w:rsid w:val="00583B21"/>
    <w:rsid w:val="00584569"/>
    <w:rsid w:val="005867AF"/>
    <w:rsid w:val="00586F6B"/>
    <w:rsid w:val="00587490"/>
    <w:rsid w:val="00587567"/>
    <w:rsid w:val="00590098"/>
    <w:rsid w:val="00593CA6"/>
    <w:rsid w:val="005951CE"/>
    <w:rsid w:val="00596E56"/>
    <w:rsid w:val="00596FF7"/>
    <w:rsid w:val="005972EF"/>
    <w:rsid w:val="005977B4"/>
    <w:rsid w:val="005A19A9"/>
    <w:rsid w:val="005A1D61"/>
    <w:rsid w:val="005A3962"/>
    <w:rsid w:val="005B1CA9"/>
    <w:rsid w:val="005B5673"/>
    <w:rsid w:val="005B59BD"/>
    <w:rsid w:val="005B600E"/>
    <w:rsid w:val="005B6687"/>
    <w:rsid w:val="005B7F5D"/>
    <w:rsid w:val="005C0474"/>
    <w:rsid w:val="005C1985"/>
    <w:rsid w:val="005C2527"/>
    <w:rsid w:val="005C2AF9"/>
    <w:rsid w:val="005C3631"/>
    <w:rsid w:val="005C3A95"/>
    <w:rsid w:val="005C6B37"/>
    <w:rsid w:val="005C6DDE"/>
    <w:rsid w:val="005C7426"/>
    <w:rsid w:val="005C74A0"/>
    <w:rsid w:val="005D0076"/>
    <w:rsid w:val="005D1552"/>
    <w:rsid w:val="005D2E97"/>
    <w:rsid w:val="005D565E"/>
    <w:rsid w:val="005D6A44"/>
    <w:rsid w:val="005D6D17"/>
    <w:rsid w:val="005D71A0"/>
    <w:rsid w:val="005E0075"/>
    <w:rsid w:val="005E0529"/>
    <w:rsid w:val="005E067E"/>
    <w:rsid w:val="005E1FD8"/>
    <w:rsid w:val="005E33EC"/>
    <w:rsid w:val="005E3CD8"/>
    <w:rsid w:val="005E448E"/>
    <w:rsid w:val="005E5C54"/>
    <w:rsid w:val="005E6E83"/>
    <w:rsid w:val="005E7323"/>
    <w:rsid w:val="005E76FF"/>
    <w:rsid w:val="005F00EB"/>
    <w:rsid w:val="005F0582"/>
    <w:rsid w:val="005F2BCC"/>
    <w:rsid w:val="005F5795"/>
    <w:rsid w:val="005F7317"/>
    <w:rsid w:val="005F7397"/>
    <w:rsid w:val="005F75D9"/>
    <w:rsid w:val="005F7951"/>
    <w:rsid w:val="00600933"/>
    <w:rsid w:val="0060111F"/>
    <w:rsid w:val="0060140E"/>
    <w:rsid w:val="006022A2"/>
    <w:rsid w:val="0060338A"/>
    <w:rsid w:val="006043F5"/>
    <w:rsid w:val="0060453A"/>
    <w:rsid w:val="006059F6"/>
    <w:rsid w:val="00606204"/>
    <w:rsid w:val="00607E1D"/>
    <w:rsid w:val="00610599"/>
    <w:rsid w:val="00612537"/>
    <w:rsid w:val="006140A5"/>
    <w:rsid w:val="006154A8"/>
    <w:rsid w:val="00615C24"/>
    <w:rsid w:val="006161FC"/>
    <w:rsid w:val="00620DD6"/>
    <w:rsid w:val="006243C8"/>
    <w:rsid w:val="006250C2"/>
    <w:rsid w:val="00625A42"/>
    <w:rsid w:val="00625AF3"/>
    <w:rsid w:val="00625B59"/>
    <w:rsid w:val="0062737F"/>
    <w:rsid w:val="00631A7F"/>
    <w:rsid w:val="006341EC"/>
    <w:rsid w:val="00634846"/>
    <w:rsid w:val="00636C38"/>
    <w:rsid w:val="00636EBA"/>
    <w:rsid w:val="006403A9"/>
    <w:rsid w:val="00640E55"/>
    <w:rsid w:val="00641969"/>
    <w:rsid w:val="006425B5"/>
    <w:rsid w:val="00642A7A"/>
    <w:rsid w:val="00643685"/>
    <w:rsid w:val="00644516"/>
    <w:rsid w:val="00645593"/>
    <w:rsid w:val="00651A85"/>
    <w:rsid w:val="00651DAA"/>
    <w:rsid w:val="00652151"/>
    <w:rsid w:val="006522F2"/>
    <w:rsid w:val="00652A7E"/>
    <w:rsid w:val="00652BE7"/>
    <w:rsid w:val="00652D9F"/>
    <w:rsid w:val="0065355D"/>
    <w:rsid w:val="00654FA8"/>
    <w:rsid w:val="00654FC9"/>
    <w:rsid w:val="00655B9D"/>
    <w:rsid w:val="00657498"/>
    <w:rsid w:val="00657FC1"/>
    <w:rsid w:val="00660EB7"/>
    <w:rsid w:val="00662D6A"/>
    <w:rsid w:val="00662FAB"/>
    <w:rsid w:val="0066389D"/>
    <w:rsid w:val="00663977"/>
    <w:rsid w:val="006645E8"/>
    <w:rsid w:val="00665840"/>
    <w:rsid w:val="00665ADC"/>
    <w:rsid w:val="00670384"/>
    <w:rsid w:val="00670AE5"/>
    <w:rsid w:val="00670AF9"/>
    <w:rsid w:val="00670BC7"/>
    <w:rsid w:val="006717E4"/>
    <w:rsid w:val="006719B2"/>
    <w:rsid w:val="00672A15"/>
    <w:rsid w:val="00673554"/>
    <w:rsid w:val="00675709"/>
    <w:rsid w:val="00675C25"/>
    <w:rsid w:val="006762FB"/>
    <w:rsid w:val="00681237"/>
    <w:rsid w:val="00681539"/>
    <w:rsid w:val="00681AE7"/>
    <w:rsid w:val="00681F9E"/>
    <w:rsid w:val="00682564"/>
    <w:rsid w:val="006825C9"/>
    <w:rsid w:val="00683452"/>
    <w:rsid w:val="00683591"/>
    <w:rsid w:val="00683F3B"/>
    <w:rsid w:val="00685516"/>
    <w:rsid w:val="006855EB"/>
    <w:rsid w:val="006873C4"/>
    <w:rsid w:val="0069052C"/>
    <w:rsid w:val="00695AB6"/>
    <w:rsid w:val="006A132B"/>
    <w:rsid w:val="006A18CC"/>
    <w:rsid w:val="006A27D8"/>
    <w:rsid w:val="006A280D"/>
    <w:rsid w:val="006A2B65"/>
    <w:rsid w:val="006A33D1"/>
    <w:rsid w:val="006A39C3"/>
    <w:rsid w:val="006B094B"/>
    <w:rsid w:val="006B11AE"/>
    <w:rsid w:val="006B1685"/>
    <w:rsid w:val="006B2782"/>
    <w:rsid w:val="006B3B6B"/>
    <w:rsid w:val="006B64DB"/>
    <w:rsid w:val="006B726C"/>
    <w:rsid w:val="006B73ED"/>
    <w:rsid w:val="006B7468"/>
    <w:rsid w:val="006C29FA"/>
    <w:rsid w:val="006C2BED"/>
    <w:rsid w:val="006C325D"/>
    <w:rsid w:val="006C6006"/>
    <w:rsid w:val="006C6D61"/>
    <w:rsid w:val="006C75E8"/>
    <w:rsid w:val="006C79AE"/>
    <w:rsid w:val="006C7B35"/>
    <w:rsid w:val="006C7FB1"/>
    <w:rsid w:val="006D0277"/>
    <w:rsid w:val="006D0A09"/>
    <w:rsid w:val="006D1DAA"/>
    <w:rsid w:val="006D33A0"/>
    <w:rsid w:val="006D36DF"/>
    <w:rsid w:val="006D4136"/>
    <w:rsid w:val="006D46E2"/>
    <w:rsid w:val="006D4A2A"/>
    <w:rsid w:val="006D632D"/>
    <w:rsid w:val="006D7769"/>
    <w:rsid w:val="006E0296"/>
    <w:rsid w:val="006E0595"/>
    <w:rsid w:val="006E280B"/>
    <w:rsid w:val="006E2B8C"/>
    <w:rsid w:val="006E31D7"/>
    <w:rsid w:val="006E3353"/>
    <w:rsid w:val="006E44DC"/>
    <w:rsid w:val="006E4A55"/>
    <w:rsid w:val="006E6902"/>
    <w:rsid w:val="006E7037"/>
    <w:rsid w:val="006E7BBA"/>
    <w:rsid w:val="006F1630"/>
    <w:rsid w:val="006F2AA5"/>
    <w:rsid w:val="006F3C1A"/>
    <w:rsid w:val="006F3E98"/>
    <w:rsid w:val="006F402B"/>
    <w:rsid w:val="006F66A0"/>
    <w:rsid w:val="006F7098"/>
    <w:rsid w:val="006F7AF3"/>
    <w:rsid w:val="006F7CB6"/>
    <w:rsid w:val="00700BEC"/>
    <w:rsid w:val="00700CF3"/>
    <w:rsid w:val="00701CBB"/>
    <w:rsid w:val="00702463"/>
    <w:rsid w:val="0070416C"/>
    <w:rsid w:val="00704788"/>
    <w:rsid w:val="007052C4"/>
    <w:rsid w:val="00706778"/>
    <w:rsid w:val="00706BC5"/>
    <w:rsid w:val="007072C9"/>
    <w:rsid w:val="007079C0"/>
    <w:rsid w:val="00707A19"/>
    <w:rsid w:val="00707C15"/>
    <w:rsid w:val="00707C40"/>
    <w:rsid w:val="007101FB"/>
    <w:rsid w:val="00710A88"/>
    <w:rsid w:val="007114C3"/>
    <w:rsid w:val="007131F3"/>
    <w:rsid w:val="00713ABF"/>
    <w:rsid w:val="00714E18"/>
    <w:rsid w:val="00715595"/>
    <w:rsid w:val="0071655F"/>
    <w:rsid w:val="00716851"/>
    <w:rsid w:val="007201EA"/>
    <w:rsid w:val="0072089A"/>
    <w:rsid w:val="007220C2"/>
    <w:rsid w:val="0072245C"/>
    <w:rsid w:val="00722B37"/>
    <w:rsid w:val="00722FDD"/>
    <w:rsid w:val="00723C22"/>
    <w:rsid w:val="007253C5"/>
    <w:rsid w:val="007253E3"/>
    <w:rsid w:val="00726146"/>
    <w:rsid w:val="007265F8"/>
    <w:rsid w:val="00727953"/>
    <w:rsid w:val="007331E4"/>
    <w:rsid w:val="007345FE"/>
    <w:rsid w:val="00734D85"/>
    <w:rsid w:val="00735313"/>
    <w:rsid w:val="00735C5C"/>
    <w:rsid w:val="00735E82"/>
    <w:rsid w:val="00737BAF"/>
    <w:rsid w:val="00741778"/>
    <w:rsid w:val="00741A89"/>
    <w:rsid w:val="00746706"/>
    <w:rsid w:val="00746BDB"/>
    <w:rsid w:val="00752700"/>
    <w:rsid w:val="00752A19"/>
    <w:rsid w:val="00752CD9"/>
    <w:rsid w:val="0075321E"/>
    <w:rsid w:val="00753753"/>
    <w:rsid w:val="007537E8"/>
    <w:rsid w:val="00754A31"/>
    <w:rsid w:val="0075513F"/>
    <w:rsid w:val="00755D2F"/>
    <w:rsid w:val="007565A1"/>
    <w:rsid w:val="00756C15"/>
    <w:rsid w:val="0076086B"/>
    <w:rsid w:val="00764601"/>
    <w:rsid w:val="00765064"/>
    <w:rsid w:val="00765474"/>
    <w:rsid w:val="00765EF0"/>
    <w:rsid w:val="00766659"/>
    <w:rsid w:val="00766DDA"/>
    <w:rsid w:val="0076740D"/>
    <w:rsid w:val="00770567"/>
    <w:rsid w:val="00771D6E"/>
    <w:rsid w:val="007720CA"/>
    <w:rsid w:val="00772E0F"/>
    <w:rsid w:val="007730EF"/>
    <w:rsid w:val="00773F20"/>
    <w:rsid w:val="0077407F"/>
    <w:rsid w:val="00777612"/>
    <w:rsid w:val="00777FE4"/>
    <w:rsid w:val="007812C2"/>
    <w:rsid w:val="007838FF"/>
    <w:rsid w:val="007855E7"/>
    <w:rsid w:val="00785DA2"/>
    <w:rsid w:val="00786CA6"/>
    <w:rsid w:val="0078740F"/>
    <w:rsid w:val="007876C3"/>
    <w:rsid w:val="0079033D"/>
    <w:rsid w:val="00791567"/>
    <w:rsid w:val="00794397"/>
    <w:rsid w:val="0079576B"/>
    <w:rsid w:val="007960E0"/>
    <w:rsid w:val="00796D48"/>
    <w:rsid w:val="007972E2"/>
    <w:rsid w:val="0079790B"/>
    <w:rsid w:val="007A0B38"/>
    <w:rsid w:val="007A295A"/>
    <w:rsid w:val="007A2BC3"/>
    <w:rsid w:val="007A3FB4"/>
    <w:rsid w:val="007A447F"/>
    <w:rsid w:val="007A4557"/>
    <w:rsid w:val="007A4D9A"/>
    <w:rsid w:val="007A4F1D"/>
    <w:rsid w:val="007A5336"/>
    <w:rsid w:val="007A6F0F"/>
    <w:rsid w:val="007B1BA4"/>
    <w:rsid w:val="007B1EA8"/>
    <w:rsid w:val="007B2C44"/>
    <w:rsid w:val="007B3E1E"/>
    <w:rsid w:val="007B44CC"/>
    <w:rsid w:val="007B531A"/>
    <w:rsid w:val="007B674D"/>
    <w:rsid w:val="007B7384"/>
    <w:rsid w:val="007C0375"/>
    <w:rsid w:val="007C196D"/>
    <w:rsid w:val="007C28DE"/>
    <w:rsid w:val="007C2AC9"/>
    <w:rsid w:val="007C4054"/>
    <w:rsid w:val="007C6520"/>
    <w:rsid w:val="007C65A5"/>
    <w:rsid w:val="007C7FA8"/>
    <w:rsid w:val="007D2FBD"/>
    <w:rsid w:val="007D5849"/>
    <w:rsid w:val="007E0178"/>
    <w:rsid w:val="007E1346"/>
    <w:rsid w:val="007E28E4"/>
    <w:rsid w:val="007E4148"/>
    <w:rsid w:val="007E468C"/>
    <w:rsid w:val="007E65AC"/>
    <w:rsid w:val="007E6BFF"/>
    <w:rsid w:val="007E76A6"/>
    <w:rsid w:val="007E7ED8"/>
    <w:rsid w:val="007F299F"/>
    <w:rsid w:val="007F3FC3"/>
    <w:rsid w:val="007F3FD2"/>
    <w:rsid w:val="007F538C"/>
    <w:rsid w:val="007F5F95"/>
    <w:rsid w:val="007F639C"/>
    <w:rsid w:val="007F6934"/>
    <w:rsid w:val="00801D4B"/>
    <w:rsid w:val="0080371D"/>
    <w:rsid w:val="00804A50"/>
    <w:rsid w:val="0080542C"/>
    <w:rsid w:val="00805B29"/>
    <w:rsid w:val="0080708C"/>
    <w:rsid w:val="00814F63"/>
    <w:rsid w:val="008150A4"/>
    <w:rsid w:val="00815CCB"/>
    <w:rsid w:val="00817A28"/>
    <w:rsid w:val="00821EC7"/>
    <w:rsid w:val="008251AA"/>
    <w:rsid w:val="00827329"/>
    <w:rsid w:val="00827BDD"/>
    <w:rsid w:val="00827C31"/>
    <w:rsid w:val="008313DC"/>
    <w:rsid w:val="00831A11"/>
    <w:rsid w:val="00833D61"/>
    <w:rsid w:val="00834FB0"/>
    <w:rsid w:val="00836264"/>
    <w:rsid w:val="00836AEF"/>
    <w:rsid w:val="00836E08"/>
    <w:rsid w:val="00836E6C"/>
    <w:rsid w:val="0084014D"/>
    <w:rsid w:val="00844A7C"/>
    <w:rsid w:val="0084570C"/>
    <w:rsid w:val="00845C38"/>
    <w:rsid w:val="0084646A"/>
    <w:rsid w:val="00846CF9"/>
    <w:rsid w:val="00852161"/>
    <w:rsid w:val="00852591"/>
    <w:rsid w:val="0085349D"/>
    <w:rsid w:val="00853E28"/>
    <w:rsid w:val="0085463D"/>
    <w:rsid w:val="00857BE1"/>
    <w:rsid w:val="008603E8"/>
    <w:rsid w:val="00861978"/>
    <w:rsid w:val="00864276"/>
    <w:rsid w:val="0086429D"/>
    <w:rsid w:val="008649C0"/>
    <w:rsid w:val="00865297"/>
    <w:rsid w:val="008659D7"/>
    <w:rsid w:val="00865C2D"/>
    <w:rsid w:val="00865C95"/>
    <w:rsid w:val="00867251"/>
    <w:rsid w:val="00867AE0"/>
    <w:rsid w:val="00870368"/>
    <w:rsid w:val="008703A7"/>
    <w:rsid w:val="00870CE6"/>
    <w:rsid w:val="008714C8"/>
    <w:rsid w:val="00872106"/>
    <w:rsid w:val="00872401"/>
    <w:rsid w:val="008745E1"/>
    <w:rsid w:val="00874961"/>
    <w:rsid w:val="00875352"/>
    <w:rsid w:val="00876FAF"/>
    <w:rsid w:val="008772A3"/>
    <w:rsid w:val="0088127F"/>
    <w:rsid w:val="008813ED"/>
    <w:rsid w:val="008832B4"/>
    <w:rsid w:val="00884934"/>
    <w:rsid w:val="00884B72"/>
    <w:rsid w:val="00886E57"/>
    <w:rsid w:val="00887BE4"/>
    <w:rsid w:val="00887F25"/>
    <w:rsid w:val="00890361"/>
    <w:rsid w:val="00892110"/>
    <w:rsid w:val="00893FE3"/>
    <w:rsid w:val="00895884"/>
    <w:rsid w:val="00895996"/>
    <w:rsid w:val="00895B2B"/>
    <w:rsid w:val="00895F5C"/>
    <w:rsid w:val="00896D46"/>
    <w:rsid w:val="008975D4"/>
    <w:rsid w:val="008A2010"/>
    <w:rsid w:val="008A23F7"/>
    <w:rsid w:val="008A2FAE"/>
    <w:rsid w:val="008A4733"/>
    <w:rsid w:val="008B021C"/>
    <w:rsid w:val="008B2E0E"/>
    <w:rsid w:val="008B3969"/>
    <w:rsid w:val="008B50BC"/>
    <w:rsid w:val="008B5E37"/>
    <w:rsid w:val="008B6155"/>
    <w:rsid w:val="008B7EE3"/>
    <w:rsid w:val="008C0B7D"/>
    <w:rsid w:val="008C65B8"/>
    <w:rsid w:val="008C6BE8"/>
    <w:rsid w:val="008C6CEB"/>
    <w:rsid w:val="008C7481"/>
    <w:rsid w:val="008D1F2A"/>
    <w:rsid w:val="008D263F"/>
    <w:rsid w:val="008D2EF6"/>
    <w:rsid w:val="008D35B9"/>
    <w:rsid w:val="008D6266"/>
    <w:rsid w:val="008D6E93"/>
    <w:rsid w:val="008D7637"/>
    <w:rsid w:val="008E0D75"/>
    <w:rsid w:val="008E312F"/>
    <w:rsid w:val="008E3827"/>
    <w:rsid w:val="008E38F3"/>
    <w:rsid w:val="008E6258"/>
    <w:rsid w:val="008F000E"/>
    <w:rsid w:val="008F00BA"/>
    <w:rsid w:val="008F09E3"/>
    <w:rsid w:val="008F1155"/>
    <w:rsid w:val="008F153A"/>
    <w:rsid w:val="008F32A2"/>
    <w:rsid w:val="008F445B"/>
    <w:rsid w:val="008F4DE1"/>
    <w:rsid w:val="008F707C"/>
    <w:rsid w:val="008F7128"/>
    <w:rsid w:val="008F726B"/>
    <w:rsid w:val="008F764D"/>
    <w:rsid w:val="009003E1"/>
    <w:rsid w:val="00902074"/>
    <w:rsid w:val="00902334"/>
    <w:rsid w:val="0090378D"/>
    <w:rsid w:val="00905577"/>
    <w:rsid w:val="0091073A"/>
    <w:rsid w:val="00910D99"/>
    <w:rsid w:val="00911488"/>
    <w:rsid w:val="00911735"/>
    <w:rsid w:val="00911EB3"/>
    <w:rsid w:val="0091219C"/>
    <w:rsid w:val="0091306C"/>
    <w:rsid w:val="00913147"/>
    <w:rsid w:val="00914563"/>
    <w:rsid w:val="00914579"/>
    <w:rsid w:val="009148C0"/>
    <w:rsid w:val="009159B4"/>
    <w:rsid w:val="00916C0B"/>
    <w:rsid w:val="00920377"/>
    <w:rsid w:val="009207CA"/>
    <w:rsid w:val="00920B1E"/>
    <w:rsid w:val="009214C0"/>
    <w:rsid w:val="00921FE7"/>
    <w:rsid w:val="009222F3"/>
    <w:rsid w:val="00923DEB"/>
    <w:rsid w:val="00924918"/>
    <w:rsid w:val="00924F4B"/>
    <w:rsid w:val="00925A13"/>
    <w:rsid w:val="0092631A"/>
    <w:rsid w:val="00927643"/>
    <w:rsid w:val="0092797A"/>
    <w:rsid w:val="00931666"/>
    <w:rsid w:val="00931D58"/>
    <w:rsid w:val="00931EB7"/>
    <w:rsid w:val="009326E5"/>
    <w:rsid w:val="00933DBE"/>
    <w:rsid w:val="009352EB"/>
    <w:rsid w:val="009359BD"/>
    <w:rsid w:val="0093669F"/>
    <w:rsid w:val="0093693D"/>
    <w:rsid w:val="0093701F"/>
    <w:rsid w:val="009378E4"/>
    <w:rsid w:val="0094100E"/>
    <w:rsid w:val="00941490"/>
    <w:rsid w:val="009418EB"/>
    <w:rsid w:val="00941E96"/>
    <w:rsid w:val="00943972"/>
    <w:rsid w:val="00945425"/>
    <w:rsid w:val="00946742"/>
    <w:rsid w:val="00947852"/>
    <w:rsid w:val="00947EE8"/>
    <w:rsid w:val="009545E3"/>
    <w:rsid w:val="00954CD0"/>
    <w:rsid w:val="00957DA2"/>
    <w:rsid w:val="00960B54"/>
    <w:rsid w:val="00961BFB"/>
    <w:rsid w:val="00963044"/>
    <w:rsid w:val="0096309B"/>
    <w:rsid w:val="00963A44"/>
    <w:rsid w:val="00964C97"/>
    <w:rsid w:val="0096528A"/>
    <w:rsid w:val="00965668"/>
    <w:rsid w:val="00965C27"/>
    <w:rsid w:val="00965FFF"/>
    <w:rsid w:val="0096732F"/>
    <w:rsid w:val="00967BA0"/>
    <w:rsid w:val="00970CAC"/>
    <w:rsid w:val="009720EF"/>
    <w:rsid w:val="009744D1"/>
    <w:rsid w:val="00974A61"/>
    <w:rsid w:val="00974D58"/>
    <w:rsid w:val="00975C34"/>
    <w:rsid w:val="0097622F"/>
    <w:rsid w:val="00977944"/>
    <w:rsid w:val="0098075C"/>
    <w:rsid w:val="009819F1"/>
    <w:rsid w:val="00981E5C"/>
    <w:rsid w:val="009822F6"/>
    <w:rsid w:val="0098239E"/>
    <w:rsid w:val="009826F5"/>
    <w:rsid w:val="00984098"/>
    <w:rsid w:val="00987A6B"/>
    <w:rsid w:val="00992F19"/>
    <w:rsid w:val="00993696"/>
    <w:rsid w:val="00993D0E"/>
    <w:rsid w:val="00995D3D"/>
    <w:rsid w:val="00995DE8"/>
    <w:rsid w:val="00996135"/>
    <w:rsid w:val="009964AC"/>
    <w:rsid w:val="00997F3B"/>
    <w:rsid w:val="009A01F2"/>
    <w:rsid w:val="009A0C96"/>
    <w:rsid w:val="009A118B"/>
    <w:rsid w:val="009A1734"/>
    <w:rsid w:val="009A3379"/>
    <w:rsid w:val="009A3E62"/>
    <w:rsid w:val="009A515F"/>
    <w:rsid w:val="009A5DDF"/>
    <w:rsid w:val="009A6C93"/>
    <w:rsid w:val="009B05D2"/>
    <w:rsid w:val="009B23D7"/>
    <w:rsid w:val="009B3190"/>
    <w:rsid w:val="009B4F12"/>
    <w:rsid w:val="009B5E45"/>
    <w:rsid w:val="009B665A"/>
    <w:rsid w:val="009C0002"/>
    <w:rsid w:val="009C1628"/>
    <w:rsid w:val="009C18B5"/>
    <w:rsid w:val="009C2881"/>
    <w:rsid w:val="009C3260"/>
    <w:rsid w:val="009C5074"/>
    <w:rsid w:val="009C5798"/>
    <w:rsid w:val="009C6108"/>
    <w:rsid w:val="009C7104"/>
    <w:rsid w:val="009D0A3A"/>
    <w:rsid w:val="009D0D51"/>
    <w:rsid w:val="009D5689"/>
    <w:rsid w:val="009E0DE9"/>
    <w:rsid w:val="009E0E48"/>
    <w:rsid w:val="009E2D07"/>
    <w:rsid w:val="009E3FB3"/>
    <w:rsid w:val="009E5C23"/>
    <w:rsid w:val="009E6275"/>
    <w:rsid w:val="009F0C49"/>
    <w:rsid w:val="009F1965"/>
    <w:rsid w:val="009F2657"/>
    <w:rsid w:val="009F4C38"/>
    <w:rsid w:val="009F5310"/>
    <w:rsid w:val="009F5DDE"/>
    <w:rsid w:val="009F65E0"/>
    <w:rsid w:val="009F7EE5"/>
    <w:rsid w:val="00A0197F"/>
    <w:rsid w:val="00A02DA1"/>
    <w:rsid w:val="00A0634B"/>
    <w:rsid w:val="00A114D3"/>
    <w:rsid w:val="00A14075"/>
    <w:rsid w:val="00A1530D"/>
    <w:rsid w:val="00A1672F"/>
    <w:rsid w:val="00A17EE2"/>
    <w:rsid w:val="00A208A8"/>
    <w:rsid w:val="00A21A89"/>
    <w:rsid w:val="00A226C0"/>
    <w:rsid w:val="00A23CCD"/>
    <w:rsid w:val="00A24F25"/>
    <w:rsid w:val="00A26478"/>
    <w:rsid w:val="00A271D7"/>
    <w:rsid w:val="00A27554"/>
    <w:rsid w:val="00A31423"/>
    <w:rsid w:val="00A323F3"/>
    <w:rsid w:val="00A33108"/>
    <w:rsid w:val="00A33BF9"/>
    <w:rsid w:val="00A33D76"/>
    <w:rsid w:val="00A34251"/>
    <w:rsid w:val="00A343BD"/>
    <w:rsid w:val="00A3690E"/>
    <w:rsid w:val="00A3750D"/>
    <w:rsid w:val="00A37AEC"/>
    <w:rsid w:val="00A418D3"/>
    <w:rsid w:val="00A42150"/>
    <w:rsid w:val="00A42DD2"/>
    <w:rsid w:val="00A4349C"/>
    <w:rsid w:val="00A44058"/>
    <w:rsid w:val="00A444A8"/>
    <w:rsid w:val="00A4473C"/>
    <w:rsid w:val="00A45444"/>
    <w:rsid w:val="00A46ED0"/>
    <w:rsid w:val="00A47100"/>
    <w:rsid w:val="00A51B90"/>
    <w:rsid w:val="00A541F4"/>
    <w:rsid w:val="00A54DEB"/>
    <w:rsid w:val="00A55456"/>
    <w:rsid w:val="00A55FB4"/>
    <w:rsid w:val="00A6187E"/>
    <w:rsid w:val="00A632C2"/>
    <w:rsid w:val="00A6557B"/>
    <w:rsid w:val="00A66626"/>
    <w:rsid w:val="00A6681F"/>
    <w:rsid w:val="00A7193D"/>
    <w:rsid w:val="00A73A25"/>
    <w:rsid w:val="00A74B85"/>
    <w:rsid w:val="00A75034"/>
    <w:rsid w:val="00A750FB"/>
    <w:rsid w:val="00A757AD"/>
    <w:rsid w:val="00A75B30"/>
    <w:rsid w:val="00A75BF0"/>
    <w:rsid w:val="00A75CA7"/>
    <w:rsid w:val="00A760C9"/>
    <w:rsid w:val="00A7653A"/>
    <w:rsid w:val="00A7667E"/>
    <w:rsid w:val="00A770FA"/>
    <w:rsid w:val="00A8072C"/>
    <w:rsid w:val="00A807A8"/>
    <w:rsid w:val="00A80CE4"/>
    <w:rsid w:val="00A811C9"/>
    <w:rsid w:val="00A842EE"/>
    <w:rsid w:val="00A86E3F"/>
    <w:rsid w:val="00A86F8C"/>
    <w:rsid w:val="00A87B15"/>
    <w:rsid w:val="00A90A78"/>
    <w:rsid w:val="00A92B97"/>
    <w:rsid w:val="00A92C89"/>
    <w:rsid w:val="00A9457C"/>
    <w:rsid w:val="00A945E2"/>
    <w:rsid w:val="00AA00B2"/>
    <w:rsid w:val="00AA057B"/>
    <w:rsid w:val="00AA0E09"/>
    <w:rsid w:val="00AA14B1"/>
    <w:rsid w:val="00AA2091"/>
    <w:rsid w:val="00AA3276"/>
    <w:rsid w:val="00AA3CEA"/>
    <w:rsid w:val="00AA3DB9"/>
    <w:rsid w:val="00AA46FC"/>
    <w:rsid w:val="00AA4EDF"/>
    <w:rsid w:val="00AA66FB"/>
    <w:rsid w:val="00AA6D07"/>
    <w:rsid w:val="00AB018A"/>
    <w:rsid w:val="00AB0EA6"/>
    <w:rsid w:val="00AB0F9C"/>
    <w:rsid w:val="00AB1CAC"/>
    <w:rsid w:val="00AB2181"/>
    <w:rsid w:val="00AB2995"/>
    <w:rsid w:val="00AB5218"/>
    <w:rsid w:val="00AB6038"/>
    <w:rsid w:val="00AB6AC1"/>
    <w:rsid w:val="00AB73CD"/>
    <w:rsid w:val="00AB7D9C"/>
    <w:rsid w:val="00AC1277"/>
    <w:rsid w:val="00AC2230"/>
    <w:rsid w:val="00AC2B20"/>
    <w:rsid w:val="00AC4334"/>
    <w:rsid w:val="00AC489D"/>
    <w:rsid w:val="00AC4BC4"/>
    <w:rsid w:val="00AC6609"/>
    <w:rsid w:val="00AC70F2"/>
    <w:rsid w:val="00AC7C11"/>
    <w:rsid w:val="00AD1560"/>
    <w:rsid w:val="00AD18CF"/>
    <w:rsid w:val="00AD210E"/>
    <w:rsid w:val="00AD31DC"/>
    <w:rsid w:val="00AD3506"/>
    <w:rsid w:val="00AD673C"/>
    <w:rsid w:val="00AD6AD5"/>
    <w:rsid w:val="00AD6E78"/>
    <w:rsid w:val="00AD78D0"/>
    <w:rsid w:val="00AE20F2"/>
    <w:rsid w:val="00AE2E0A"/>
    <w:rsid w:val="00AE31B7"/>
    <w:rsid w:val="00AE70C4"/>
    <w:rsid w:val="00AE756D"/>
    <w:rsid w:val="00AE7B38"/>
    <w:rsid w:val="00AE7EF9"/>
    <w:rsid w:val="00AF05A6"/>
    <w:rsid w:val="00AF28DA"/>
    <w:rsid w:val="00AF3B55"/>
    <w:rsid w:val="00AF45E9"/>
    <w:rsid w:val="00AF48C9"/>
    <w:rsid w:val="00AF5314"/>
    <w:rsid w:val="00AF791D"/>
    <w:rsid w:val="00AF7943"/>
    <w:rsid w:val="00AF7CF7"/>
    <w:rsid w:val="00B0178E"/>
    <w:rsid w:val="00B02133"/>
    <w:rsid w:val="00B02826"/>
    <w:rsid w:val="00B0530D"/>
    <w:rsid w:val="00B05669"/>
    <w:rsid w:val="00B06701"/>
    <w:rsid w:val="00B0726D"/>
    <w:rsid w:val="00B102A4"/>
    <w:rsid w:val="00B1419E"/>
    <w:rsid w:val="00B14629"/>
    <w:rsid w:val="00B14E7C"/>
    <w:rsid w:val="00B159FD"/>
    <w:rsid w:val="00B15D79"/>
    <w:rsid w:val="00B1633C"/>
    <w:rsid w:val="00B17B2F"/>
    <w:rsid w:val="00B17E5E"/>
    <w:rsid w:val="00B2042A"/>
    <w:rsid w:val="00B220F4"/>
    <w:rsid w:val="00B2291D"/>
    <w:rsid w:val="00B2458B"/>
    <w:rsid w:val="00B2475E"/>
    <w:rsid w:val="00B253F8"/>
    <w:rsid w:val="00B2788F"/>
    <w:rsid w:val="00B27AE2"/>
    <w:rsid w:val="00B3177D"/>
    <w:rsid w:val="00B323B2"/>
    <w:rsid w:val="00B3439E"/>
    <w:rsid w:val="00B34486"/>
    <w:rsid w:val="00B34AD3"/>
    <w:rsid w:val="00B364B7"/>
    <w:rsid w:val="00B37055"/>
    <w:rsid w:val="00B400C2"/>
    <w:rsid w:val="00B40E9B"/>
    <w:rsid w:val="00B418E8"/>
    <w:rsid w:val="00B41A1B"/>
    <w:rsid w:val="00B41ACE"/>
    <w:rsid w:val="00B420E1"/>
    <w:rsid w:val="00B4265C"/>
    <w:rsid w:val="00B42723"/>
    <w:rsid w:val="00B46405"/>
    <w:rsid w:val="00B46E41"/>
    <w:rsid w:val="00B51B6C"/>
    <w:rsid w:val="00B520AB"/>
    <w:rsid w:val="00B53E6B"/>
    <w:rsid w:val="00B5504F"/>
    <w:rsid w:val="00B56026"/>
    <w:rsid w:val="00B56050"/>
    <w:rsid w:val="00B60A22"/>
    <w:rsid w:val="00B62F8B"/>
    <w:rsid w:val="00B63A56"/>
    <w:rsid w:val="00B64035"/>
    <w:rsid w:val="00B64CE6"/>
    <w:rsid w:val="00B6757C"/>
    <w:rsid w:val="00B702FB"/>
    <w:rsid w:val="00B712AB"/>
    <w:rsid w:val="00B7285B"/>
    <w:rsid w:val="00B73F4A"/>
    <w:rsid w:val="00B75C85"/>
    <w:rsid w:val="00B76B2A"/>
    <w:rsid w:val="00B770D3"/>
    <w:rsid w:val="00B77430"/>
    <w:rsid w:val="00B7786A"/>
    <w:rsid w:val="00B807D1"/>
    <w:rsid w:val="00B811F9"/>
    <w:rsid w:val="00B83C3A"/>
    <w:rsid w:val="00B85419"/>
    <w:rsid w:val="00B8557E"/>
    <w:rsid w:val="00B8745A"/>
    <w:rsid w:val="00B879AD"/>
    <w:rsid w:val="00B87C71"/>
    <w:rsid w:val="00B87CF1"/>
    <w:rsid w:val="00B906C1"/>
    <w:rsid w:val="00B910C1"/>
    <w:rsid w:val="00B91DD9"/>
    <w:rsid w:val="00B92548"/>
    <w:rsid w:val="00B925BA"/>
    <w:rsid w:val="00B92D7F"/>
    <w:rsid w:val="00B9424F"/>
    <w:rsid w:val="00B94900"/>
    <w:rsid w:val="00B95597"/>
    <w:rsid w:val="00B96C42"/>
    <w:rsid w:val="00B96D66"/>
    <w:rsid w:val="00B97F9F"/>
    <w:rsid w:val="00BA0787"/>
    <w:rsid w:val="00BA12C6"/>
    <w:rsid w:val="00BA158E"/>
    <w:rsid w:val="00BA1AC6"/>
    <w:rsid w:val="00BA37C4"/>
    <w:rsid w:val="00BA48FC"/>
    <w:rsid w:val="00BA5431"/>
    <w:rsid w:val="00BA6822"/>
    <w:rsid w:val="00BA715D"/>
    <w:rsid w:val="00BA7540"/>
    <w:rsid w:val="00BA7D7D"/>
    <w:rsid w:val="00BB0106"/>
    <w:rsid w:val="00BB091F"/>
    <w:rsid w:val="00BB0A82"/>
    <w:rsid w:val="00BB2379"/>
    <w:rsid w:val="00BB259A"/>
    <w:rsid w:val="00BB27EB"/>
    <w:rsid w:val="00BB286E"/>
    <w:rsid w:val="00BB299B"/>
    <w:rsid w:val="00BB3222"/>
    <w:rsid w:val="00BB4F0F"/>
    <w:rsid w:val="00BB599A"/>
    <w:rsid w:val="00BB663A"/>
    <w:rsid w:val="00BB6862"/>
    <w:rsid w:val="00BB6961"/>
    <w:rsid w:val="00BB76F3"/>
    <w:rsid w:val="00BB7BA4"/>
    <w:rsid w:val="00BC0484"/>
    <w:rsid w:val="00BC06D3"/>
    <w:rsid w:val="00BC0B49"/>
    <w:rsid w:val="00BC13CF"/>
    <w:rsid w:val="00BC17A2"/>
    <w:rsid w:val="00BC20B2"/>
    <w:rsid w:val="00BC4077"/>
    <w:rsid w:val="00BC4D80"/>
    <w:rsid w:val="00BC5433"/>
    <w:rsid w:val="00BC7096"/>
    <w:rsid w:val="00BD0067"/>
    <w:rsid w:val="00BD23B2"/>
    <w:rsid w:val="00BD23FC"/>
    <w:rsid w:val="00BD2519"/>
    <w:rsid w:val="00BD29F2"/>
    <w:rsid w:val="00BD412F"/>
    <w:rsid w:val="00BD490D"/>
    <w:rsid w:val="00BD6E61"/>
    <w:rsid w:val="00BD6EC6"/>
    <w:rsid w:val="00BD7069"/>
    <w:rsid w:val="00BD73DC"/>
    <w:rsid w:val="00BE1CF5"/>
    <w:rsid w:val="00BE4311"/>
    <w:rsid w:val="00BE4A44"/>
    <w:rsid w:val="00BE7985"/>
    <w:rsid w:val="00BE7B82"/>
    <w:rsid w:val="00BE7CB3"/>
    <w:rsid w:val="00BF0179"/>
    <w:rsid w:val="00BF0FFD"/>
    <w:rsid w:val="00BF133E"/>
    <w:rsid w:val="00BF214E"/>
    <w:rsid w:val="00BF268A"/>
    <w:rsid w:val="00BF379D"/>
    <w:rsid w:val="00BF4BA1"/>
    <w:rsid w:val="00BF62F4"/>
    <w:rsid w:val="00BF71A5"/>
    <w:rsid w:val="00BF786F"/>
    <w:rsid w:val="00BF7E48"/>
    <w:rsid w:val="00C039CB"/>
    <w:rsid w:val="00C03F06"/>
    <w:rsid w:val="00C04D2E"/>
    <w:rsid w:val="00C0618C"/>
    <w:rsid w:val="00C065C9"/>
    <w:rsid w:val="00C110D4"/>
    <w:rsid w:val="00C131A7"/>
    <w:rsid w:val="00C13576"/>
    <w:rsid w:val="00C13AA3"/>
    <w:rsid w:val="00C14EA4"/>
    <w:rsid w:val="00C169AF"/>
    <w:rsid w:val="00C172C5"/>
    <w:rsid w:val="00C174EA"/>
    <w:rsid w:val="00C175E1"/>
    <w:rsid w:val="00C1773E"/>
    <w:rsid w:val="00C20304"/>
    <w:rsid w:val="00C21888"/>
    <w:rsid w:val="00C2333B"/>
    <w:rsid w:val="00C2430F"/>
    <w:rsid w:val="00C2452A"/>
    <w:rsid w:val="00C24D72"/>
    <w:rsid w:val="00C2516E"/>
    <w:rsid w:val="00C269A4"/>
    <w:rsid w:val="00C26DD4"/>
    <w:rsid w:val="00C27AEA"/>
    <w:rsid w:val="00C32303"/>
    <w:rsid w:val="00C33017"/>
    <w:rsid w:val="00C33094"/>
    <w:rsid w:val="00C33E38"/>
    <w:rsid w:val="00C34C2C"/>
    <w:rsid w:val="00C3538A"/>
    <w:rsid w:val="00C35C4B"/>
    <w:rsid w:val="00C36935"/>
    <w:rsid w:val="00C37859"/>
    <w:rsid w:val="00C37CC9"/>
    <w:rsid w:val="00C416B4"/>
    <w:rsid w:val="00C4179D"/>
    <w:rsid w:val="00C417D9"/>
    <w:rsid w:val="00C42ADF"/>
    <w:rsid w:val="00C44C2A"/>
    <w:rsid w:val="00C46968"/>
    <w:rsid w:val="00C469A7"/>
    <w:rsid w:val="00C47B08"/>
    <w:rsid w:val="00C5037A"/>
    <w:rsid w:val="00C50487"/>
    <w:rsid w:val="00C50B74"/>
    <w:rsid w:val="00C51244"/>
    <w:rsid w:val="00C51403"/>
    <w:rsid w:val="00C51B22"/>
    <w:rsid w:val="00C5264E"/>
    <w:rsid w:val="00C5301E"/>
    <w:rsid w:val="00C540D8"/>
    <w:rsid w:val="00C553E1"/>
    <w:rsid w:val="00C55D31"/>
    <w:rsid w:val="00C56193"/>
    <w:rsid w:val="00C60F84"/>
    <w:rsid w:val="00C61B74"/>
    <w:rsid w:val="00C6278F"/>
    <w:rsid w:val="00C63023"/>
    <w:rsid w:val="00C633DC"/>
    <w:rsid w:val="00C646E4"/>
    <w:rsid w:val="00C64C6B"/>
    <w:rsid w:val="00C64D48"/>
    <w:rsid w:val="00C659E7"/>
    <w:rsid w:val="00C67753"/>
    <w:rsid w:val="00C721C4"/>
    <w:rsid w:val="00C723BA"/>
    <w:rsid w:val="00C7286D"/>
    <w:rsid w:val="00C75B89"/>
    <w:rsid w:val="00C771E8"/>
    <w:rsid w:val="00C81DC1"/>
    <w:rsid w:val="00C81DDF"/>
    <w:rsid w:val="00C82682"/>
    <w:rsid w:val="00C831CE"/>
    <w:rsid w:val="00C83FA4"/>
    <w:rsid w:val="00C854C6"/>
    <w:rsid w:val="00C8607A"/>
    <w:rsid w:val="00C86084"/>
    <w:rsid w:val="00C878AF"/>
    <w:rsid w:val="00C90730"/>
    <w:rsid w:val="00C922F6"/>
    <w:rsid w:val="00C92DA8"/>
    <w:rsid w:val="00C947D6"/>
    <w:rsid w:val="00C94F7D"/>
    <w:rsid w:val="00C9627B"/>
    <w:rsid w:val="00CA06D3"/>
    <w:rsid w:val="00CA3E4E"/>
    <w:rsid w:val="00CA3EAD"/>
    <w:rsid w:val="00CA4C0F"/>
    <w:rsid w:val="00CA6AD3"/>
    <w:rsid w:val="00CA73B7"/>
    <w:rsid w:val="00CA743B"/>
    <w:rsid w:val="00CA7D8A"/>
    <w:rsid w:val="00CB015E"/>
    <w:rsid w:val="00CB0EDF"/>
    <w:rsid w:val="00CB21CA"/>
    <w:rsid w:val="00CB371B"/>
    <w:rsid w:val="00CB3C60"/>
    <w:rsid w:val="00CB422B"/>
    <w:rsid w:val="00CB594F"/>
    <w:rsid w:val="00CB599C"/>
    <w:rsid w:val="00CB5B12"/>
    <w:rsid w:val="00CB5FE1"/>
    <w:rsid w:val="00CB6CAD"/>
    <w:rsid w:val="00CC03E7"/>
    <w:rsid w:val="00CC09A2"/>
    <w:rsid w:val="00CC22BA"/>
    <w:rsid w:val="00CC3989"/>
    <w:rsid w:val="00CC4E90"/>
    <w:rsid w:val="00CC52B9"/>
    <w:rsid w:val="00CC6F31"/>
    <w:rsid w:val="00CD0A3D"/>
    <w:rsid w:val="00CD1A77"/>
    <w:rsid w:val="00CD2004"/>
    <w:rsid w:val="00CD4A22"/>
    <w:rsid w:val="00CD4B96"/>
    <w:rsid w:val="00CD4D89"/>
    <w:rsid w:val="00CD64B2"/>
    <w:rsid w:val="00CE0F1E"/>
    <w:rsid w:val="00CE1C2A"/>
    <w:rsid w:val="00CE76B9"/>
    <w:rsid w:val="00CF0CE2"/>
    <w:rsid w:val="00CF2A4C"/>
    <w:rsid w:val="00CF3EF8"/>
    <w:rsid w:val="00CF6AD4"/>
    <w:rsid w:val="00CF6F2C"/>
    <w:rsid w:val="00CF78D4"/>
    <w:rsid w:val="00CF78D8"/>
    <w:rsid w:val="00CF7C82"/>
    <w:rsid w:val="00D001D9"/>
    <w:rsid w:val="00D03EB7"/>
    <w:rsid w:val="00D040F5"/>
    <w:rsid w:val="00D047BD"/>
    <w:rsid w:val="00D0589B"/>
    <w:rsid w:val="00D058DD"/>
    <w:rsid w:val="00D061BF"/>
    <w:rsid w:val="00D06BE3"/>
    <w:rsid w:val="00D07DFF"/>
    <w:rsid w:val="00D10C3F"/>
    <w:rsid w:val="00D115AF"/>
    <w:rsid w:val="00D12086"/>
    <w:rsid w:val="00D13144"/>
    <w:rsid w:val="00D13848"/>
    <w:rsid w:val="00D13EC7"/>
    <w:rsid w:val="00D148D9"/>
    <w:rsid w:val="00D14B46"/>
    <w:rsid w:val="00D1561E"/>
    <w:rsid w:val="00D16B32"/>
    <w:rsid w:val="00D21A48"/>
    <w:rsid w:val="00D2591E"/>
    <w:rsid w:val="00D26161"/>
    <w:rsid w:val="00D2675E"/>
    <w:rsid w:val="00D27AA9"/>
    <w:rsid w:val="00D32D9A"/>
    <w:rsid w:val="00D33B4D"/>
    <w:rsid w:val="00D35304"/>
    <w:rsid w:val="00D355A9"/>
    <w:rsid w:val="00D361C8"/>
    <w:rsid w:val="00D37903"/>
    <w:rsid w:val="00D400D7"/>
    <w:rsid w:val="00D4057C"/>
    <w:rsid w:val="00D40BB1"/>
    <w:rsid w:val="00D41509"/>
    <w:rsid w:val="00D41BED"/>
    <w:rsid w:val="00D436E0"/>
    <w:rsid w:val="00D43729"/>
    <w:rsid w:val="00D449BA"/>
    <w:rsid w:val="00D44A51"/>
    <w:rsid w:val="00D47A5E"/>
    <w:rsid w:val="00D47CFC"/>
    <w:rsid w:val="00D50BFA"/>
    <w:rsid w:val="00D5275D"/>
    <w:rsid w:val="00D53658"/>
    <w:rsid w:val="00D53C17"/>
    <w:rsid w:val="00D564FF"/>
    <w:rsid w:val="00D57C02"/>
    <w:rsid w:val="00D57C74"/>
    <w:rsid w:val="00D639FB"/>
    <w:rsid w:val="00D63AFF"/>
    <w:rsid w:val="00D66503"/>
    <w:rsid w:val="00D671A6"/>
    <w:rsid w:val="00D67B8E"/>
    <w:rsid w:val="00D7004A"/>
    <w:rsid w:val="00D71EBA"/>
    <w:rsid w:val="00D727CA"/>
    <w:rsid w:val="00D75B95"/>
    <w:rsid w:val="00D76E69"/>
    <w:rsid w:val="00D804D0"/>
    <w:rsid w:val="00D80AF9"/>
    <w:rsid w:val="00D83F57"/>
    <w:rsid w:val="00D84AA5"/>
    <w:rsid w:val="00D86283"/>
    <w:rsid w:val="00D8733E"/>
    <w:rsid w:val="00D90A04"/>
    <w:rsid w:val="00D93042"/>
    <w:rsid w:val="00D93463"/>
    <w:rsid w:val="00D9557B"/>
    <w:rsid w:val="00D95FBB"/>
    <w:rsid w:val="00D97F75"/>
    <w:rsid w:val="00D97FB5"/>
    <w:rsid w:val="00DA27A3"/>
    <w:rsid w:val="00DA37CA"/>
    <w:rsid w:val="00DA4608"/>
    <w:rsid w:val="00DA48D3"/>
    <w:rsid w:val="00DA4A82"/>
    <w:rsid w:val="00DA53E3"/>
    <w:rsid w:val="00DA58D8"/>
    <w:rsid w:val="00DB146B"/>
    <w:rsid w:val="00DB51C7"/>
    <w:rsid w:val="00DB584D"/>
    <w:rsid w:val="00DB6382"/>
    <w:rsid w:val="00DB6C53"/>
    <w:rsid w:val="00DB7EB3"/>
    <w:rsid w:val="00DC01E7"/>
    <w:rsid w:val="00DC0E1E"/>
    <w:rsid w:val="00DC3D6A"/>
    <w:rsid w:val="00DC3F26"/>
    <w:rsid w:val="00DC3FEF"/>
    <w:rsid w:val="00DC4050"/>
    <w:rsid w:val="00DC50E0"/>
    <w:rsid w:val="00DC6263"/>
    <w:rsid w:val="00DC6336"/>
    <w:rsid w:val="00DC6DD3"/>
    <w:rsid w:val="00DD0CF0"/>
    <w:rsid w:val="00DD13F5"/>
    <w:rsid w:val="00DD2B2B"/>
    <w:rsid w:val="00DD39AB"/>
    <w:rsid w:val="00DE0CE8"/>
    <w:rsid w:val="00DE2388"/>
    <w:rsid w:val="00DE342C"/>
    <w:rsid w:val="00DE3465"/>
    <w:rsid w:val="00DE34CC"/>
    <w:rsid w:val="00DE653C"/>
    <w:rsid w:val="00DE6B74"/>
    <w:rsid w:val="00DE7782"/>
    <w:rsid w:val="00DE7A5E"/>
    <w:rsid w:val="00DE7F99"/>
    <w:rsid w:val="00DF00A9"/>
    <w:rsid w:val="00DF01B0"/>
    <w:rsid w:val="00DF0330"/>
    <w:rsid w:val="00DF15F7"/>
    <w:rsid w:val="00DF165B"/>
    <w:rsid w:val="00DF7C84"/>
    <w:rsid w:val="00E04751"/>
    <w:rsid w:val="00E04BDF"/>
    <w:rsid w:val="00E04EDB"/>
    <w:rsid w:val="00E05654"/>
    <w:rsid w:val="00E05E39"/>
    <w:rsid w:val="00E07B7C"/>
    <w:rsid w:val="00E1050F"/>
    <w:rsid w:val="00E11128"/>
    <w:rsid w:val="00E11389"/>
    <w:rsid w:val="00E12904"/>
    <w:rsid w:val="00E15576"/>
    <w:rsid w:val="00E16B57"/>
    <w:rsid w:val="00E171B2"/>
    <w:rsid w:val="00E17AD6"/>
    <w:rsid w:val="00E21305"/>
    <w:rsid w:val="00E21D2A"/>
    <w:rsid w:val="00E22040"/>
    <w:rsid w:val="00E2313D"/>
    <w:rsid w:val="00E2416F"/>
    <w:rsid w:val="00E269D1"/>
    <w:rsid w:val="00E312FE"/>
    <w:rsid w:val="00E31919"/>
    <w:rsid w:val="00E31FBB"/>
    <w:rsid w:val="00E34169"/>
    <w:rsid w:val="00E341F0"/>
    <w:rsid w:val="00E35BBA"/>
    <w:rsid w:val="00E410A9"/>
    <w:rsid w:val="00E42BA1"/>
    <w:rsid w:val="00E43497"/>
    <w:rsid w:val="00E4627E"/>
    <w:rsid w:val="00E462C3"/>
    <w:rsid w:val="00E464D8"/>
    <w:rsid w:val="00E51F98"/>
    <w:rsid w:val="00E564A8"/>
    <w:rsid w:val="00E567DF"/>
    <w:rsid w:val="00E60305"/>
    <w:rsid w:val="00E60BA6"/>
    <w:rsid w:val="00E621E8"/>
    <w:rsid w:val="00E6258E"/>
    <w:rsid w:val="00E634F5"/>
    <w:rsid w:val="00E644FD"/>
    <w:rsid w:val="00E64573"/>
    <w:rsid w:val="00E64EFE"/>
    <w:rsid w:val="00E66848"/>
    <w:rsid w:val="00E67DA2"/>
    <w:rsid w:val="00E70971"/>
    <w:rsid w:val="00E712F7"/>
    <w:rsid w:val="00E71854"/>
    <w:rsid w:val="00E71A53"/>
    <w:rsid w:val="00E721E9"/>
    <w:rsid w:val="00E72805"/>
    <w:rsid w:val="00E7371F"/>
    <w:rsid w:val="00E77BFB"/>
    <w:rsid w:val="00E8201E"/>
    <w:rsid w:val="00E84321"/>
    <w:rsid w:val="00E84EE3"/>
    <w:rsid w:val="00E84F73"/>
    <w:rsid w:val="00E86459"/>
    <w:rsid w:val="00E912BF"/>
    <w:rsid w:val="00E93A8A"/>
    <w:rsid w:val="00E95946"/>
    <w:rsid w:val="00E976AF"/>
    <w:rsid w:val="00EA0F7A"/>
    <w:rsid w:val="00EA0FE5"/>
    <w:rsid w:val="00EA186B"/>
    <w:rsid w:val="00EA38F2"/>
    <w:rsid w:val="00EA3BDF"/>
    <w:rsid w:val="00EA48A6"/>
    <w:rsid w:val="00EA51EE"/>
    <w:rsid w:val="00EA54BC"/>
    <w:rsid w:val="00EA5DFA"/>
    <w:rsid w:val="00EA7FA2"/>
    <w:rsid w:val="00EB0DAB"/>
    <w:rsid w:val="00EB704F"/>
    <w:rsid w:val="00EB7D70"/>
    <w:rsid w:val="00EC0472"/>
    <w:rsid w:val="00EC04A5"/>
    <w:rsid w:val="00EC1503"/>
    <w:rsid w:val="00EC4621"/>
    <w:rsid w:val="00EC47EB"/>
    <w:rsid w:val="00EC5522"/>
    <w:rsid w:val="00EC5A47"/>
    <w:rsid w:val="00EC6443"/>
    <w:rsid w:val="00EC67A1"/>
    <w:rsid w:val="00EC6C39"/>
    <w:rsid w:val="00EC71EF"/>
    <w:rsid w:val="00ED01F8"/>
    <w:rsid w:val="00ED0878"/>
    <w:rsid w:val="00ED125A"/>
    <w:rsid w:val="00ED44D3"/>
    <w:rsid w:val="00ED5B31"/>
    <w:rsid w:val="00ED5C32"/>
    <w:rsid w:val="00ED65CD"/>
    <w:rsid w:val="00ED761C"/>
    <w:rsid w:val="00ED7F63"/>
    <w:rsid w:val="00EE3A15"/>
    <w:rsid w:val="00EE4D39"/>
    <w:rsid w:val="00EE602B"/>
    <w:rsid w:val="00EE64E3"/>
    <w:rsid w:val="00EE6667"/>
    <w:rsid w:val="00EE6697"/>
    <w:rsid w:val="00EE72C3"/>
    <w:rsid w:val="00EE73DA"/>
    <w:rsid w:val="00EF0436"/>
    <w:rsid w:val="00EF30EF"/>
    <w:rsid w:val="00EF393D"/>
    <w:rsid w:val="00EF416E"/>
    <w:rsid w:val="00EF5A55"/>
    <w:rsid w:val="00EF6B5F"/>
    <w:rsid w:val="00EF7A91"/>
    <w:rsid w:val="00F01AC1"/>
    <w:rsid w:val="00F03066"/>
    <w:rsid w:val="00F03DB1"/>
    <w:rsid w:val="00F03FA6"/>
    <w:rsid w:val="00F05D60"/>
    <w:rsid w:val="00F06101"/>
    <w:rsid w:val="00F0615A"/>
    <w:rsid w:val="00F1265E"/>
    <w:rsid w:val="00F129B7"/>
    <w:rsid w:val="00F13030"/>
    <w:rsid w:val="00F1326A"/>
    <w:rsid w:val="00F1340D"/>
    <w:rsid w:val="00F13573"/>
    <w:rsid w:val="00F1554C"/>
    <w:rsid w:val="00F16177"/>
    <w:rsid w:val="00F17C3C"/>
    <w:rsid w:val="00F21CCB"/>
    <w:rsid w:val="00F23B63"/>
    <w:rsid w:val="00F26102"/>
    <w:rsid w:val="00F26D89"/>
    <w:rsid w:val="00F312F3"/>
    <w:rsid w:val="00F31BF5"/>
    <w:rsid w:val="00F32418"/>
    <w:rsid w:val="00F329DE"/>
    <w:rsid w:val="00F32C77"/>
    <w:rsid w:val="00F33128"/>
    <w:rsid w:val="00F34481"/>
    <w:rsid w:val="00F376D9"/>
    <w:rsid w:val="00F404B6"/>
    <w:rsid w:val="00F40F74"/>
    <w:rsid w:val="00F412CA"/>
    <w:rsid w:val="00F42260"/>
    <w:rsid w:val="00F42CCF"/>
    <w:rsid w:val="00F43B1B"/>
    <w:rsid w:val="00F445C0"/>
    <w:rsid w:val="00F45269"/>
    <w:rsid w:val="00F47780"/>
    <w:rsid w:val="00F47E74"/>
    <w:rsid w:val="00F50D5F"/>
    <w:rsid w:val="00F511F0"/>
    <w:rsid w:val="00F51415"/>
    <w:rsid w:val="00F546BD"/>
    <w:rsid w:val="00F55E27"/>
    <w:rsid w:val="00F608BE"/>
    <w:rsid w:val="00F60EB7"/>
    <w:rsid w:val="00F61E36"/>
    <w:rsid w:val="00F62942"/>
    <w:rsid w:val="00F64D91"/>
    <w:rsid w:val="00F67B1D"/>
    <w:rsid w:val="00F704BF"/>
    <w:rsid w:val="00F71886"/>
    <w:rsid w:val="00F71A88"/>
    <w:rsid w:val="00F71E65"/>
    <w:rsid w:val="00F7340C"/>
    <w:rsid w:val="00F7349A"/>
    <w:rsid w:val="00F76664"/>
    <w:rsid w:val="00F77F3F"/>
    <w:rsid w:val="00F80846"/>
    <w:rsid w:val="00F80C16"/>
    <w:rsid w:val="00F80C94"/>
    <w:rsid w:val="00F82FD4"/>
    <w:rsid w:val="00F8310B"/>
    <w:rsid w:val="00F83FDF"/>
    <w:rsid w:val="00F843FD"/>
    <w:rsid w:val="00F84C1C"/>
    <w:rsid w:val="00F84F7A"/>
    <w:rsid w:val="00F85266"/>
    <w:rsid w:val="00F854DD"/>
    <w:rsid w:val="00F85D5A"/>
    <w:rsid w:val="00F86DBE"/>
    <w:rsid w:val="00F86F82"/>
    <w:rsid w:val="00F87DA0"/>
    <w:rsid w:val="00F90082"/>
    <w:rsid w:val="00F90DE5"/>
    <w:rsid w:val="00F90E68"/>
    <w:rsid w:val="00F94D20"/>
    <w:rsid w:val="00F9718B"/>
    <w:rsid w:val="00F9782E"/>
    <w:rsid w:val="00FA1279"/>
    <w:rsid w:val="00FA2A29"/>
    <w:rsid w:val="00FA50FD"/>
    <w:rsid w:val="00FA6FD1"/>
    <w:rsid w:val="00FA787F"/>
    <w:rsid w:val="00FB4C0E"/>
    <w:rsid w:val="00FB5520"/>
    <w:rsid w:val="00FB699C"/>
    <w:rsid w:val="00FB7DDF"/>
    <w:rsid w:val="00FC0373"/>
    <w:rsid w:val="00FC0718"/>
    <w:rsid w:val="00FC0D3D"/>
    <w:rsid w:val="00FC1617"/>
    <w:rsid w:val="00FC2DD0"/>
    <w:rsid w:val="00FC4D33"/>
    <w:rsid w:val="00FC4DD1"/>
    <w:rsid w:val="00FC5ED7"/>
    <w:rsid w:val="00FC610C"/>
    <w:rsid w:val="00FC6884"/>
    <w:rsid w:val="00FC7344"/>
    <w:rsid w:val="00FD2B3E"/>
    <w:rsid w:val="00FD3523"/>
    <w:rsid w:val="00FD3DEB"/>
    <w:rsid w:val="00FD5627"/>
    <w:rsid w:val="00FD6759"/>
    <w:rsid w:val="00FD6D1A"/>
    <w:rsid w:val="00FE15F2"/>
    <w:rsid w:val="00FE1692"/>
    <w:rsid w:val="00FE3204"/>
    <w:rsid w:val="00FE441A"/>
    <w:rsid w:val="00FE488C"/>
    <w:rsid w:val="00FE601A"/>
    <w:rsid w:val="00FE6389"/>
    <w:rsid w:val="00FE6E12"/>
    <w:rsid w:val="00FE7169"/>
    <w:rsid w:val="00FE792A"/>
    <w:rsid w:val="00FF1F42"/>
    <w:rsid w:val="00FF6897"/>
    <w:rsid w:val="00FF6982"/>
    <w:rsid w:val="00FF7053"/>
    <w:rsid w:val="00FF71F7"/>
    <w:rsid w:val="00FF7A20"/>
    <w:rsid w:val="03A80B98"/>
    <w:rsid w:val="04A9100B"/>
    <w:rsid w:val="0BC87EE4"/>
    <w:rsid w:val="0D1B7335"/>
    <w:rsid w:val="0DC25855"/>
    <w:rsid w:val="0E0F33E0"/>
    <w:rsid w:val="0F442EBA"/>
    <w:rsid w:val="0F6F4F5A"/>
    <w:rsid w:val="10CC55B8"/>
    <w:rsid w:val="118714DF"/>
    <w:rsid w:val="1299751E"/>
    <w:rsid w:val="13CF23CA"/>
    <w:rsid w:val="14D25167"/>
    <w:rsid w:val="16C136E5"/>
    <w:rsid w:val="174D6D27"/>
    <w:rsid w:val="17B84989"/>
    <w:rsid w:val="18C9062F"/>
    <w:rsid w:val="18D72D4C"/>
    <w:rsid w:val="1B032DF8"/>
    <w:rsid w:val="1D921938"/>
    <w:rsid w:val="1DDE2DCF"/>
    <w:rsid w:val="1F330C2A"/>
    <w:rsid w:val="1F890B18"/>
    <w:rsid w:val="226E2973"/>
    <w:rsid w:val="239D6BFE"/>
    <w:rsid w:val="27E15995"/>
    <w:rsid w:val="28E650B6"/>
    <w:rsid w:val="29923F47"/>
    <w:rsid w:val="29E7300B"/>
    <w:rsid w:val="2A7C19A5"/>
    <w:rsid w:val="2A8924AA"/>
    <w:rsid w:val="2C07063A"/>
    <w:rsid w:val="2D410C84"/>
    <w:rsid w:val="2DBB0A37"/>
    <w:rsid w:val="2DDE6A6D"/>
    <w:rsid w:val="2E2E6C06"/>
    <w:rsid w:val="2E6C4895"/>
    <w:rsid w:val="2EB06BF7"/>
    <w:rsid w:val="2F0B32F8"/>
    <w:rsid w:val="2FA24FB1"/>
    <w:rsid w:val="2FB447F3"/>
    <w:rsid w:val="304A5411"/>
    <w:rsid w:val="30B579BF"/>
    <w:rsid w:val="331C5AD4"/>
    <w:rsid w:val="344057F2"/>
    <w:rsid w:val="34B41D3C"/>
    <w:rsid w:val="351A0851"/>
    <w:rsid w:val="36483DFB"/>
    <w:rsid w:val="368C6ECC"/>
    <w:rsid w:val="39730417"/>
    <w:rsid w:val="39E133F5"/>
    <w:rsid w:val="3B5B5E8A"/>
    <w:rsid w:val="3ED56947"/>
    <w:rsid w:val="3F2F6754"/>
    <w:rsid w:val="419158DF"/>
    <w:rsid w:val="438751EB"/>
    <w:rsid w:val="45611A6C"/>
    <w:rsid w:val="4597548E"/>
    <w:rsid w:val="462F1AB3"/>
    <w:rsid w:val="4689127A"/>
    <w:rsid w:val="46E22739"/>
    <w:rsid w:val="46F030A7"/>
    <w:rsid w:val="47313E14"/>
    <w:rsid w:val="477D29CB"/>
    <w:rsid w:val="48A91760"/>
    <w:rsid w:val="4B005D50"/>
    <w:rsid w:val="4B1F03FF"/>
    <w:rsid w:val="4CF54820"/>
    <w:rsid w:val="4D0D35D2"/>
    <w:rsid w:val="4DE37A02"/>
    <w:rsid w:val="4EAD790C"/>
    <w:rsid w:val="530F0D59"/>
    <w:rsid w:val="53784B50"/>
    <w:rsid w:val="545033D7"/>
    <w:rsid w:val="54E81862"/>
    <w:rsid w:val="555655F3"/>
    <w:rsid w:val="573C4A90"/>
    <w:rsid w:val="580F70C9"/>
    <w:rsid w:val="58B8779D"/>
    <w:rsid w:val="59345E63"/>
    <w:rsid w:val="59BD41B5"/>
    <w:rsid w:val="59E6628D"/>
    <w:rsid w:val="5A721875"/>
    <w:rsid w:val="5BC22E0D"/>
    <w:rsid w:val="5C3866C7"/>
    <w:rsid w:val="5D1C2B72"/>
    <w:rsid w:val="5E111E29"/>
    <w:rsid w:val="5E71734B"/>
    <w:rsid w:val="5EA507C4"/>
    <w:rsid w:val="5F105C3D"/>
    <w:rsid w:val="5F1B5006"/>
    <w:rsid w:val="62F7660C"/>
    <w:rsid w:val="63A24255"/>
    <w:rsid w:val="64E263CC"/>
    <w:rsid w:val="6716225F"/>
    <w:rsid w:val="67CA4DF7"/>
    <w:rsid w:val="683230C8"/>
    <w:rsid w:val="684D3A5E"/>
    <w:rsid w:val="6A1F767C"/>
    <w:rsid w:val="6A5C442C"/>
    <w:rsid w:val="6AF21F10"/>
    <w:rsid w:val="6C267FF8"/>
    <w:rsid w:val="6D6B0BCD"/>
    <w:rsid w:val="6EB72579"/>
    <w:rsid w:val="6F3D282E"/>
    <w:rsid w:val="701337DF"/>
    <w:rsid w:val="70673B2B"/>
    <w:rsid w:val="71333497"/>
    <w:rsid w:val="71900E5F"/>
    <w:rsid w:val="71C867F5"/>
    <w:rsid w:val="72601FB5"/>
    <w:rsid w:val="7427097F"/>
    <w:rsid w:val="742F4960"/>
    <w:rsid w:val="74D774D1"/>
    <w:rsid w:val="776158EB"/>
    <w:rsid w:val="777F3BC3"/>
    <w:rsid w:val="78300CA6"/>
    <w:rsid w:val="79554E68"/>
    <w:rsid w:val="79FB528B"/>
    <w:rsid w:val="7BB15DE1"/>
    <w:rsid w:val="7C87620E"/>
    <w:rsid w:val="7C947A56"/>
    <w:rsid w:val="7CE43DC9"/>
    <w:rsid w:val="7D366D5F"/>
    <w:rsid w:val="7DDD427C"/>
    <w:rsid w:val="7E5E3453"/>
    <w:rsid w:val="7F1E1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iPriority="99" w:name="footnote text"/>
    <w:lsdException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nhideWhenUsed="0" w:uiPriority="0" w:semiHidden="0"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nhideWhenUsed="0" w:uiPriority="0" w:semiHidden="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0" w:name="Salutation"/>
    <w:lsdException w:uiPriority="0" w:name="Date"/>
    <w:lsdException w:uiPriority="99" w:name="Body Text First Indent"/>
    <w:lsdException w:uiPriority="0" w:name="Body Text First Indent 2"/>
    <w:lsdException w:uiPriority="99" w:name="Note Heading"/>
    <w:lsdException w:qFormat="1" w:uiPriority="99" w:name="Body Text 2"/>
    <w:lsdException w:qFormat="1"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0" w:name="FollowedHyperlink"/>
    <w:lsdException w:qFormat="1" w:unhideWhenUsed="0" w:uiPriority="0" w:semiHidden="0" w:name="Strong"/>
    <w:lsdException w:unhideWhenUsed="0" w:uiPriority="20" w:semiHidden="0" w:name="Emphasis"/>
    <w:lsdException w:uiPriority="99" w:name="Document Map"/>
    <w:lsdException w:uiPriority="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480" w:firstLineChars="200"/>
    </w:pPr>
    <w:rPr>
      <w:rFonts w:eastAsia="宋体" w:asciiTheme="minorHAnsi" w:hAnsiTheme="minorHAnsi" w:cstheme="minorBidi"/>
      <w:kern w:val="2"/>
      <w:sz w:val="24"/>
      <w:szCs w:val="21"/>
      <w:lang w:val="en-US" w:eastAsia="zh-CN" w:bidi="ar-SA"/>
    </w:rPr>
  </w:style>
  <w:style w:type="paragraph" w:styleId="3">
    <w:name w:val="heading 1"/>
    <w:basedOn w:val="1"/>
    <w:next w:val="1"/>
    <w:link w:val="23"/>
    <w:qFormat/>
    <w:uiPriority w:val="9"/>
    <w:pPr>
      <w:keepNext/>
      <w:keepLines/>
      <w:numPr>
        <w:ilvl w:val="0"/>
        <w:numId w:val="1"/>
      </w:numPr>
      <w:suppressLineNumbers/>
      <w:ind w:firstLineChars="0"/>
      <w:jc w:val="center"/>
      <w:outlineLvl w:val="0"/>
    </w:pPr>
    <w:rPr>
      <w:rFonts w:ascii="Times New Roman" w:hAnsi="Times New Roman"/>
      <w:b/>
      <w:bCs/>
      <w:kern w:val="44"/>
      <w:sz w:val="32"/>
      <w:szCs w:val="44"/>
    </w:rPr>
  </w:style>
  <w:style w:type="paragraph" w:styleId="2">
    <w:name w:val="heading 2"/>
    <w:basedOn w:val="1"/>
    <w:next w:val="1"/>
    <w:link w:val="21"/>
    <w:unhideWhenUsed/>
    <w:qFormat/>
    <w:uiPriority w:val="9"/>
    <w:pPr>
      <w:keepNext/>
      <w:keepLines/>
      <w:numPr>
        <w:ilvl w:val="1"/>
        <w:numId w:val="1"/>
      </w:numPr>
      <w:ind w:firstLine="0" w:firstLineChars="0"/>
      <w:jc w:val="center"/>
      <w:outlineLvl w:val="1"/>
    </w:pPr>
    <w:rPr>
      <w:rFonts w:ascii="Times New Roman" w:hAnsi="Times New Roman" w:cstheme="majorBidi"/>
      <w:b/>
      <w:bCs/>
      <w:sz w:val="30"/>
      <w:szCs w:val="32"/>
    </w:rPr>
  </w:style>
  <w:style w:type="paragraph" w:styleId="4">
    <w:name w:val="heading 3"/>
    <w:basedOn w:val="1"/>
    <w:next w:val="1"/>
    <w:link w:val="25"/>
    <w:unhideWhenUsed/>
    <w:qFormat/>
    <w:uiPriority w:val="9"/>
    <w:pPr>
      <w:keepNext/>
      <w:keepLines/>
      <w:numPr>
        <w:ilvl w:val="2"/>
        <w:numId w:val="1"/>
      </w:numPr>
      <w:ind w:firstLineChars="0"/>
      <w:outlineLvl w:val="2"/>
    </w:pPr>
    <w:rPr>
      <w:rFonts w:ascii="Times New Roman" w:hAnsi="Times New Roman"/>
      <w:b/>
      <w:bCs/>
      <w:sz w:val="28"/>
      <w:szCs w:val="32"/>
    </w:rPr>
  </w:style>
  <w:style w:type="paragraph" w:styleId="5">
    <w:name w:val="heading 4"/>
    <w:basedOn w:val="1"/>
    <w:next w:val="1"/>
    <w:link w:val="24"/>
    <w:autoRedefine/>
    <w:unhideWhenUsed/>
    <w:qFormat/>
    <w:uiPriority w:val="9"/>
    <w:pPr>
      <w:keepNext/>
      <w:keepLines/>
      <w:numPr>
        <w:ilvl w:val="3"/>
        <w:numId w:val="1"/>
      </w:numPr>
      <w:ind w:left="0" w:firstLineChars="0"/>
      <w:outlineLvl w:val="3"/>
    </w:pPr>
    <w:rPr>
      <w:rFonts w:ascii="Times New Roman" w:hAnsi="Times New Roman" w:cstheme="majorBidi"/>
      <w:bCs/>
      <w:szCs w:val="28"/>
    </w:rPr>
  </w:style>
  <w:style w:type="paragraph" w:styleId="6">
    <w:name w:val="heading 5"/>
    <w:basedOn w:val="1"/>
    <w:next w:val="1"/>
    <w:link w:val="28"/>
    <w:unhideWhenUsed/>
    <w:qFormat/>
    <w:uiPriority w:val="9"/>
    <w:pPr>
      <w:keepNext/>
      <w:keepLines/>
      <w:numPr>
        <w:ilvl w:val="4"/>
        <w:numId w:val="1"/>
      </w:numPr>
      <w:ind w:left="0" w:firstLineChars="0"/>
      <w:outlineLvl w:val="4"/>
    </w:pPr>
    <w:rPr>
      <w:rFonts w:ascii="Times New Roman" w:hAnsi="Times New Roman"/>
      <w:bCs/>
      <w:szCs w:val="28"/>
    </w:rPr>
  </w:style>
  <w:style w:type="paragraph" w:styleId="7">
    <w:name w:val="heading 6"/>
    <w:basedOn w:val="1"/>
    <w:next w:val="1"/>
    <w:link w:val="40"/>
    <w:unhideWhenUsed/>
    <w:qFormat/>
    <w:uiPriority w:val="9"/>
    <w:pPr>
      <w:keepNext/>
      <w:keepLines/>
      <w:spacing w:before="240" w:after="64" w:line="317" w:lineRule="auto"/>
      <w:outlineLvl w:val="5"/>
    </w:pPr>
    <w:rPr>
      <w:rFonts w:ascii="Arial" w:hAnsi="Arial" w:eastAsia="黑体"/>
      <w:b/>
    </w:rPr>
  </w:style>
  <w:style w:type="paragraph" w:styleId="8">
    <w:name w:val="heading 7"/>
    <w:basedOn w:val="1"/>
    <w:next w:val="1"/>
    <w:link w:val="72"/>
    <w:unhideWhenUsed/>
    <w:qFormat/>
    <w:uiPriority w:val="9"/>
    <w:pPr>
      <w:keepNext/>
      <w:keepLines/>
      <w:spacing w:before="240" w:after="64" w:line="320" w:lineRule="auto"/>
      <w:outlineLvl w:val="6"/>
    </w:pPr>
    <w:rPr>
      <w:b/>
      <w:bCs/>
      <w:szCs w:val="24"/>
    </w:rPr>
  </w:style>
  <w:style w:type="character" w:default="1" w:styleId="18">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next w:val="1"/>
    <w:qFormat/>
    <w:uiPriority w:val="0"/>
    <w:pPr>
      <w:ind w:firstLine="420"/>
    </w:pPr>
    <w:rPr>
      <w:szCs w:val="20"/>
    </w:rPr>
  </w:style>
  <w:style w:type="paragraph" w:styleId="10">
    <w:name w:val="footer"/>
    <w:basedOn w:val="1"/>
    <w:unhideWhenUsed/>
    <w:qFormat/>
    <w:uiPriority w:val="99"/>
    <w:pPr>
      <w:tabs>
        <w:tab w:val="center" w:pos="4153"/>
        <w:tab w:val="right" w:pos="8306"/>
      </w:tabs>
      <w:snapToGrid w:val="0"/>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Title"/>
    <w:basedOn w:val="1"/>
    <w:next w:val="1"/>
    <w:link w:val="26"/>
    <w:qFormat/>
    <w:uiPriority w:val="10"/>
    <w:pPr>
      <w:spacing w:before="240" w:after="60"/>
      <w:jc w:val="center"/>
      <w:outlineLvl w:val="0"/>
    </w:pPr>
    <w:rPr>
      <w:rFonts w:asciiTheme="majorHAnsi" w:hAnsiTheme="majorHAnsi" w:cstheme="majorBidi"/>
      <w:b/>
      <w:bCs/>
      <w:sz w:val="32"/>
      <w:szCs w:val="32"/>
    </w:rPr>
  </w:style>
  <w:style w:type="table" w:styleId="16">
    <w:name w:val="Table Grid"/>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styleId="17">
    <w:name w:val="Colorful List Accent 6"/>
    <w:basedOn w:val="15"/>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character" w:customStyle="1" w:styleId="21">
    <w:name w:val="标题 2 Char"/>
    <w:basedOn w:val="18"/>
    <w:link w:val="2"/>
    <w:qFormat/>
    <w:uiPriority w:val="9"/>
    <w:rPr>
      <w:rFonts w:ascii="Times New Roman" w:hAnsi="Times New Roman" w:eastAsia="宋体" w:cstheme="majorBidi"/>
      <w:b/>
      <w:bCs/>
      <w:sz w:val="30"/>
      <w:szCs w:val="32"/>
    </w:rPr>
  </w:style>
  <w:style w:type="paragraph" w:customStyle="1" w:styleId="22">
    <w:name w:val="正文1(1)"/>
    <w:basedOn w:val="1"/>
    <w:link w:val="34"/>
    <w:autoRedefine/>
    <w:qFormat/>
    <w:uiPriority w:val="0"/>
    <w:pPr>
      <w:numPr>
        <w:ilvl w:val="5"/>
        <w:numId w:val="1"/>
      </w:numPr>
      <w:ind w:left="0" w:firstLine="480"/>
    </w:pPr>
    <w:rPr>
      <w:rFonts w:ascii="Times New Roman" w:hAnsi="Times New Roman"/>
    </w:rPr>
  </w:style>
  <w:style w:type="character" w:customStyle="1" w:styleId="23">
    <w:name w:val="标题 1 Char"/>
    <w:basedOn w:val="18"/>
    <w:link w:val="3"/>
    <w:qFormat/>
    <w:uiPriority w:val="9"/>
    <w:rPr>
      <w:rFonts w:ascii="Times New Roman" w:hAnsi="Times New Roman" w:eastAsia="宋体"/>
      <w:b/>
      <w:bCs/>
      <w:kern w:val="44"/>
      <w:sz w:val="32"/>
      <w:szCs w:val="44"/>
    </w:rPr>
  </w:style>
  <w:style w:type="character" w:customStyle="1" w:styleId="24">
    <w:name w:val="标题 4 Char"/>
    <w:basedOn w:val="18"/>
    <w:link w:val="5"/>
    <w:qFormat/>
    <w:uiPriority w:val="9"/>
    <w:rPr>
      <w:rFonts w:ascii="Times New Roman" w:hAnsi="Times New Roman" w:eastAsia="宋体" w:cstheme="majorBidi"/>
      <w:bCs/>
      <w:sz w:val="24"/>
      <w:szCs w:val="28"/>
    </w:rPr>
  </w:style>
  <w:style w:type="character" w:customStyle="1" w:styleId="25">
    <w:name w:val="标题 3 Char"/>
    <w:basedOn w:val="18"/>
    <w:link w:val="4"/>
    <w:qFormat/>
    <w:uiPriority w:val="9"/>
    <w:rPr>
      <w:rFonts w:ascii="Times New Roman" w:hAnsi="Times New Roman" w:eastAsia="宋体"/>
      <w:b/>
      <w:bCs/>
      <w:sz w:val="28"/>
      <w:szCs w:val="32"/>
    </w:rPr>
  </w:style>
  <w:style w:type="character" w:customStyle="1" w:styleId="26">
    <w:name w:val="标题 Char"/>
    <w:basedOn w:val="18"/>
    <w:link w:val="14"/>
    <w:qFormat/>
    <w:uiPriority w:val="10"/>
    <w:rPr>
      <w:rFonts w:eastAsia="宋体" w:asciiTheme="majorHAnsi" w:hAnsiTheme="majorHAnsi" w:cstheme="majorBidi"/>
      <w:b/>
      <w:bCs/>
      <w:sz w:val="32"/>
      <w:szCs w:val="32"/>
    </w:rPr>
  </w:style>
  <w:style w:type="paragraph" w:customStyle="1" w:styleId="27">
    <w:name w:val="(表格)"/>
    <w:basedOn w:val="1"/>
    <w:link w:val="42"/>
    <w:qFormat/>
    <w:uiPriority w:val="0"/>
    <w:pPr>
      <w:numPr>
        <w:ilvl w:val="7"/>
        <w:numId w:val="1"/>
      </w:numPr>
      <w:spacing w:line="240" w:lineRule="auto"/>
      <w:ind w:firstLineChars="0"/>
      <w:jc w:val="center"/>
    </w:pPr>
    <w:rPr>
      <w:rFonts w:ascii="Times New Roman" w:hAnsi="Times New Roman" w:eastAsia="黑体"/>
    </w:rPr>
  </w:style>
  <w:style w:type="character" w:customStyle="1" w:styleId="28">
    <w:name w:val="标题 5 Char"/>
    <w:basedOn w:val="18"/>
    <w:link w:val="6"/>
    <w:qFormat/>
    <w:uiPriority w:val="9"/>
    <w:rPr>
      <w:rFonts w:ascii="Times New Roman" w:hAnsi="Times New Roman" w:eastAsia="宋体"/>
      <w:bCs/>
      <w:sz w:val="24"/>
      <w:szCs w:val="28"/>
    </w:rPr>
  </w:style>
  <w:style w:type="paragraph" w:customStyle="1" w:styleId="29">
    <w:name w:val="（图片）"/>
    <w:basedOn w:val="1"/>
    <w:next w:val="30"/>
    <w:link w:val="38"/>
    <w:autoRedefine/>
    <w:qFormat/>
    <w:uiPriority w:val="0"/>
    <w:pPr>
      <w:numPr>
        <w:ilvl w:val="8"/>
        <w:numId w:val="1"/>
      </w:numPr>
      <w:spacing w:line="240" w:lineRule="auto"/>
      <w:ind w:left="0" w:firstLineChars="0"/>
      <w:jc w:val="center"/>
    </w:pPr>
    <w:rPr>
      <w:rFonts w:eastAsia="黑体"/>
    </w:rPr>
  </w:style>
  <w:style w:type="paragraph" w:customStyle="1" w:styleId="30">
    <w:name w:val="图"/>
    <w:basedOn w:val="1"/>
    <w:link w:val="41"/>
    <w:qFormat/>
    <w:uiPriority w:val="0"/>
    <w:pPr>
      <w:pBdr>
        <w:top w:val="single" w:color="BEBEBE" w:themeColor="background1" w:themeShade="BF" w:sz="12" w:space="1"/>
        <w:left w:val="single" w:color="BEBEBE" w:themeColor="background1" w:themeShade="BF" w:sz="12" w:space="4"/>
        <w:bottom w:val="single" w:color="BEBEBE" w:themeColor="background1" w:themeShade="BF" w:sz="12" w:space="1"/>
        <w:right w:val="single" w:color="BEBEBE" w:themeColor="background1" w:themeShade="BF" w:sz="12" w:space="4"/>
      </w:pBdr>
      <w:spacing w:line="276" w:lineRule="auto"/>
      <w:ind w:firstLine="0" w:firstLineChars="0"/>
      <w:jc w:val="center"/>
    </w:pPr>
    <w:rPr>
      <w:rFonts w:ascii="Times New Roman" w:hAnsi="Times New Roman" w:eastAsia="宋体"/>
      <w:sz w:val="21"/>
    </w:rPr>
  </w:style>
  <w:style w:type="paragraph" w:customStyle="1" w:styleId="31">
    <w:name w:val="正文 1)"/>
    <w:basedOn w:val="1"/>
    <w:link w:val="35"/>
    <w:qFormat/>
    <w:uiPriority w:val="0"/>
    <w:pPr>
      <w:numPr>
        <w:ilvl w:val="6"/>
        <w:numId w:val="1"/>
      </w:numPr>
      <w:ind w:firstLine="200"/>
    </w:pPr>
  </w:style>
  <w:style w:type="paragraph" w:customStyle="1" w:styleId="32">
    <w:name w:val="表格内容居中"/>
    <w:basedOn w:val="1"/>
    <w:link w:val="33"/>
    <w:qFormat/>
    <w:uiPriority w:val="0"/>
    <w:pPr>
      <w:spacing w:line="360" w:lineRule="exact"/>
      <w:ind w:firstLine="0" w:firstLineChars="0"/>
      <w:jc w:val="center"/>
    </w:pPr>
    <w:rPr>
      <w:rFonts w:ascii="Times New Roman" w:hAnsi="Times New Roman"/>
      <w:sz w:val="21"/>
    </w:rPr>
  </w:style>
  <w:style w:type="character" w:customStyle="1" w:styleId="33">
    <w:name w:val="表格内容居中 Char"/>
    <w:basedOn w:val="18"/>
    <w:link w:val="32"/>
    <w:qFormat/>
    <w:uiPriority w:val="0"/>
    <w:rPr>
      <w:rFonts w:ascii="Times New Roman" w:hAnsi="Times New Roman" w:eastAsia="宋体"/>
    </w:rPr>
  </w:style>
  <w:style w:type="character" w:customStyle="1" w:styleId="34">
    <w:name w:val="正文1(1) Char"/>
    <w:link w:val="22"/>
    <w:qFormat/>
    <w:uiPriority w:val="0"/>
    <w:rPr>
      <w:rFonts w:ascii="Times New Roman" w:hAnsi="Times New Roman" w:eastAsia="宋体"/>
      <w:sz w:val="24"/>
    </w:rPr>
  </w:style>
  <w:style w:type="character" w:customStyle="1" w:styleId="35">
    <w:name w:val="正文 1) Char"/>
    <w:link w:val="31"/>
    <w:qFormat/>
    <w:uiPriority w:val="0"/>
    <w:rPr>
      <w:rFonts w:eastAsia="宋体"/>
      <w:sz w:val="24"/>
    </w:rPr>
  </w:style>
  <w:style w:type="paragraph" w:customStyle="1" w:styleId="36">
    <w:name w:val="表格内容左对齐1"/>
    <w:basedOn w:val="32"/>
    <w:link w:val="37"/>
    <w:qFormat/>
    <w:uiPriority w:val="0"/>
    <w:pPr>
      <w:widowControl/>
      <w:spacing w:line="240" w:lineRule="auto"/>
      <w:ind w:firstLine="420" w:firstLineChars="200"/>
      <w:jc w:val="left"/>
    </w:pPr>
    <w:rPr>
      <w:rFonts w:ascii="宋体" w:hAnsi="宋体" w:cs="宋体"/>
      <w:kern w:val="0"/>
      <w:szCs w:val="24"/>
    </w:rPr>
  </w:style>
  <w:style w:type="character" w:customStyle="1" w:styleId="37">
    <w:name w:val="表格内容左对齐1 Char"/>
    <w:basedOn w:val="33"/>
    <w:link w:val="36"/>
    <w:qFormat/>
    <w:uiPriority w:val="0"/>
    <w:rPr>
      <w:rFonts w:ascii="宋体" w:hAnsi="宋体" w:eastAsia="宋体" w:cs="宋体"/>
      <w:kern w:val="0"/>
      <w:szCs w:val="24"/>
    </w:rPr>
  </w:style>
  <w:style w:type="character" w:customStyle="1" w:styleId="38">
    <w:name w:val="（图片） Char"/>
    <w:link w:val="29"/>
    <w:qFormat/>
    <w:uiPriority w:val="0"/>
    <w:rPr>
      <w:rFonts w:eastAsia="黑体"/>
      <w:sz w:val="24"/>
    </w:rPr>
  </w:style>
  <w:style w:type="table" w:customStyle="1" w:styleId="39">
    <w:name w:val="网格型1"/>
    <w:basedOn w:val="15"/>
    <w:qFormat/>
    <w:uiPriority w:val="59"/>
    <w:pPr>
      <w:jc w:val="center"/>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character" w:customStyle="1" w:styleId="40">
    <w:name w:val="标题 6 Char"/>
    <w:basedOn w:val="18"/>
    <w:link w:val="7"/>
    <w:qFormat/>
    <w:uiPriority w:val="9"/>
    <w:rPr>
      <w:rFonts w:ascii="Arial" w:hAnsi="Arial" w:eastAsia="黑体"/>
      <w:b/>
      <w:sz w:val="24"/>
    </w:rPr>
  </w:style>
  <w:style w:type="character" w:customStyle="1" w:styleId="41">
    <w:name w:val="图 Char"/>
    <w:link w:val="30"/>
    <w:qFormat/>
    <w:uiPriority w:val="0"/>
    <w:rPr>
      <w:rFonts w:ascii="Times New Roman" w:hAnsi="Times New Roman" w:eastAsia="宋体"/>
    </w:rPr>
  </w:style>
  <w:style w:type="character" w:customStyle="1" w:styleId="42">
    <w:name w:val="(表格) Char"/>
    <w:link w:val="27"/>
    <w:qFormat/>
    <w:locked/>
    <w:uiPriority w:val="0"/>
    <w:rPr>
      <w:rFonts w:ascii="Times New Roman" w:hAnsi="Times New Roman" w:eastAsia="黑体"/>
      <w:sz w:val="24"/>
    </w:rPr>
  </w:style>
  <w:style w:type="table" w:customStyle="1" w:styleId="43">
    <w:name w:val="Table Normal"/>
    <w:unhideWhenUsed/>
    <w:qFormat/>
    <w:uiPriority w:val="2"/>
    <w:pPr>
      <w:widowControl w:val="0"/>
      <w:autoSpaceDE w:val="0"/>
      <w:autoSpaceDN w:val="0"/>
    </w:pPr>
    <w:rPr>
      <w:rFonts w:ascii="Calibri" w:hAnsi="Calibri" w:eastAsia="宋体" w:cs="Times New Roman"/>
      <w:kern w:val="0"/>
      <w:sz w:val="22"/>
      <w:szCs w:val="22"/>
      <w:lang w:eastAsia="en-US"/>
    </w:rPr>
    <w:tblPr>
      <w:tblCellMar>
        <w:top w:w="0" w:type="dxa"/>
        <w:left w:w="0" w:type="dxa"/>
        <w:bottom w:w="0" w:type="dxa"/>
        <w:right w:w="0" w:type="dxa"/>
      </w:tblCellMar>
    </w:tblPr>
  </w:style>
  <w:style w:type="table" w:customStyle="1" w:styleId="44">
    <w:name w:val="东塔表格13"/>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45">
    <w:name w:val="东塔表格14"/>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46">
    <w:name w:val="东塔表格15"/>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paragraph" w:customStyle="1" w:styleId="47">
    <w:name w:val="表格内容左对齐"/>
    <w:basedOn w:val="1"/>
    <w:next w:val="1"/>
    <w:link w:val="48"/>
    <w:qFormat/>
    <w:uiPriority w:val="0"/>
    <w:pPr>
      <w:spacing w:line="240" w:lineRule="auto"/>
    </w:pPr>
    <w:rPr>
      <w:sz w:val="21"/>
    </w:rPr>
  </w:style>
  <w:style w:type="character" w:customStyle="1" w:styleId="48">
    <w:name w:val="表格内容左对齐 Char"/>
    <w:basedOn w:val="18"/>
    <w:link w:val="47"/>
    <w:qFormat/>
    <w:uiPriority w:val="0"/>
    <w:rPr>
      <w:rFonts w:eastAsia="宋体"/>
    </w:rPr>
  </w:style>
  <w:style w:type="table" w:customStyle="1" w:styleId="49">
    <w:name w:val="东塔表格11"/>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0">
    <w:name w:val="东塔表格12"/>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1">
    <w:name w:val="网格型2"/>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2">
    <w:name w:val="网格型3"/>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3">
    <w:name w:val="网格型11"/>
    <w:basedOn w:val="15"/>
    <w:qFormat/>
    <w:uiPriority w:val="59"/>
    <w:pPr>
      <w:jc w:val="center"/>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4">
    <w:name w:val="标书表格"/>
    <w:basedOn w:val="15"/>
    <w:qFormat/>
    <w:uiPriority w:val="99"/>
    <w:pPr>
      <w:jc w:val="center"/>
    </w:pPr>
    <w:rPr>
      <w:rFonts w:eastAsia="宋体"/>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cPr>
      <w:vAlign w:val="center"/>
    </w:tcPr>
    <w:tblStylePr w:type="firstRow">
      <w:rPr>
        <w:rFonts w:eastAsia="宋体"/>
        <w:b/>
        <w:sz w:val="21"/>
      </w:rPr>
      <w:tcPr>
        <w:shd w:val="clear" w:color="auto" w:fill="CFAE78"/>
      </w:tcPr>
    </w:tblStylePr>
  </w:style>
  <w:style w:type="table" w:customStyle="1" w:styleId="55">
    <w:name w:val="网格型4"/>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6">
    <w:name w:val="网格型5"/>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7">
    <w:name w:val="网格型6"/>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8">
    <w:name w:val="东塔表格16"/>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9">
    <w:name w:val="东塔表格17"/>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60">
    <w:name w:val="东塔表格18"/>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61">
    <w:name w:val="东塔表格19"/>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62">
    <w:name w:val="网格型7"/>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63">
    <w:name w:val="Plain Table 5"/>
    <w:basedOn w:val="15"/>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64">
    <w:name w:val="Grid Table 1 Light"/>
    <w:basedOn w:val="15"/>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65">
    <w:name w:val="Grid Table 1 Light Accent 1"/>
    <w:basedOn w:val="15"/>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table" w:customStyle="1" w:styleId="66">
    <w:name w:val="Grid Table 1 Light Accent 5"/>
    <w:basedOn w:val="15"/>
    <w:qFormat/>
    <w:uiPriority w:val="46"/>
    <w:tblPr>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Pr>
    <w:tblStylePr w:type="firstRow">
      <w:rPr>
        <w:b/>
        <w:bCs/>
      </w:rPr>
      <w:tcPr>
        <w:tcBorders>
          <w:bottom w:val="single" w:color="92CDDC" w:themeColor="accent5" w:themeTint="99" w:sz="12" w:space="0"/>
        </w:tcBorders>
      </w:tcPr>
    </w:tblStylePr>
    <w:tblStylePr w:type="lastRow">
      <w:rPr>
        <w:b/>
        <w:bCs/>
      </w:rPr>
      <w:tcPr>
        <w:tcBorders>
          <w:top w:val="double" w:color="92CDDC" w:themeColor="accent5" w:themeTint="99" w:sz="2" w:space="0"/>
        </w:tcBorders>
      </w:tcPr>
    </w:tblStylePr>
    <w:tblStylePr w:type="firstCol">
      <w:rPr>
        <w:b/>
        <w:bCs/>
      </w:rPr>
    </w:tblStylePr>
    <w:tblStylePr w:type="lastCol">
      <w:rPr>
        <w:b/>
        <w:bCs/>
      </w:rPr>
    </w:tblStylePr>
  </w:style>
  <w:style w:type="paragraph" w:customStyle="1" w:styleId="67">
    <w:name w:val="正文1"/>
    <w:qFormat/>
    <w:uiPriority w:val="0"/>
    <w:pPr>
      <w:jc w:val="both"/>
    </w:pPr>
    <w:rPr>
      <w:rFonts w:ascii="Calibri" w:hAnsi="Calibri" w:eastAsia="宋体" w:cs="Calibri"/>
      <w:kern w:val="2"/>
      <w:sz w:val="21"/>
      <w:szCs w:val="21"/>
      <w:lang w:val="en-US" w:eastAsia="zh-CN" w:bidi="ar-SA"/>
    </w:rPr>
  </w:style>
  <w:style w:type="table" w:customStyle="1" w:styleId="68">
    <w:name w:val="无格式表格 51"/>
    <w:basedOn w:val="15"/>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69">
    <w:name w:val="网格表 1 浅色1"/>
    <w:basedOn w:val="15"/>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70">
    <w:name w:val="网格表 1 浅色 - 着色 11"/>
    <w:basedOn w:val="15"/>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table" w:customStyle="1" w:styleId="71">
    <w:name w:val="网格表 1 浅色 - 着色 51"/>
    <w:basedOn w:val="15"/>
    <w:qFormat/>
    <w:uiPriority w:val="46"/>
    <w:tblPr>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Pr>
    <w:tblStylePr w:type="firstRow">
      <w:rPr>
        <w:b/>
        <w:bCs/>
      </w:rPr>
      <w:tcPr>
        <w:tcBorders>
          <w:bottom w:val="single" w:color="92CDDC" w:themeColor="accent5" w:themeTint="99" w:sz="12" w:space="0"/>
        </w:tcBorders>
      </w:tcPr>
    </w:tblStylePr>
    <w:tblStylePr w:type="lastRow">
      <w:rPr>
        <w:b/>
        <w:bCs/>
      </w:rPr>
      <w:tcPr>
        <w:tcBorders>
          <w:top w:val="double" w:color="92CDDC" w:themeColor="accent5" w:themeTint="99" w:sz="2" w:space="0"/>
        </w:tcBorders>
      </w:tcPr>
    </w:tblStylePr>
    <w:tblStylePr w:type="firstCol">
      <w:rPr>
        <w:b/>
        <w:bCs/>
      </w:rPr>
    </w:tblStylePr>
    <w:tblStylePr w:type="lastCol">
      <w:rPr>
        <w:b/>
        <w:bCs/>
      </w:rPr>
    </w:tblStylePr>
  </w:style>
  <w:style w:type="character" w:customStyle="1" w:styleId="72">
    <w:name w:val="标题 7 Char"/>
    <w:basedOn w:val="18"/>
    <w:link w:val="8"/>
    <w:qFormat/>
    <w:uiPriority w:val="9"/>
    <w:rPr>
      <w:rFonts w:eastAsia="宋体"/>
      <w:b/>
      <w:bCs/>
      <w:sz w:val="24"/>
      <w:szCs w:val="24"/>
    </w:rPr>
  </w:style>
  <w:style w:type="table" w:customStyle="1" w:styleId="73">
    <w:name w:val="华润城万象天地表样"/>
    <w:basedOn w:val="15"/>
    <w:qFormat/>
    <w:uiPriority w:val="0"/>
    <w:rPr>
      <w:rFonts w:ascii="宋体" w:hAnsi="宋体" w:eastAsia="Malgun Gothic" w:cs="Times New Roman"/>
      <w:kern w:val="0"/>
      <w:sz w:val="20"/>
      <w:szCs w:val="20"/>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57" w:type="dxa"/>
        <w:bottom w:w="57" w:type="dxa"/>
      </w:tblCellMar>
    </w:tblPr>
    <w:tblStylePr w:type="firstRow">
      <w:tcPr>
        <w:shd w:val="clear" w:color="000000" w:fill="C6D9F0" w:themeFill="text2" w:themeFillTint="33"/>
      </w:tcPr>
    </w:tblStylePr>
    <w:tblStylePr w:type="firstCol">
      <w:tcPr>
        <w:tcBorders>
          <w:top w:val="double" w:color="auto" w:sz="4" w:space="0"/>
          <w:left w:val="double" w:color="auto" w:sz="4" w:space="0"/>
          <w:bottom w:val="double" w:color="auto" w:sz="4" w:space="0"/>
          <w:right w:val="single" w:color="auto" w:sz="6" w:space="0"/>
          <w:insideH w:val="nil"/>
          <w:insideV w:val="nil"/>
          <w:tl2br w:val="nil"/>
          <w:tr2bl w:val="nil"/>
        </w:tcBorders>
        <w:shd w:val="clear" w:color="000000" w:fill="FBD4B4" w:themeFill="accent6" w:themeFillTint="66"/>
      </w:tcPr>
    </w:tblStylePr>
  </w:style>
  <w:style w:type="paragraph" w:customStyle="1" w:styleId="74">
    <w:name w:val="方案正文"/>
    <w:basedOn w:val="9"/>
    <w:next w:val="10"/>
    <w:autoRedefine/>
    <w:qFormat/>
    <w:uiPriority w:val="0"/>
    <w:pPr>
      <w:ind w:firstLine="480" w:firstLineChars="200"/>
      <w:jc w:val="both"/>
    </w:pPr>
    <w:rPr>
      <w:rFonts w:ascii="Times New Roman" w:hAnsi="Times New Roman" w:cs="Times New Roman"/>
      <w:bCs/>
      <w:color w:val="000000"/>
      <w:szCs w:val="24"/>
    </w:rPr>
  </w:style>
  <w:style w:type="paragraph" w:customStyle="1" w:styleId="75">
    <w:name w:val="表格内文字"/>
    <w:next w:val="1"/>
    <w:qFormat/>
    <w:uiPriority w:val="0"/>
    <w:pPr>
      <w:widowControl w:val="0"/>
      <w:spacing w:line="360" w:lineRule="auto"/>
      <w:jc w:val="center"/>
    </w:pPr>
    <w:rPr>
      <w:rFonts w:ascii="Times New Roman" w:hAnsi="Times New Roman" w:eastAsia="宋体" w:cs="Times New Roman"/>
      <w:sz w:val="24"/>
    </w:rPr>
  </w:style>
  <w:style w:type="paragraph" w:customStyle="1" w:styleId="76">
    <w:name w:val="Table Text"/>
    <w:basedOn w:val="1"/>
    <w:semiHidden/>
    <w:qFormat/>
    <w:uiPriority w:val="0"/>
    <w:rPr>
      <w:rFonts w:ascii="宋体" w:hAnsi="宋体" w:eastAsia="宋体" w:cs="宋体"/>
      <w:sz w:val="20"/>
      <w:szCs w:val="20"/>
      <w:lang w:val="en-US" w:eastAsia="en-US" w:bidi="ar-SA"/>
    </w:rPr>
  </w:style>
  <w:style w:type="character" w:customStyle="1" w:styleId="77">
    <w:name w:val="font31"/>
    <w:basedOn w:val="18"/>
    <w:qFormat/>
    <w:uiPriority w:val="0"/>
    <w:rPr>
      <w:rFonts w:hint="eastAsia" w:ascii="宋体" w:hAnsi="宋体" w:eastAsia="宋体" w:cs="宋体"/>
      <w:color w:val="000000"/>
      <w:sz w:val="29"/>
      <w:szCs w:val="29"/>
      <w:u w:val="none"/>
    </w:rPr>
  </w:style>
  <w:style w:type="character" w:customStyle="1" w:styleId="78">
    <w:name w:val="font21"/>
    <w:basedOn w:val="18"/>
    <w:qFormat/>
    <w:uiPriority w:val="0"/>
    <w:rPr>
      <w:rFonts w:hint="default" w:ascii="Times New Roman" w:hAnsi="Times New Roman" w:cs="Times New Roman"/>
      <w:color w:val="000000"/>
      <w:sz w:val="29"/>
      <w:szCs w:val="29"/>
      <w:u w:val="none"/>
    </w:rPr>
  </w:style>
  <w:style w:type="paragraph" w:customStyle="1" w:styleId="79">
    <w:name w:val="Table Paragraph"/>
    <w:basedOn w:val="1"/>
    <w:qFormat/>
    <w:uiPriority w:val="1"/>
    <w:rPr>
      <w:rFonts w:ascii="宋体" w:hAnsi="宋体" w:eastAsia="宋体" w:cs="宋体"/>
      <w:szCs w:val="24"/>
      <w:lang w:val="zh-CN" w:bidi="zh-CN"/>
    </w:rPr>
  </w:style>
  <w:style w:type="character" w:customStyle="1" w:styleId="80">
    <w:name w:val="font41"/>
    <w:basedOn w:val="18"/>
    <w:qFormat/>
    <w:uiPriority w:val="0"/>
    <w:rPr>
      <w:rFonts w:hint="eastAsia" w:ascii="宋体" w:hAnsi="宋体" w:eastAsia="宋体" w:cs="宋体"/>
      <w:color w:val="000000"/>
      <w:sz w:val="29"/>
      <w:szCs w:val="29"/>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a:blip xmlns:r="http://schemas.openxmlformats.org/officeDocument/2006/relationships" r:embed="rId1" cstate="print"/>
          <a:stretch>
            <a:fillRect/>
          </a:stretch>
        </a:blipFill>
      </a:spPr>
      <a:bodyPr wrap="square" lIns="0" tIns="0" rIns="0" bIns="0" rtlCol="0"/>
      <a:lst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18344-2977-4723-B8D6-9260D59B70E4}">
  <ds:schemaRefs/>
</ds:datastoreItem>
</file>

<file path=docProps/app.xml><?xml version="1.0" encoding="utf-8"?>
<Properties xmlns="http://schemas.openxmlformats.org/officeDocument/2006/extended-properties" xmlns:vt="http://schemas.openxmlformats.org/officeDocument/2006/docPropsVTypes">
  <Template>Normal</Template>
  <Pages>14</Pages>
  <Words>6870</Words>
  <Characters>7520</Characters>
  <Lines>2217</Lines>
  <Paragraphs>624</Paragraphs>
  <TotalTime>0</TotalTime>
  <ScaleCrop>false</ScaleCrop>
  <LinksUpToDate>false</LinksUpToDate>
  <CharactersWithSpaces>7586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2024-09-12T07:18:00Z</dcterms:created>
  <dc:creator>坤</dc:creator>
  <cp:lastModifiedBy>鲤鱼之梦</cp:lastModifiedBy>
  <cp:lastPrinted>2024-09-13T09:58:00Z</cp:lastPrinted>
  <dcterms:modified xsi:type="dcterms:W3CDTF">2026-06-28T07:44:09Z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72778E792ACA42D188F4405321C531A0_13</vt:lpwstr>
  </property>
  <property fmtid="{D5CDD505-2E9C-101B-9397-08002B2CF9AE}" pid="4" name="KSOTemplateDocerSaveRecord">
    <vt:lpwstr>eyJoZGlkIjoiOTE4OTBhMTM1ZGIxMWEzOTBkY2FmZjNiMWNkNjllYmIiLCJ1c2VySWQiOiIzMjU3MjEwMzIifQ==</vt:lpwstr>
  </property>
</Properties>
</file>