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城市阳台S4项目安保部采购礼宾柱、A3插牌</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（珠海正方盛泰投资有限公司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珠海正方盛泰投资有限公司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因项目经常有大型活动，为保证安全需要围蔽，提升游客项目体验度，更好的服务游客，现申请采购高礼宾柱及A3插牌。</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玖仟玖佰伍拾元整分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9,950.00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玖仟玖佰伍拾元整分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9,950.00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城市阳台S4项目安保部采购礼宾柱、A3插牌</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6"/>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6"/>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2"/>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7月13</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城市阳台S4项目安保部采购礼宾柱、A3插牌</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19"/>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jc w:val="right"/>
        <w:rPr>
          <w:rFonts w:hint="eastAsia" w:ascii="宋体" w:hAnsi="宋体" w:eastAsia="宋体" w:cs="宋体"/>
          <w:color w:val="auto"/>
          <w:sz w:val="24"/>
          <w:szCs w:val="24"/>
        </w:rPr>
      </w:pPr>
    </w:p>
    <w:p>
      <w:pPr>
        <w:pStyle w:val="19"/>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珠海正方盛泰投资有限公司</w:t>
      </w:r>
      <w:r>
        <w:rPr>
          <w:rFonts w:hint="eastAsia" w:ascii="宋体" w:hAnsi="宋体" w:eastAsia="宋体" w:cs="宋体"/>
          <w:color w:val="auto"/>
          <w:sz w:val="24"/>
          <w:szCs w:val="24"/>
        </w:rPr>
        <w:t xml:space="preserve">         </w:t>
      </w:r>
    </w:p>
    <w:p>
      <w:pPr>
        <w:pStyle w:val="19"/>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17685"/>
      <w:bookmarkStart w:id="8" w:name="_Toc698"/>
      <w:bookmarkStart w:id="9" w:name="_Toc202251700"/>
      <w:bookmarkStart w:id="10" w:name="_Toc202816996"/>
      <w:bookmarkStart w:id="11" w:name="_Toc276645579"/>
      <w:bookmarkStart w:id="12" w:name="_Toc202820351"/>
      <w:bookmarkStart w:id="13" w:name="_Toc15317"/>
      <w:bookmarkStart w:id="14" w:name="_Toc202254105"/>
      <w:bookmarkStart w:id="15" w:name="_Toc503427710"/>
      <w:bookmarkStart w:id="16" w:name="_Toc202251075"/>
      <w:bookmarkStart w:id="17" w:name="_Toc259090982"/>
      <w:bookmarkStart w:id="18" w:name="_Toc202819878"/>
      <w:bookmarkStart w:id="19" w:name="_Toc202252034"/>
      <w:bookmarkStart w:id="20" w:name="_Toc1610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259090983"/>
      <w:bookmarkStart w:id="23" w:name="_Toc32660"/>
      <w:bookmarkStart w:id="24" w:name="_Toc276645580"/>
      <w:bookmarkStart w:id="25" w:name="_Toc20366"/>
      <w:bookmarkStart w:id="26" w:name="_Toc13089"/>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2"/>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城市阳台S4项目安保部采购礼宾柱、A3插牌</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w:t>
      </w:r>
      <w:r>
        <w:rPr>
          <w:rFonts w:hint="eastAsia" w:ascii="宋体" w:hAnsi="宋体"/>
          <w:kern w:val="0"/>
          <w:sz w:val="24"/>
          <w:lang w:val="en-US" w:eastAsia="zh-CN"/>
        </w:rPr>
        <w:t>邮箱</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t xml:space="preserve"> </w:t>
      </w:r>
    </w:p>
    <w:p>
      <w:pPr>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6"/>
        <w:spacing w:before="1" w:line="364" w:lineRule="auto"/>
        <w:ind w:right="105"/>
        <w:rPr>
          <w:spacing w:val="-8"/>
        </w:rPr>
      </w:pPr>
    </w:p>
    <w:p>
      <w:pPr>
        <w:pStyle w:val="6"/>
        <w:spacing w:before="1" w:line="364" w:lineRule="auto"/>
        <w:ind w:left="0" w:leftChars="0" w:right="105" w:firstLine="0" w:firstLineChars="0"/>
        <w:rPr>
          <w:spacing w:val="-8"/>
        </w:rPr>
      </w:pPr>
    </w:p>
    <w:p>
      <w:pPr>
        <w:pStyle w:val="6"/>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6"/>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01"/>
        <w:ind w:left="4920"/>
        <w:rPr>
          <w:spacing w:val="-120"/>
        </w:rPr>
      </w:pPr>
      <w:r>
        <w:t>公司名称（公章</w:t>
      </w:r>
      <w:r>
        <w:rPr>
          <w:spacing w:val="-120"/>
        </w:rPr>
        <w:t>）</w:t>
      </w:r>
    </w:p>
    <w:p>
      <w:pPr>
        <w:pStyle w:val="6"/>
        <w:spacing w:before="201"/>
        <w:ind w:left="4920"/>
        <w:rPr>
          <w:spacing w:val="-120"/>
        </w:rPr>
      </w:pPr>
    </w:p>
    <w:p>
      <w:pPr>
        <w:pStyle w:val="6"/>
        <w:ind w:left="4920"/>
        <w:rPr>
          <w:spacing w:val="-120"/>
        </w:rPr>
      </w:pPr>
      <w:r>
        <w:t>法定代表人（签名或签章</w:t>
      </w:r>
      <w:r>
        <w:rPr>
          <w:spacing w:val="-120"/>
        </w:rPr>
        <w:t>）</w:t>
      </w:r>
    </w:p>
    <w:p>
      <w:pPr>
        <w:pStyle w:val="6"/>
        <w:ind w:left="4920"/>
        <w:rPr>
          <w:spacing w:val="-120"/>
        </w:rPr>
      </w:pPr>
    </w:p>
    <w:p>
      <w:pPr>
        <w:pStyle w:val="6"/>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171"/>
      <w:bookmarkStart w:id="30" w:name="_Toc528"/>
      <w:bookmarkStart w:id="31" w:name="_Toc19817"/>
      <w:bookmarkStart w:id="32" w:name="_Toc503427713"/>
      <w:bookmarkStart w:id="33" w:name="_Toc17080"/>
      <w:bookmarkStart w:id="34" w:name="_Toc27591"/>
      <w:r>
        <w:rPr>
          <w:rFonts w:hint="eastAsia" w:ascii="宋体" w:hAnsi="宋体"/>
          <w:sz w:val="28"/>
        </w:rPr>
        <w:t>1.3关于资格的声明函</w:t>
      </w:r>
      <w:bookmarkEnd w:id="29"/>
      <w:bookmarkEnd w:id="30"/>
      <w:bookmarkEnd w:id="31"/>
      <w:bookmarkEnd w:id="32"/>
      <w:bookmarkEnd w:id="33"/>
      <w:bookmarkEnd w:id="34"/>
    </w:p>
    <w:p>
      <w:pPr>
        <w:pStyle w:val="2"/>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城市阳台S4项目安保部采购礼宾柱、A3插牌</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10585"/>
      <w:bookmarkStart w:id="36" w:name="_Toc19969"/>
      <w:bookmarkStart w:id="37" w:name="_Toc15464"/>
      <w:bookmarkStart w:id="38" w:name="_Toc31877"/>
      <w:bookmarkStart w:id="39" w:name="_Toc5048"/>
      <w:bookmarkStart w:id="40" w:name="_Toc31767"/>
      <w:bookmarkStart w:id="41" w:name="_Toc14285"/>
      <w:bookmarkStart w:id="42" w:name="_Toc9476"/>
      <w:bookmarkStart w:id="43" w:name="_Toc24356"/>
      <w:bookmarkStart w:id="44" w:name="_Toc13922"/>
      <w:bookmarkStart w:id="45" w:name="_Toc10559"/>
      <w:bookmarkStart w:id="46" w:name="_Toc6220"/>
      <w:bookmarkStart w:id="47" w:name="_Toc32141"/>
      <w:bookmarkStart w:id="48" w:name="_Toc26971"/>
      <w:bookmarkStart w:id="49" w:name="_Toc19796"/>
      <w:bookmarkStart w:id="50" w:name="_Toc24969"/>
      <w:bookmarkStart w:id="51" w:name="_Toc6275"/>
      <w:bookmarkStart w:id="52" w:name="_Toc32498"/>
      <w:bookmarkStart w:id="53" w:name="_Toc276645583"/>
      <w:bookmarkStart w:id="54" w:name="_Toc27468"/>
      <w:bookmarkStart w:id="55" w:name="_Toc4726"/>
      <w:bookmarkStart w:id="56" w:name="_Toc503427714"/>
      <w:bookmarkStart w:id="57" w:name="_Toc4427"/>
      <w:bookmarkStart w:id="58" w:name="_Toc264628882"/>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10726"/>
      <w:bookmarkStart w:id="61" w:name="_Toc7304"/>
      <w:bookmarkStart w:id="62" w:name="_Toc500"/>
      <w:bookmarkStart w:id="63" w:name="_Toc6669"/>
      <w:bookmarkStart w:id="64" w:name="_Toc2576"/>
      <w:bookmarkStart w:id="65" w:name="_Toc30192"/>
      <w:bookmarkStart w:id="66" w:name="_Toc24446"/>
      <w:bookmarkStart w:id="67" w:name="_Toc32145"/>
      <w:bookmarkStart w:id="68" w:name="_Toc113"/>
      <w:bookmarkStart w:id="69" w:name="_Toc5278"/>
      <w:bookmarkStart w:id="70" w:name="_Toc3193"/>
      <w:bookmarkStart w:id="71" w:name="_Toc9094"/>
      <w:bookmarkStart w:id="72" w:name="_Toc16860"/>
      <w:bookmarkStart w:id="73" w:name="_Toc29470"/>
      <w:bookmarkStart w:id="74" w:name="_Toc22499"/>
      <w:r>
        <w:rPr>
          <w:rFonts w:hint="eastAsia"/>
          <w:lang w:val="en-US" w:eastAsia="zh-CN"/>
        </w:rPr>
        <w:t>1.3.</w:t>
      </w:r>
      <w:bookmarkEnd w:id="59"/>
      <w:bookmarkEnd w:id="60"/>
      <w:bookmarkEnd w:id="61"/>
      <w:bookmarkStart w:id="75" w:name="_Toc28886"/>
      <w:bookmarkStart w:id="76" w:name="_Toc29247"/>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spacing w:beforeLines="0" w:afterLines="0" w:line="360" w:lineRule="auto"/>
        <w:ind w:firstLine="560" w:firstLineChars="200"/>
        <w:rPr>
          <w:rFonts w:hint="default" w:ascii="Times New Roman" w:hAnsi="Times New Roman" w:eastAsia="宋体" w:cs="Times New Roman"/>
          <w:b w:val="0"/>
          <w:bCs w:val="0"/>
          <w:color w:val="auto"/>
          <w:sz w:val="24"/>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2"/>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珠海正方盛泰投资有限公司</w:t>
      </w:r>
    </w:p>
    <w:p>
      <w:pPr>
        <w:pStyle w:val="2"/>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2"/>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2"/>
        <w:keepLines/>
        <w:widowControl/>
        <w:snapToGrid w:val="0"/>
        <w:spacing w:line="360" w:lineRule="auto"/>
        <w:ind w:firstLine="0"/>
        <w:rPr>
          <w:rFonts w:hAnsi="宋体"/>
          <w:bCs/>
          <w:sz w:val="24"/>
          <w:szCs w:val="24"/>
        </w:rPr>
      </w:pPr>
    </w:p>
    <w:p>
      <w:pPr>
        <w:pStyle w:val="2"/>
        <w:keepLines/>
        <w:widowControl/>
        <w:snapToGrid w:val="0"/>
        <w:spacing w:line="360" w:lineRule="auto"/>
        <w:ind w:firstLine="0"/>
        <w:rPr>
          <w:rFonts w:hAnsi="宋体"/>
          <w:bCs/>
          <w:sz w:val="24"/>
          <w:szCs w:val="24"/>
        </w:rPr>
      </w:pPr>
      <w:r>
        <w:rPr>
          <w:rFonts w:hint="eastAsia" w:hAnsi="宋体"/>
          <w:bCs/>
          <w:sz w:val="24"/>
          <w:szCs w:val="24"/>
        </w:rPr>
        <w:t>注：</w:t>
      </w:r>
    </w:p>
    <w:p>
      <w:pPr>
        <w:pStyle w:val="2"/>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2"/>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18"/>
        <w:rPr>
          <w:rFonts w:hint="default"/>
          <w:lang w:val="en-US" w:eastAsia="zh-CN"/>
        </w:rPr>
      </w:pPr>
    </w:p>
    <w:p>
      <w:pPr>
        <w:rPr>
          <w:rFonts w:hint="eastAsia" w:ascii="黑体" w:hAnsi="黑体" w:cs="黑体"/>
          <w:b/>
          <w:bCs w:val="0"/>
          <w:sz w:val="28"/>
          <w:szCs w:val="28"/>
          <w:lang w:val="en-US" w:eastAsia="zh-CN"/>
        </w:rPr>
      </w:pPr>
      <w:bookmarkStart w:id="79" w:name="_Toc202251703"/>
      <w:bookmarkStart w:id="80" w:name="_Toc202251078"/>
      <w:bookmarkStart w:id="81" w:name="_Toc21572"/>
      <w:bookmarkStart w:id="82" w:name="_Toc24253"/>
      <w:bookmarkStart w:id="83" w:name="_Toc29543"/>
      <w:bookmarkStart w:id="84" w:name="_Toc3330"/>
      <w:bookmarkStart w:id="85" w:name="_Toc202254108"/>
      <w:bookmarkStart w:id="86" w:name="_Toc503427721"/>
      <w:bookmarkStart w:id="87" w:name="_Toc202820355"/>
      <w:bookmarkStart w:id="88" w:name="_Toc202819882"/>
      <w:bookmarkStart w:id="89" w:name="_Toc202252037"/>
      <w:bookmarkStart w:id="90" w:name="_Toc276645592"/>
      <w:bookmarkStart w:id="91" w:name="_Toc12992"/>
      <w:bookmarkStart w:id="92" w:name="_Toc259090996"/>
      <w:bookmarkStart w:id="93" w:name="_Toc202817000"/>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6"/>
          <w:rFonts w:hint="default" w:ascii="Times New Roman" w:hAnsi="Times New Roman" w:cs="Times New Roman"/>
          <w:color w:val="auto"/>
          <w:sz w:val="36"/>
          <w:szCs w:val="36"/>
        </w:rPr>
      </w:pPr>
      <w:r>
        <w:rPr>
          <w:rStyle w:val="16"/>
          <w:rFonts w:hint="eastAsia" w:cs="Times New Roman"/>
          <w:color w:val="auto"/>
          <w:sz w:val="36"/>
          <w:szCs w:val="36"/>
          <w:lang w:val="en-US" w:eastAsia="zh-CN"/>
        </w:rPr>
        <w:t>2.1</w:t>
      </w:r>
      <w:r>
        <w:rPr>
          <w:rStyle w:val="16"/>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城市阳台S4项目安保部采购礼宾柱、A3插牌</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6"/>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w:t>
      </w:r>
      <w:r>
        <w:rPr>
          <w:rFonts w:hint="eastAsia" w:cs="Times New Roman"/>
          <w:color w:val="auto"/>
          <w:sz w:val="24"/>
          <w:szCs w:val="24"/>
          <w:lang w:val="en-US" w:eastAsia="zh-CN"/>
        </w:rPr>
        <w:t>城市阳台S4项目安保部采购礼宾柱、A3插牌</w:t>
      </w:r>
      <w:r>
        <w:rPr>
          <w:rFonts w:hint="eastAsia" w:cs="Times New Roman"/>
          <w:color w:val="auto"/>
          <w:sz w:val="24"/>
          <w:szCs w:val="24"/>
          <w:lang w:eastAsia="zh-CN"/>
        </w:rPr>
        <w:t>）</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rPr>
        <w:t>元 （¥</w:t>
      </w:r>
      <w:r>
        <w:rPr>
          <w:rFonts w:hint="default" w:ascii="Times New Roman" w:hAnsi="Times New Roman" w:eastAsia="宋体" w:cs="Times New Roman"/>
          <w:color w:val="auto"/>
          <w:sz w:val="24"/>
          <w:szCs w:val="24"/>
          <w:u w:val="single"/>
        </w:rPr>
        <w:t xml:space="preserve">        </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元）承接</w:t>
      </w:r>
      <w:permStart w:id="12" w:edGrp="everyone"/>
      <w:r>
        <w:rPr>
          <w:rFonts w:hint="eastAsia" w:cs="Times New Roman"/>
          <w:color w:val="auto"/>
          <w:sz w:val="24"/>
          <w:szCs w:val="24"/>
          <w:lang w:eastAsia="zh-CN"/>
        </w:rPr>
        <w:t>（</w:t>
      </w:r>
      <w:r>
        <w:rPr>
          <w:rFonts w:hint="eastAsia" w:cs="Times New Roman"/>
          <w:color w:val="auto"/>
          <w:sz w:val="24"/>
          <w:szCs w:val="24"/>
          <w:lang w:val="en-US" w:eastAsia="zh-CN"/>
        </w:rPr>
        <w:t>城市阳台S4项目安保部采购礼宾柱、A3插牌</w:t>
      </w:r>
      <w:r>
        <w:rPr>
          <w:rFonts w:hint="eastAsia" w:cs="Times New Roman"/>
          <w:color w:val="auto"/>
          <w:sz w:val="24"/>
          <w:szCs w:val="24"/>
          <w:lang w:eastAsia="zh-CN"/>
        </w:rPr>
        <w:t>）</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最终按固定单价据实结算，具体详见下表：</w:t>
      </w:r>
    </w:p>
    <w:tbl>
      <w:tblPr>
        <w:tblStyle w:val="13"/>
        <w:tblW w:w="9344" w:type="dxa"/>
        <w:tblInd w:w="-4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92"/>
        <w:gridCol w:w="605"/>
        <w:gridCol w:w="3292"/>
        <w:gridCol w:w="534"/>
        <w:gridCol w:w="524"/>
        <w:gridCol w:w="1118"/>
        <w:gridCol w:w="1135"/>
        <w:gridCol w:w="1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25" w:hRule="atLeast"/>
        </w:trPr>
        <w:tc>
          <w:tcPr>
            <w:tcW w:w="2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序号</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物料名称</w:t>
            </w:r>
          </w:p>
        </w:tc>
        <w:tc>
          <w:tcPr>
            <w:tcW w:w="32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品牌规格型号</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参考图片（备选）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39" w:hRule="atLeast"/>
        </w:trPr>
        <w:tc>
          <w:tcPr>
            <w:tcW w:w="2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高礼宾柱(玫瑰金)</w:t>
            </w:r>
          </w:p>
        </w:tc>
        <w:tc>
          <w:tcPr>
            <w:tcW w:w="329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numPr>
                <w:ilvl w:val="0"/>
                <w:numId w:val="3"/>
              </w:numPr>
              <w:suppressLineNumbers w:val="0"/>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定制玫瑰金表面定制玫瑰金拉丝工艺、伸缩带功能、慢缓冲拉带、挂绳功能、采用0.8mm加厚不锈钢管、U型铸铁座8.5kg加重铸铁铁座 稳固不倒铁(定制):1.4mm；</w:t>
            </w:r>
          </w:p>
          <w:p>
            <w:pPr>
              <w:keepNext w:val="0"/>
              <w:keepLines w:val="0"/>
              <w:widowControl/>
              <w:numPr>
                <w:ilvl w:val="-1"/>
                <w:numId w:val="0"/>
              </w:numPr>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2、安装尺寸:高度:895mm、杆身直径:51mm、底座直径:350mm、拉带宽度48mm，拉带长度3米、拉带颜色咖啡色(印制白色logo，如图）</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single" w:color="000000" w:sz="4" w:space="0"/>
                <w:lang w:val="en-US" w:eastAsia="zh-CN" w:bidi="ar"/>
              </w:rPr>
              <w:drawing>
                <wp:inline distT="0" distB="0" distL="114300" distR="114300">
                  <wp:extent cx="1077595" cy="1316990"/>
                  <wp:effectExtent l="0" t="0" r="12065" b="3810"/>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link="rId9"/>
                          <a:stretch>
                            <a:fillRect/>
                          </a:stretch>
                        </pic:blipFill>
                        <pic:spPr>
                          <a:xfrm>
                            <a:off x="0" y="0"/>
                            <a:ext cx="1077595" cy="131699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2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A3插牌</w:t>
            </w:r>
          </w:p>
        </w:tc>
        <w:tc>
          <w:tcPr>
            <w:tcW w:w="329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边框玫瑰金拉丝工艺，采用0.8mm加厚不锈钢管，双层加厚亚克力，宽42.5mm高30.5mm厚度2.5mm</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33655</wp:posOffset>
                  </wp:positionH>
                  <wp:positionV relativeFrom="paragraph">
                    <wp:posOffset>-8890</wp:posOffset>
                  </wp:positionV>
                  <wp:extent cx="920750" cy="597535"/>
                  <wp:effectExtent l="0" t="0" r="3810" b="13335"/>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link="rId10"/>
                          <a:srcRect t="26607" b="12008"/>
                          <a:stretch>
                            <a:fillRect/>
                          </a:stretch>
                        </pic:blipFill>
                        <pic:spPr>
                          <a:xfrm>
                            <a:off x="0" y="0"/>
                            <a:ext cx="920750" cy="59753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6365"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9344"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left"/>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说明：1.所有报价均为含税价，且已包含人工费、材料费、交通差旅费、餐饮费、运费等完成本项目的所有费用。所有报价金额均保留2位小数。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w:t>
            </w:r>
            <w:r>
              <w:rPr>
                <w:rFonts w:hint="eastAsia" w:ascii="宋体" w:hAnsi="宋体" w:eastAsia="宋体" w:cs="宋体"/>
                <w:i w:val="0"/>
                <w:color w:val="0000FF"/>
                <w:kern w:val="0"/>
                <w:sz w:val="22"/>
                <w:szCs w:val="22"/>
                <w:u w:val="none"/>
                <w:lang w:val="en-US" w:eastAsia="zh-CN" w:bidi="ar"/>
              </w:rPr>
              <w:t>发票类型</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%□增值税专用发票 □增值税普通发票。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3.质量标准：合格，符合相关要求及规定。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4.付款方式：验收无误且收到齐套请款资料后付款。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5.项目联系人：李经理</w:t>
            </w:r>
            <w:r>
              <w:rPr>
                <w:rFonts w:ascii="宋体" w:hAnsi="宋体" w:eastAsia="宋体" w:cs="宋体"/>
                <w:sz w:val="24"/>
                <w:szCs w:val="24"/>
              </w:rPr>
              <w:t>18688161117</w:t>
            </w:r>
          </w:p>
        </w:tc>
      </w:tr>
    </w:tbl>
    <w:p>
      <w:pPr>
        <w:pStyle w:val="2"/>
        <w:rPr>
          <w:rFonts w:hint="eastAsia" w:cs="Times New Roman"/>
          <w:color w:val="auto"/>
          <w:sz w:val="24"/>
          <w:szCs w:val="24"/>
          <w:lang w:val="en-US" w:eastAsia="zh-CN"/>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spacing w:line="24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rPr>
          <w:rFonts w:hint="default"/>
          <w:lang w:val="en-US" w:eastAsia="zh-CN"/>
        </w:rPr>
      </w:pPr>
      <w:r>
        <w:rPr>
          <w:rFonts w:hint="default"/>
          <w:lang w:val="en-US" w:eastAsia="zh-CN"/>
        </w:rPr>
        <w:br w:type="page"/>
      </w:r>
    </w:p>
    <w:p>
      <w:pPr>
        <w:pStyle w:val="2"/>
        <w:ind w:left="0" w:leftChars="0" w:firstLine="0" w:firstLineChars="0"/>
        <w:jc w:val="both"/>
      </w:pPr>
      <w:r>
        <w:drawing>
          <wp:inline distT="0" distB="0" distL="114300" distR="114300">
            <wp:extent cx="3328670" cy="4272280"/>
            <wp:effectExtent l="0" t="0" r="6350" b="3810"/>
            <wp:docPr id="6" name="图片 1" descr="79888f2287c4687a0f2b20980be5da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79888f2287c4687a0f2b20980be5da39"/>
                    <pic:cNvPicPr>
                      <a:picLocks noChangeAspect="1"/>
                    </pic:cNvPicPr>
                  </pic:nvPicPr>
                  <pic:blipFill>
                    <a:blip r:embed="rId11"/>
                    <a:stretch>
                      <a:fillRect/>
                    </a:stretch>
                  </pic:blipFill>
                  <pic:spPr>
                    <a:xfrm>
                      <a:off x="0" y="0"/>
                      <a:ext cx="3328670" cy="4272280"/>
                    </a:xfrm>
                    <a:prstGeom prst="rect">
                      <a:avLst/>
                    </a:prstGeom>
                  </pic:spPr>
                </pic:pic>
              </a:graphicData>
            </a:graphic>
          </wp:inline>
        </w:drawing>
      </w:r>
    </w:p>
    <w:p>
      <w:pPr>
        <w:pStyle w:val="2"/>
        <w:ind w:left="0" w:leftChars="0" w:firstLine="0" w:firstLineChars="0"/>
        <w:jc w:val="both"/>
        <w:rPr>
          <w:rFonts w:hint="default"/>
          <w:lang w:val="en-US" w:eastAsia="zh-CN"/>
        </w:rPr>
      </w:pPr>
      <w:r>
        <w:drawing>
          <wp:inline distT="0" distB="0" distL="114300" distR="114300">
            <wp:extent cx="3668395" cy="4157980"/>
            <wp:effectExtent l="0" t="0" r="13335" b="2540"/>
            <wp:docPr id="7" name="图片 2" descr="db933ba382c2648b2561e4d137caa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db933ba382c2648b2561e4d137caa678"/>
                    <pic:cNvPicPr>
                      <a:picLocks noChangeAspect="1"/>
                    </pic:cNvPicPr>
                  </pic:nvPicPr>
                  <pic:blipFill>
                    <a:blip r:embed="rId12"/>
                    <a:stretch>
                      <a:fillRect/>
                    </a:stretch>
                  </pic:blipFill>
                  <pic:spPr>
                    <a:xfrm>
                      <a:off x="0" y="0"/>
                      <a:ext cx="3668395" cy="4157980"/>
                    </a:xfrm>
                    <a:prstGeom prst="rect">
                      <a:avLst/>
                    </a:prstGeom>
                  </pic:spPr>
                </pic:pic>
              </a:graphicData>
            </a:graphic>
          </wp:inline>
        </w:drawing>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abstractNum w:abstractNumId="2">
    <w:nsid w:val="4C034358"/>
    <w:multiLevelType w:val="singleLevel"/>
    <w:tmpl w:val="4C034358"/>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2833B7"/>
    <w:rsid w:val="01713E24"/>
    <w:rsid w:val="022B3855"/>
    <w:rsid w:val="025E0102"/>
    <w:rsid w:val="03950549"/>
    <w:rsid w:val="04103632"/>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91B3A89"/>
    <w:rsid w:val="2BED4BFF"/>
    <w:rsid w:val="2D022F1E"/>
    <w:rsid w:val="2E0A4EF7"/>
    <w:rsid w:val="2F36410C"/>
    <w:rsid w:val="2F8C5B34"/>
    <w:rsid w:val="3035528F"/>
    <w:rsid w:val="303C5477"/>
    <w:rsid w:val="31BE38D0"/>
    <w:rsid w:val="31EC0236"/>
    <w:rsid w:val="329B19DD"/>
    <w:rsid w:val="33461B40"/>
    <w:rsid w:val="33864723"/>
    <w:rsid w:val="338C409C"/>
    <w:rsid w:val="3510688E"/>
    <w:rsid w:val="36991F33"/>
    <w:rsid w:val="36D13171"/>
    <w:rsid w:val="37FE2A53"/>
    <w:rsid w:val="38F34C92"/>
    <w:rsid w:val="3BDD1A9B"/>
    <w:rsid w:val="3BF341D2"/>
    <w:rsid w:val="3DDA2166"/>
    <w:rsid w:val="3E7E4135"/>
    <w:rsid w:val="3EC52271"/>
    <w:rsid w:val="3ED65B24"/>
    <w:rsid w:val="3F2A5C0A"/>
    <w:rsid w:val="40DF147E"/>
    <w:rsid w:val="410E417C"/>
    <w:rsid w:val="426867F2"/>
    <w:rsid w:val="427C15D5"/>
    <w:rsid w:val="43F34101"/>
    <w:rsid w:val="442B09BE"/>
    <w:rsid w:val="4483748A"/>
    <w:rsid w:val="454E23D2"/>
    <w:rsid w:val="46291EEF"/>
    <w:rsid w:val="467170E3"/>
    <w:rsid w:val="46B354B7"/>
    <w:rsid w:val="47C0473A"/>
    <w:rsid w:val="49476839"/>
    <w:rsid w:val="4A1B05BD"/>
    <w:rsid w:val="4A4F4DF7"/>
    <w:rsid w:val="4B0F1E17"/>
    <w:rsid w:val="4C032E3E"/>
    <w:rsid w:val="4C8E76F1"/>
    <w:rsid w:val="4D1202BB"/>
    <w:rsid w:val="4D2716DD"/>
    <w:rsid w:val="4DAA519F"/>
    <w:rsid w:val="4E8C1884"/>
    <w:rsid w:val="4F971260"/>
    <w:rsid w:val="5067110C"/>
    <w:rsid w:val="506979EA"/>
    <w:rsid w:val="508467D4"/>
    <w:rsid w:val="50DB0041"/>
    <w:rsid w:val="518A0729"/>
    <w:rsid w:val="54032B60"/>
    <w:rsid w:val="545F0E76"/>
    <w:rsid w:val="551F30DA"/>
    <w:rsid w:val="55233FA3"/>
    <w:rsid w:val="555801ED"/>
    <w:rsid w:val="55AF6717"/>
    <w:rsid w:val="56213D59"/>
    <w:rsid w:val="56DB22E8"/>
    <w:rsid w:val="57852512"/>
    <w:rsid w:val="57AB174E"/>
    <w:rsid w:val="584F6981"/>
    <w:rsid w:val="59A575EF"/>
    <w:rsid w:val="5B5E74FB"/>
    <w:rsid w:val="5B7B0426"/>
    <w:rsid w:val="5B945E50"/>
    <w:rsid w:val="5BD82D7C"/>
    <w:rsid w:val="5BE44C27"/>
    <w:rsid w:val="5BFB7194"/>
    <w:rsid w:val="5D497B32"/>
    <w:rsid w:val="5EBE23CD"/>
    <w:rsid w:val="5F485BC1"/>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6F6D63C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6">
    <w:name w:val="Body Text"/>
    <w:basedOn w:val="1"/>
    <w:link w:val="22"/>
    <w:qFormat/>
    <w:uiPriority w:val="0"/>
    <w:pPr>
      <w:spacing w:line="480" w:lineRule="exact"/>
      <w:jc w:val="left"/>
    </w:pPr>
    <w:rPr>
      <w:rFonts w:ascii="宋体" w:hAnsi="宋体"/>
    </w:rPr>
  </w:style>
  <w:style w:type="paragraph" w:styleId="7">
    <w:name w:val="Body Text Indent"/>
    <w:basedOn w:val="1"/>
    <w:link w:val="25"/>
    <w:unhideWhenUsed/>
    <w:qFormat/>
    <w:uiPriority w:val="0"/>
    <w:pPr>
      <w:spacing w:after="120"/>
      <w:ind w:left="420" w:leftChars="200"/>
    </w:pPr>
  </w:style>
  <w:style w:type="paragraph" w:styleId="8">
    <w:name w:val="Plain Text"/>
    <w:basedOn w:val="1"/>
    <w:link w:val="30"/>
    <w:qFormat/>
    <w:uiPriority w:val="0"/>
    <w:pPr>
      <w:spacing w:line="360" w:lineRule="auto"/>
      <w:ind w:firstLine="510"/>
    </w:pPr>
    <w:rPr>
      <w:rFonts w:ascii="宋体" w:hAnsi="Courier New" w:eastAsia="仿宋_GB2312"/>
      <w:sz w:val="24"/>
      <w:szCs w:val="20"/>
    </w:rPr>
  </w:style>
  <w:style w:type="paragraph" w:styleId="9">
    <w:name w:val="Balloon Text"/>
    <w:basedOn w:val="1"/>
    <w:link w:val="27"/>
    <w:qFormat/>
    <w:uiPriority w:val="0"/>
    <w:rPr>
      <w:sz w:val="18"/>
      <w:szCs w:val="18"/>
    </w:rPr>
  </w:style>
  <w:style w:type="paragraph" w:styleId="10">
    <w:name w:val="footer"/>
    <w:basedOn w:val="1"/>
    <w:link w:val="21"/>
    <w:qFormat/>
    <w:uiPriority w:val="99"/>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6"/>
    <w:link w:val="29"/>
    <w:semiHidden/>
    <w:unhideWhenUsed/>
    <w:qFormat/>
    <w:uiPriority w:val="0"/>
    <w:pPr>
      <w:spacing w:after="120" w:line="240" w:lineRule="auto"/>
      <w:ind w:firstLine="420" w:firstLineChars="100"/>
      <w:jc w:val="both"/>
    </w:pPr>
    <w:rPr>
      <w:rFonts w:ascii="Times New Roman" w:hAnsi="Times New Roma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qFormat/>
    <w:uiPriority w:val="0"/>
    <w:rPr>
      <w:b/>
      <w:bCs/>
    </w:rPr>
  </w:style>
  <w:style w:type="character" w:styleId="17">
    <w:name w:val="Hyperlink"/>
    <w:basedOn w:val="15"/>
    <w:semiHidden/>
    <w:unhideWhenUsed/>
    <w:qFormat/>
    <w:uiPriority w:val="0"/>
    <w:rPr>
      <w:color w:val="0000FF"/>
      <w:u w:val="single"/>
    </w:rPr>
  </w:style>
  <w:style w:type="paragraph" w:customStyle="1" w:styleId="18">
    <w:name w:val="引文目录1"/>
    <w:basedOn w:val="1"/>
    <w:next w:val="1"/>
    <w:qFormat/>
    <w:uiPriority w:val="0"/>
    <w:pPr>
      <w:ind w:left="200" w:leftChars="200"/>
    </w:pPr>
    <w:rPr>
      <w:rFonts w:ascii="Times New Roman" w:hAnsi="Times New Roman"/>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5"/>
    <w:link w:val="11"/>
    <w:qFormat/>
    <w:uiPriority w:val="0"/>
    <w:rPr>
      <w:kern w:val="2"/>
      <w:sz w:val="18"/>
      <w:szCs w:val="18"/>
    </w:rPr>
  </w:style>
  <w:style w:type="character" w:customStyle="1" w:styleId="21">
    <w:name w:val="页脚 字符"/>
    <w:basedOn w:val="15"/>
    <w:link w:val="10"/>
    <w:qFormat/>
    <w:uiPriority w:val="99"/>
    <w:rPr>
      <w:kern w:val="2"/>
      <w:sz w:val="18"/>
      <w:szCs w:val="18"/>
    </w:rPr>
  </w:style>
  <w:style w:type="character" w:customStyle="1" w:styleId="22">
    <w:name w:val="正文文本 字符"/>
    <w:basedOn w:val="15"/>
    <w:link w:val="6"/>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5"/>
    <w:link w:val="7"/>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5"/>
    <w:link w:val="9"/>
    <w:qFormat/>
    <w:uiPriority w:val="0"/>
    <w:rPr>
      <w:kern w:val="2"/>
      <w:sz w:val="18"/>
      <w:szCs w:val="18"/>
    </w:rPr>
  </w:style>
  <w:style w:type="character" w:customStyle="1" w:styleId="28">
    <w:name w:val="标题 1 字符"/>
    <w:basedOn w:val="15"/>
    <w:link w:val="3"/>
    <w:qFormat/>
    <w:uiPriority w:val="0"/>
    <w:rPr>
      <w:b/>
      <w:bCs/>
      <w:kern w:val="44"/>
      <w:sz w:val="44"/>
      <w:szCs w:val="44"/>
    </w:rPr>
  </w:style>
  <w:style w:type="character" w:customStyle="1" w:styleId="29">
    <w:name w:val="正文文本首行缩进 字符"/>
    <w:basedOn w:val="22"/>
    <w:link w:val="12"/>
    <w:semiHidden/>
    <w:qFormat/>
    <w:uiPriority w:val="0"/>
    <w:rPr>
      <w:rFonts w:ascii="宋体" w:hAnsi="宋体"/>
      <w:kern w:val="2"/>
      <w:sz w:val="21"/>
      <w:szCs w:val="24"/>
    </w:rPr>
  </w:style>
  <w:style w:type="character" w:customStyle="1" w:styleId="30">
    <w:name w:val="纯文本 字符"/>
    <w:link w:val="8"/>
    <w:qFormat/>
    <w:uiPriority w:val="0"/>
    <w:rPr>
      <w:rFonts w:ascii="宋体" w:hAnsi="Courier New" w:eastAsia="仿宋_GB2312"/>
      <w:kern w:val="2"/>
      <w:sz w:val="24"/>
    </w:rPr>
  </w:style>
  <w:style w:type="character" w:customStyle="1" w:styleId="31">
    <w:name w:val="font31"/>
    <w:basedOn w:val="15"/>
    <w:qFormat/>
    <w:uiPriority w:val="0"/>
    <w:rPr>
      <w:rFonts w:hint="eastAsia" w:ascii="宋体" w:hAnsi="宋体" w:eastAsia="宋体" w:cs="宋体"/>
      <w:b/>
      <w:color w:val="000000"/>
      <w:sz w:val="14"/>
      <w:szCs w:val="14"/>
      <w:u w:val="none"/>
    </w:rPr>
  </w:style>
  <w:style w:type="character" w:customStyle="1" w:styleId="32">
    <w:name w:val="font01"/>
    <w:basedOn w:val="15"/>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file:///C:\Users\100100\AppData\Local\Temp\ksohtml\clip_image2.png" TargetMode="Externa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file:///C:\Users\100100\AppData\Local\Temp\ksohtml\clip_image3.png" TargetMode="Externa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2026-07-10T02:59:45Z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