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F6EDA">
      <w:pPr>
        <w:pStyle w:val="14"/>
        <w:bidi w:val="0"/>
        <w:ind w:left="0" w:leftChars="0" w:firstLine="0" w:firstLineChars="0"/>
        <w:jc w:val="center"/>
        <w:rPr>
          <w:sz w:val="36"/>
          <w:szCs w:val="36"/>
        </w:rPr>
      </w:pPr>
      <w:r>
        <w:rPr>
          <w:sz w:val="36"/>
          <w:szCs w:val="36"/>
          <w:lang w:val="en-US" w:eastAsia="zh-CN"/>
        </w:rPr>
        <w:t>6.1：技术任务书（</w:t>
      </w:r>
      <w:r>
        <w:rPr>
          <w:rFonts w:hint="default"/>
          <w:lang w:val="en-US" w:eastAsia="zh-CN"/>
        </w:rPr>
        <w:t>餐梯</w:t>
      </w:r>
      <w:r>
        <w:rPr>
          <w:rFonts w:hint="eastAsia"/>
          <w:lang w:val="en-US" w:eastAsia="zh-CN"/>
        </w:rPr>
        <w:t>设备</w:t>
      </w:r>
      <w:r>
        <w:rPr>
          <w:sz w:val="36"/>
          <w:szCs w:val="36"/>
          <w:lang w:val="en-US" w:eastAsia="zh-CN"/>
        </w:rPr>
        <w:t>）</w:t>
      </w:r>
    </w:p>
    <w:p w14:paraId="4A2B5F9C">
      <w:pPr>
        <w:pStyle w:val="3"/>
        <w:bidi w:val="0"/>
        <w:rPr>
          <w:rFonts w:hint="default"/>
          <w:lang w:val="en-US" w:eastAsia="zh-CN"/>
        </w:rPr>
      </w:pPr>
      <w:r>
        <w:rPr>
          <w:rFonts w:hint="default"/>
          <w:lang w:val="en-US" w:eastAsia="zh-CN"/>
        </w:rPr>
        <w:t>项目概况</w:t>
      </w:r>
    </w:p>
    <w:p w14:paraId="176E8129">
      <w:pPr>
        <w:pStyle w:val="4"/>
        <w:bidi w:val="0"/>
        <w:rPr>
          <w:rFonts w:hint="default"/>
          <w:lang w:val="en-US" w:eastAsia="zh-CN"/>
        </w:rPr>
      </w:pPr>
      <w:r>
        <w:rPr>
          <w:rFonts w:hint="eastAsia"/>
          <w:lang w:val="en-US" w:eastAsia="zh-CN"/>
        </w:rPr>
        <w:t>工程基本信息</w:t>
      </w:r>
    </w:p>
    <w:p w14:paraId="6E8CACF3">
      <w:pPr>
        <w:rPr>
          <w:rFonts w:hint="default"/>
          <w:lang w:val="en-US" w:eastAsia="zh-CN"/>
        </w:rPr>
      </w:pPr>
      <w:r>
        <w:rPr>
          <w:rFonts w:hint="default"/>
          <w:lang w:val="en-US" w:eastAsia="zh-CN"/>
        </w:rPr>
        <w:t>本项目为多所中小学餐梯设备采购、安装调试及配套电气工程施工项目，涵盖前山中学、凤凰小学、第三小学、金钟小学、甄贤小学、容国团小学、夏湾小学、梅华中学、第二十三小学、香华实验小学、杨匏安小学、第十一小学、广生小学、侨光小学、第十小学、第十七小学、北岭小学、前山小学、广昌小学共19所学校，主要包含餐梯的定制生产、运输、安装、调试、检测验收，以及项目配套电力敷设、配管、防雷接地、系统调试等电气工程施工内容。</w:t>
      </w:r>
    </w:p>
    <w:p w14:paraId="709EA758">
      <w:pPr>
        <w:bidi w:val="0"/>
        <w:rPr>
          <w:rFonts w:hint="default"/>
          <w:lang w:val="en-US" w:eastAsia="zh-CN"/>
        </w:rPr>
      </w:pPr>
      <w:r>
        <w:rPr>
          <w:rFonts w:ascii="宋体" w:hAnsi="宋体" w:eastAsia="宋体" w:cs="宋体"/>
          <w:sz w:val="24"/>
          <w:szCs w:val="24"/>
        </w:rPr>
        <w:t>餐梯设备技术参数、井道净尺寸、现场施工管控标准以各校区专属施工图纸为执行依据。广昌小学餐梯设备技术指标及配套施工做法与其他校区存在明显差异，该校电梯井采用室内砖砌常规井道构造，其余校区全部采用钢结构电梯井道。</w:t>
      </w:r>
      <w:r>
        <w:rPr>
          <w:rFonts w:hint="eastAsia" w:ascii="宋体" w:hAnsi="宋体" w:eastAsia="宋体" w:cs="宋体"/>
          <w:sz w:val="24"/>
          <w:szCs w:val="24"/>
          <w:lang w:val="en-US" w:eastAsia="zh-CN"/>
        </w:rPr>
        <w:t>投标人</w:t>
      </w:r>
      <w:r>
        <w:rPr>
          <w:rFonts w:ascii="宋体" w:hAnsi="宋体" w:eastAsia="宋体" w:cs="宋体"/>
          <w:sz w:val="24"/>
          <w:szCs w:val="24"/>
        </w:rPr>
        <w:t>各校区应提前完成餐梯安装专项结构图纸深化工作，将深化图纸移交结构施工单位，用于结构专项适配，确保施工尺寸、构造精准无误。</w:t>
      </w:r>
    </w:p>
    <w:p w14:paraId="76811EA9">
      <w:pPr>
        <w:pStyle w:val="4"/>
        <w:bidi w:val="0"/>
        <w:rPr>
          <w:rFonts w:hint="default"/>
          <w:lang w:val="en-US" w:eastAsia="zh-CN"/>
        </w:rPr>
      </w:pPr>
      <w:r>
        <w:rPr>
          <w:rFonts w:hint="default"/>
          <w:lang w:val="en-US" w:eastAsia="zh-CN"/>
        </w:rPr>
        <w:t>施工场地概况</w:t>
      </w:r>
    </w:p>
    <w:p w14:paraId="5A04AB57">
      <w:pPr>
        <w:pStyle w:val="20"/>
        <w:bidi w:val="0"/>
        <w:rPr>
          <w:rFonts w:hint="default"/>
          <w:lang w:val="en-US" w:eastAsia="zh-CN"/>
        </w:rPr>
      </w:pPr>
      <w:r>
        <w:rPr>
          <w:rFonts w:hint="default"/>
          <w:lang w:val="en-US" w:eastAsia="zh-CN"/>
        </w:rPr>
        <w:t>投标人须提前全面踏勘各校区施工现场，熟悉场地边界、施工范围、校园管控规定、教学时段安排、机械及车辆通行条件，明确校园出入口、通行权限、道路限高、限宽及路面承载能力。</w:t>
      </w:r>
    </w:p>
    <w:p w14:paraId="3E4A9CA0">
      <w:pPr>
        <w:pStyle w:val="20"/>
        <w:bidi w:val="0"/>
        <w:rPr>
          <w:rFonts w:hint="default"/>
          <w:lang w:val="en-US" w:eastAsia="zh-CN"/>
        </w:rPr>
      </w:pPr>
      <w:r>
        <w:rPr>
          <w:rFonts w:hint="default"/>
          <w:lang w:val="en-US" w:eastAsia="zh-CN"/>
        </w:rPr>
        <w:t>校园内部多处区域大型车辆无法直达作业面，投标人须自行统筹考虑材料二次转运、场内垂直运输及配套施工措施。所有施工机械、运输车辆必须严格按照校方审批通过的进出场路线、时段通行，严禁擅自更改路线、占用校园通行道路、消防通道及碾压绿化植被。</w:t>
      </w:r>
    </w:p>
    <w:p w14:paraId="5F66F671">
      <w:pPr>
        <w:pStyle w:val="20"/>
        <w:bidi w:val="0"/>
        <w:rPr>
          <w:rFonts w:hint="default"/>
          <w:lang w:val="en-US" w:eastAsia="zh-CN"/>
        </w:rPr>
      </w:pPr>
      <w:r>
        <w:rPr>
          <w:rFonts w:hint="default"/>
          <w:lang w:val="en-US" w:eastAsia="zh-CN"/>
        </w:rPr>
        <w:t>施工机械及运输车辆进出场必须主动避让学生上下学高峰时段；确因施工需要在高峰时段通行的，须提前1个工作日报送校方书面审批，并安排专人全程现场指挥引导，保障师生通行安全及校园秩序。</w:t>
      </w:r>
    </w:p>
    <w:p w14:paraId="6831317B">
      <w:pPr>
        <w:pStyle w:val="20"/>
        <w:bidi w:val="0"/>
        <w:rPr>
          <w:rFonts w:hint="default"/>
          <w:lang w:val="en-US" w:eastAsia="zh-CN"/>
        </w:rPr>
      </w:pPr>
      <w:r>
        <w:rPr>
          <w:rFonts w:hint="default"/>
          <w:lang w:val="en-US" w:eastAsia="zh-CN"/>
        </w:rPr>
        <w:t>车辆在校园内行驶速度不得超过5km/h，全程低速文明行驶，严禁鸣笛、超速、抢行、野蛮通行。</w:t>
      </w:r>
    </w:p>
    <w:p w14:paraId="733F65E7">
      <w:pPr>
        <w:pStyle w:val="20"/>
        <w:bidi w:val="0"/>
        <w:rPr>
          <w:rFonts w:hint="default"/>
          <w:lang w:val="en-US" w:eastAsia="zh-CN"/>
        </w:rPr>
      </w:pPr>
      <w:r>
        <w:rPr>
          <w:rFonts w:hint="default"/>
          <w:lang w:val="en-US" w:eastAsia="zh-CN"/>
        </w:rPr>
        <w:t>施工废水、建筑垃圾、废料、余土的堆放、清运路线及处置方式，严格遵照校方指定要求执行，定点堆放、及时清运，严禁随意排放、随意丢弃，保持校园环境整洁。</w:t>
      </w:r>
    </w:p>
    <w:p w14:paraId="012D3886">
      <w:pPr>
        <w:pStyle w:val="20"/>
        <w:bidi w:val="0"/>
        <w:rPr>
          <w:rFonts w:hint="default"/>
          <w:lang w:val="en-US" w:eastAsia="zh-CN"/>
        </w:rPr>
      </w:pPr>
      <w:r>
        <w:rPr>
          <w:rFonts w:hint="default"/>
          <w:lang w:val="en-US" w:eastAsia="zh-CN"/>
        </w:rPr>
        <w:t>施工全过程无条件服从校方日常管理，严格遵守校园日常教学、期中期末考试、大型文体活动期间停工管控要求，严禁施工扰民、影响正常教学秩序。</w:t>
      </w:r>
    </w:p>
    <w:p w14:paraId="298CA32A">
      <w:pPr>
        <w:pStyle w:val="4"/>
        <w:bidi w:val="0"/>
        <w:rPr>
          <w:rFonts w:hint="default"/>
          <w:lang w:val="en-US" w:eastAsia="zh-CN"/>
        </w:rPr>
      </w:pPr>
      <w:r>
        <w:rPr>
          <w:rFonts w:hint="default"/>
          <w:lang w:val="en-US" w:eastAsia="zh-CN"/>
        </w:rPr>
        <w:t>工期要求</w:t>
      </w:r>
    </w:p>
    <w:p w14:paraId="524E0EA3">
      <w:pPr>
        <w:rPr>
          <w:rFonts w:hint="default"/>
          <w:b w:val="0"/>
          <w:bCs w:val="0"/>
          <w:lang w:val="en-US" w:eastAsia="zh-CN"/>
        </w:rPr>
      </w:pPr>
      <w:r>
        <w:rPr>
          <w:rFonts w:hint="default"/>
          <w:b w:val="0"/>
          <w:bCs w:val="0"/>
          <w:lang w:val="en-US" w:eastAsia="zh-CN"/>
        </w:rPr>
        <w:t>本项目食堂改造施工限定2026、2027年两个暑期窗口期实施，整体分两期排布：初步规划2026年暑期推进半数校区改造，实际开工数量可结合整体施工进度动态调整，余下校区统一安排至2027年暑期施工。</w:t>
      </w:r>
    </w:p>
    <w:p w14:paraId="690D1219">
      <w:pPr>
        <w:rPr>
          <w:rFonts w:hint="default"/>
          <w:b w:val="0"/>
          <w:bCs w:val="0"/>
          <w:lang w:val="en-US" w:eastAsia="zh-CN"/>
        </w:rPr>
      </w:pPr>
      <w:r>
        <w:rPr>
          <w:rFonts w:hint="default"/>
          <w:b w:val="0"/>
          <w:bCs w:val="0"/>
          <w:lang w:val="en-US" w:eastAsia="zh-CN"/>
        </w:rPr>
        <w:t>各校区餐梯工序提前穿插筹备，电梯井工作面移交后20日内完成餐梯安装，多校区同步并行施工。</w:t>
      </w:r>
    </w:p>
    <w:p w14:paraId="25FD5043">
      <w:pPr>
        <w:pStyle w:val="3"/>
        <w:bidi w:val="0"/>
        <w:rPr>
          <w:rFonts w:hint="default"/>
          <w:lang w:val="en-US" w:eastAsia="zh-CN"/>
        </w:rPr>
      </w:pPr>
      <w:r>
        <w:rPr>
          <w:rFonts w:hint="default"/>
          <w:lang w:val="en-US" w:eastAsia="zh-CN"/>
        </w:rPr>
        <w:t>安装专项技术要求</w:t>
      </w:r>
    </w:p>
    <w:p w14:paraId="1C4897C3">
      <w:pPr>
        <w:pStyle w:val="20"/>
        <w:bidi w:val="0"/>
        <w:rPr>
          <w:rFonts w:hint="default"/>
          <w:lang w:val="en-US" w:eastAsia="zh-CN"/>
        </w:rPr>
      </w:pPr>
      <w:r>
        <w:rPr>
          <w:rFonts w:hint="default"/>
          <w:lang w:val="en-US" w:eastAsia="zh-CN"/>
        </w:rPr>
        <w:t xml:space="preserve"> 前期勘测与交底：施工前必须逐校完成现场实测勘测，精准核对各楼栋井道尺寸、地坑深度、顶层高度、楼层高差、电源点位、墙体结构等现场条件，结合施工图纸及本技术任务书参数编制专项安装施工方案，报甲方及监理审核通过后方可进场施工。针对广昌小学特殊井道尺寸、各学校不同提升高度及停靠层数，需单独适配安装工艺，严禁统一模板施工。</w:t>
      </w:r>
    </w:p>
    <w:p w14:paraId="735496B7">
      <w:pPr>
        <w:pStyle w:val="20"/>
        <w:bidi w:val="0"/>
        <w:rPr>
          <w:rFonts w:hint="default"/>
          <w:lang w:val="en-US" w:eastAsia="zh-CN"/>
        </w:rPr>
      </w:pPr>
      <w:r>
        <w:rPr>
          <w:rFonts w:hint="default"/>
          <w:lang w:val="en-US" w:eastAsia="zh-CN"/>
        </w:rPr>
        <w:t>井道与地坑施工：地坑深度严格按照1m标准施工，地坑底部平整、夯实、做防水防潮处理，无积水、无杂物、无沉降隐患；井道内壁垂直平整，预留门洞尺寸精准，钢结构/混凝土井道承重结构符合餐梯设备荷载要求，井道内部干净整洁，无突出障碍物，满足设备运行安全间距要求。</w:t>
      </w:r>
    </w:p>
    <w:p w14:paraId="45456058">
      <w:pPr>
        <w:pStyle w:val="20"/>
        <w:bidi w:val="0"/>
        <w:rPr>
          <w:rFonts w:hint="default"/>
          <w:lang w:val="en-US" w:eastAsia="zh-CN"/>
        </w:rPr>
      </w:pPr>
      <w:r>
        <w:rPr>
          <w:rFonts w:hint="default"/>
          <w:lang w:val="en-US" w:eastAsia="zh-CN"/>
        </w:rPr>
        <w:t xml:space="preserve"> 主体设备安装：餐梯导轨、轿厢、层门、机架、曳引系统、控制系统等核心部件严格按照特种设备安装规范对位安装，导轨垂直度、间距、平行度符合标准，固定螺栓全部紧固到位、防松措施齐全；层门安装平整、闭合严密、开关顺畅，门缝间隙均匀，无卡顿、无松动；轿厢安装水平、稳固，运行无偏移、无晃动。</w:t>
      </w:r>
    </w:p>
    <w:p w14:paraId="30667384">
      <w:pPr>
        <w:pStyle w:val="20"/>
        <w:bidi w:val="0"/>
        <w:rPr>
          <w:rFonts w:hint="default"/>
          <w:lang w:val="en-US" w:eastAsia="zh-CN"/>
        </w:rPr>
      </w:pPr>
      <w:r>
        <w:rPr>
          <w:rFonts w:hint="default"/>
          <w:lang w:val="en-US" w:eastAsia="zh-CN"/>
        </w:rPr>
        <w:t>电气配套安装：餐梯专用供电线路独立布设，严禁与其他设备共用回路；控制柜、操纵盒、限位装置、急停开关、安全保护装置接线规范、走线规整，接线端子压接牢固、标识清晰，绝缘防护到位；所有电气接线、接地、配线完全匹配设备功率及安全标准，杜绝虚接、漏接、错接问题。</w:t>
      </w:r>
    </w:p>
    <w:p w14:paraId="359AE56E">
      <w:pPr>
        <w:pStyle w:val="20"/>
        <w:bidi w:val="0"/>
        <w:rPr>
          <w:rFonts w:hint="default"/>
          <w:lang w:val="en-US" w:eastAsia="zh-CN"/>
        </w:rPr>
      </w:pPr>
      <w:r>
        <w:rPr>
          <w:rFonts w:hint="default"/>
          <w:lang w:val="en-US" w:eastAsia="zh-CN"/>
        </w:rPr>
        <w:t>调试技术要求：设备安装完成后，依次开展静态调试、空载调试、满载调试、全楼层往返调试，精准校准平层精度、运行速度、启停平稳度，测试限位、极限、急停、防坠、门锁保护等所有安全装置有效性，确保设备启停平稳、平层准确、保护灵敏、运行静音，完全满足校园食材转运使用需求。</w:t>
      </w:r>
    </w:p>
    <w:p w14:paraId="4D643B72">
      <w:pPr>
        <w:pStyle w:val="3"/>
        <w:bidi w:val="0"/>
        <w:rPr>
          <w:rFonts w:hint="default"/>
          <w:lang w:val="en-US" w:eastAsia="zh-CN"/>
        </w:rPr>
      </w:pPr>
      <w:r>
        <w:rPr>
          <w:rFonts w:hint="default"/>
          <w:lang w:val="en-US" w:eastAsia="zh-CN"/>
        </w:rPr>
        <w:t>安装质量管控要求</w:t>
      </w:r>
    </w:p>
    <w:p w14:paraId="74E2C6D0">
      <w:pPr>
        <w:pStyle w:val="20"/>
        <w:bidi w:val="0"/>
        <w:rPr>
          <w:rFonts w:hint="default"/>
          <w:lang w:val="en-US" w:eastAsia="zh-CN"/>
        </w:rPr>
      </w:pPr>
      <w:r>
        <w:rPr>
          <w:rFonts w:hint="default"/>
          <w:lang w:val="en-US" w:eastAsia="zh-CN"/>
        </w:rPr>
        <w:t>材料设备质量管控：所有进场餐梯设备、不锈钢板材、五金配件、电气材料必须为全新合格产品，规格、型号、材质100%符合</w:t>
      </w:r>
      <w:r>
        <w:rPr>
          <w:rFonts w:hint="eastAsia"/>
          <w:lang w:val="en-US" w:eastAsia="zh-CN"/>
        </w:rPr>
        <w:t>设计</w:t>
      </w:r>
      <w:r>
        <w:rPr>
          <w:rFonts w:hint="default"/>
          <w:lang w:val="en-US" w:eastAsia="zh-CN"/>
        </w:rPr>
        <w:t>要求，进场时提供合格证、出厂检测报告、资质证明等全套资料，经甲方及监理查验合格后方可使用，严禁使用翻新件、次品、不合格材料。</w:t>
      </w:r>
      <w:r>
        <w:rPr>
          <w:rFonts w:hint="eastAsia"/>
          <w:lang w:val="en-US" w:eastAsia="zh-CN"/>
        </w:rPr>
        <w:t>本工程所有涉及不锈钢的材质均为304不锈钢，</w:t>
      </w:r>
      <w:r>
        <w:rPr>
          <w:rFonts w:hint="default"/>
          <w:lang w:val="en-US" w:eastAsia="zh-CN"/>
        </w:rPr>
        <w:t>304不锈钢轿厢及构件厚度必须达到1.2mm标准，材质纯正、表面光洁，无划痕、变形、锈蚀、色差。</w:t>
      </w:r>
    </w:p>
    <w:p w14:paraId="2924B9E8">
      <w:pPr>
        <w:pStyle w:val="20"/>
        <w:bidi w:val="0"/>
        <w:rPr>
          <w:rFonts w:hint="default"/>
          <w:lang w:val="en-US" w:eastAsia="zh-CN"/>
        </w:rPr>
      </w:pPr>
      <w:r>
        <w:rPr>
          <w:rFonts w:hint="default"/>
          <w:lang w:val="en-US" w:eastAsia="zh-CN"/>
        </w:rPr>
        <w:t xml:space="preserve"> 施工工艺质量管控：所有安装工序严格遵循国家《杂物电梯安装验收规范》及行业标准，焊接、固定、布线、防水、防腐等工艺达标，焊缝饱满平整、无虚焊夹渣，固定点位牢固可靠，防腐防锈处理全覆盖；设备外观整洁规整，安装缝隙均匀，整体施工工艺精细、观感良好。</w:t>
      </w:r>
    </w:p>
    <w:p w14:paraId="67534607">
      <w:pPr>
        <w:pStyle w:val="20"/>
        <w:bidi w:val="0"/>
        <w:rPr>
          <w:rFonts w:hint="default"/>
          <w:lang w:val="en-US" w:eastAsia="zh-CN"/>
        </w:rPr>
      </w:pPr>
      <w:r>
        <w:rPr>
          <w:rFonts w:hint="default"/>
          <w:lang w:val="en-US" w:eastAsia="zh-CN"/>
        </w:rPr>
        <w:t>成品保护质量管控：施工全过程做好校园原有建筑、墙面、地面、门窗、食堂设施的成品保护，采取遮挡、防护措施，杜绝施工磕碰、污染、损坏；设备安装完成后做好防尘、防撞保护，施工垃圾日产日清，保持施工现场整洁。</w:t>
      </w:r>
    </w:p>
    <w:p w14:paraId="1FD63EAF">
      <w:pPr>
        <w:pStyle w:val="20"/>
        <w:bidi w:val="0"/>
        <w:rPr>
          <w:rFonts w:hint="default"/>
          <w:lang w:val="en-US" w:eastAsia="zh-CN"/>
        </w:rPr>
      </w:pPr>
      <w:r>
        <w:rPr>
          <w:rFonts w:hint="default"/>
          <w:lang w:val="en-US" w:eastAsia="zh-CN"/>
        </w:rPr>
        <w:t>质量验收管控：实行工序自检、互检、交接检三检制度，每道工序验收合格后方可进入下一道施工环节；所有设备安装参数、运行性能、施工质量必须完全达标，杜绝尺寸偏差、设备异响、平层偏差、安全装置失效等质量问题，确保一次性验收合格。</w:t>
      </w:r>
    </w:p>
    <w:p w14:paraId="4EC180A5">
      <w:pPr>
        <w:pStyle w:val="3"/>
        <w:bidi w:val="0"/>
        <w:rPr>
          <w:rFonts w:hint="default"/>
          <w:lang w:val="en-US" w:eastAsia="zh-CN"/>
        </w:rPr>
      </w:pPr>
      <w:r>
        <w:rPr>
          <w:rFonts w:hint="default"/>
          <w:lang w:val="en-US" w:eastAsia="zh-CN"/>
        </w:rPr>
        <w:t>安装安全施工要求</w:t>
      </w:r>
    </w:p>
    <w:p w14:paraId="04322E72">
      <w:pPr>
        <w:pStyle w:val="20"/>
        <w:bidi w:val="0"/>
        <w:rPr>
          <w:rFonts w:hint="default"/>
          <w:lang w:val="en-US" w:eastAsia="zh-CN"/>
        </w:rPr>
      </w:pPr>
      <w:r>
        <w:rPr>
          <w:rFonts w:hint="default"/>
          <w:lang w:val="en-US" w:eastAsia="zh-CN"/>
        </w:rPr>
        <w:t>人员安全管理：所有进场施工人员必须持证上岗，具备特种设备安装作业资质，进场前完成安全技术交底、安全教育培训，熟悉校园施工安全规定及餐梯安装安全规范；施工期间全程佩戴安全防护用具，严禁无证作业、违规作业、酒后作业。</w:t>
      </w:r>
    </w:p>
    <w:p w14:paraId="2C32BDDE">
      <w:pPr>
        <w:pStyle w:val="20"/>
        <w:bidi w:val="0"/>
        <w:rPr>
          <w:rFonts w:hint="default"/>
          <w:lang w:val="en-US" w:eastAsia="zh-CN"/>
        </w:rPr>
      </w:pPr>
      <w:r>
        <w:rPr>
          <w:rFonts w:hint="default"/>
          <w:lang w:val="en-US" w:eastAsia="zh-CN"/>
        </w:rPr>
        <w:t>现场安全管控：本项目施工地点均为在校校园，施工期间严格遵守学校安全管理制度，合理错开教学、作息时间，减少施工噪音及施工影响；施工现场设置标准化安全围挡、警示标识、警戒区域，严禁无关人员、学生靠近施工区域，杜绝高空坠物、设备磕碰、人员坠落等安全事故。</w:t>
      </w:r>
    </w:p>
    <w:p w14:paraId="1B397EE0">
      <w:pPr>
        <w:pStyle w:val="20"/>
        <w:bidi w:val="0"/>
        <w:rPr>
          <w:rFonts w:hint="default"/>
          <w:lang w:val="en-US" w:eastAsia="zh-CN"/>
        </w:rPr>
      </w:pPr>
      <w:r>
        <w:rPr>
          <w:rFonts w:hint="default"/>
          <w:lang w:val="en-US" w:eastAsia="zh-CN"/>
        </w:rPr>
        <w:t>高空及井道安全：井道施工、高空作业必须搭设牢固安全作业平台，系好安全带，工具及配件采取防坠落措施；井道施工期间严禁立体交叉作业，每日施工前检查井道安全状态，施工完毕及时封闭井道口、层门，设置醒目警示防护，严防人员误入、坠落风险。</w:t>
      </w:r>
    </w:p>
    <w:p w14:paraId="4CC39A9C">
      <w:pPr>
        <w:pStyle w:val="20"/>
        <w:bidi w:val="0"/>
        <w:rPr>
          <w:rFonts w:hint="default"/>
          <w:lang w:val="en-US" w:eastAsia="zh-CN"/>
        </w:rPr>
      </w:pPr>
      <w:r>
        <w:rPr>
          <w:rFonts w:hint="default"/>
          <w:lang w:val="en-US" w:eastAsia="zh-CN"/>
        </w:rPr>
        <w:t xml:space="preserve"> 电气施工安全：电气布线、接线、设备通电调试严格遵守用电安全规范，施工前断电作业，做好绝缘防护，严禁带电违规操作；临时用电规范布设，配备漏电保护装置，杜绝触电、短路、起火等电气安全隐患。</w:t>
      </w:r>
    </w:p>
    <w:p w14:paraId="042EF769">
      <w:pPr>
        <w:pStyle w:val="20"/>
        <w:bidi w:val="0"/>
        <w:rPr>
          <w:rFonts w:hint="default"/>
          <w:lang w:val="en-US" w:eastAsia="zh-CN"/>
        </w:rPr>
      </w:pPr>
      <w:r>
        <w:rPr>
          <w:rFonts w:hint="default"/>
          <w:lang w:val="en-US" w:eastAsia="zh-CN"/>
        </w:rPr>
        <w:t xml:space="preserve"> 设备运行安全：调试期间设置专人值守，严禁非作业人员操作设备，调试过程逐步升压、试运行，排查设备卡顿、坠落、冲顶等安全隐患，确认所有安全保护装置灵敏有效后方可投入验收及使用；施工全过程杜绝野蛮施工、违规调试，保障设备及现场人员安全。</w:t>
      </w:r>
    </w:p>
    <w:p w14:paraId="71EA84B3">
      <w:pPr>
        <w:pStyle w:val="3"/>
        <w:bidi w:val="0"/>
        <w:rPr>
          <w:rFonts w:hint="default"/>
          <w:lang w:val="en-US" w:eastAsia="zh-CN"/>
        </w:rPr>
      </w:pPr>
      <w:r>
        <w:rPr>
          <w:rFonts w:hint="default"/>
          <w:lang w:val="en-US" w:eastAsia="zh-CN"/>
        </w:rPr>
        <w:t>配套电气工程技术要求</w:t>
      </w:r>
    </w:p>
    <w:p w14:paraId="09CF38B3">
      <w:pPr>
        <w:rPr>
          <w:rFonts w:hint="default"/>
          <w:b w:val="0"/>
          <w:bCs w:val="0"/>
          <w:lang w:val="en-US" w:eastAsia="zh-CN"/>
        </w:rPr>
      </w:pPr>
      <w:r>
        <w:rPr>
          <w:rFonts w:hint="default"/>
          <w:b w:val="0"/>
          <w:bCs w:val="0"/>
          <w:lang w:val="en-US" w:eastAsia="zh-CN"/>
        </w:rPr>
        <w:t>本项目所有餐梯设备配套电气工程需严格按照设计图纸、国家电气施工规范施工，包含电力电缆敷设、电线管配置、避雷接地、系统调试等全部内容，具体技术参数及施工要求如下：</w:t>
      </w:r>
    </w:p>
    <w:p w14:paraId="65AF6C72">
      <w:pPr>
        <w:pStyle w:val="20"/>
        <w:bidi w:val="0"/>
        <w:rPr>
          <w:rFonts w:hint="default"/>
          <w:lang w:val="en-US" w:eastAsia="zh-CN"/>
        </w:rPr>
      </w:pPr>
      <w:bookmarkStart w:id="0" w:name="_GoBack"/>
      <w:r>
        <w:rPr>
          <w:rFonts w:hint="default"/>
          <w:lang w:val="en-US" w:eastAsia="zh-CN"/>
        </w:rPr>
        <w:t>电力电缆设备名称：电力电缆；型号规格：WDZB-YJY 5*6mm²；材质：纯铜芯；电压等级：1kV；敷设方式：管道敷设；施工要求：电缆敷设平整、无扭曲、无破损，接头牢固绝缘，布线规整，符合低压配电施工规范，满足餐梯设备长期稳定供电需求。</w:t>
      </w:r>
    </w:p>
    <w:bookmarkEnd w:id="0"/>
    <w:p w14:paraId="4E311476">
      <w:pPr>
        <w:pStyle w:val="20"/>
        <w:bidi w:val="0"/>
        <w:rPr>
          <w:rFonts w:hint="default"/>
          <w:lang w:val="en-US" w:eastAsia="zh-CN"/>
        </w:rPr>
      </w:pPr>
      <w:r>
        <w:rPr>
          <w:rFonts w:hint="default"/>
          <w:lang w:val="en-US" w:eastAsia="zh-CN"/>
        </w:rPr>
        <w:t>电线配管设备名称：电线管；材质：热镀锌钢管；规格：SC32；配置形式：明敷；施工要求：管道安装平整牢固、间距均匀，防腐处理到位，管口打磨光滑，线缆穿线顺畅，整体接地合规，完全符合设计及电气施工规范要求。</w:t>
      </w:r>
    </w:p>
    <w:p w14:paraId="1B80468B">
      <w:pPr>
        <w:pStyle w:val="20"/>
        <w:bidi w:val="0"/>
        <w:rPr>
          <w:rFonts w:hint="default"/>
          <w:lang w:val="en-US" w:eastAsia="zh-CN"/>
        </w:rPr>
      </w:pPr>
      <w:r>
        <w:rPr>
          <w:rFonts w:hint="default"/>
          <w:lang w:val="en-US" w:eastAsia="zh-CN"/>
        </w:rPr>
        <w:t>避雷引下线施工内容：避雷引下线敷设，沿建筑、构筑物主体结构引下；施工标准：引下线布设垂直、固定牢固，连接可靠，贴合建筑结构施工，满足建筑防雷设计规范，杜绝防雷安全隐患。</w:t>
      </w:r>
    </w:p>
    <w:p w14:paraId="5074F8CA">
      <w:pPr>
        <w:pStyle w:val="20"/>
        <w:bidi w:val="0"/>
        <w:rPr>
          <w:rFonts w:hint="default"/>
          <w:lang w:val="en-US" w:eastAsia="zh-CN"/>
        </w:rPr>
      </w:pPr>
      <w:r>
        <w:rPr>
          <w:rFonts w:hint="default"/>
          <w:lang w:val="en-US" w:eastAsia="zh-CN"/>
        </w:rPr>
        <w:t xml:space="preserve"> 接地母线施工要求：利用建筑基础及底板内两根直径大于φ16的钢筋通长焊接作为接地母线，焊接饱满、无虚焊、无断焊，接地导通性良好；需完成图纸及规范要求的全部配套施工内容，所有未列明细节以招标文件及图纸为准。</w:t>
      </w:r>
    </w:p>
    <w:p w14:paraId="30E26E14">
      <w:pPr>
        <w:pStyle w:val="20"/>
        <w:bidi w:val="0"/>
        <w:rPr>
          <w:rFonts w:hint="default"/>
          <w:lang w:val="en-US" w:eastAsia="zh-CN"/>
        </w:rPr>
      </w:pPr>
      <w:r>
        <w:rPr>
          <w:rFonts w:hint="default"/>
          <w:lang w:val="en-US" w:eastAsia="zh-CN"/>
        </w:rPr>
        <w:t xml:space="preserve"> 接地端子施工要求：按设计规范布设接地端子，端子固定牢固、标识清晰、接触良好，满足设备及建筑整体接地安全要求，包含所有配套辅助施工内容，未尽事宜遵循规范及图纸要求。</w:t>
      </w:r>
    </w:p>
    <w:p w14:paraId="70721BDD">
      <w:pPr>
        <w:pStyle w:val="20"/>
        <w:bidi w:val="0"/>
        <w:rPr>
          <w:rFonts w:hint="default"/>
          <w:lang w:val="en-US" w:eastAsia="zh-CN"/>
        </w:rPr>
      </w:pPr>
      <w:r>
        <w:rPr>
          <w:rFonts w:hint="default"/>
          <w:lang w:val="en-US" w:eastAsia="zh-CN"/>
        </w:rPr>
        <w:t>接地装置系统调试调试对象：接地网系统；工作内容：完成整个项目接地装置的全面检测、调试，测试接地电阻、导通性等核心指标，确保系统运行合格，达到国家电气安全标准，出具完整调试记录，配合整体工程验收。</w:t>
      </w:r>
    </w:p>
    <w:p w14:paraId="67F19889">
      <w:pPr>
        <w:pStyle w:val="3"/>
        <w:bidi w:val="0"/>
        <w:rPr>
          <w:rFonts w:hint="default"/>
          <w:lang w:val="en-US" w:eastAsia="zh-CN"/>
        </w:rPr>
      </w:pPr>
      <w:r>
        <w:rPr>
          <w:rFonts w:hint="default"/>
          <w:lang w:val="en-US" w:eastAsia="zh-CN"/>
        </w:rPr>
        <w:t>验收标准与要求</w:t>
      </w:r>
    </w:p>
    <w:p w14:paraId="01D55D7F">
      <w:pPr>
        <w:pStyle w:val="20"/>
        <w:bidi w:val="0"/>
        <w:rPr>
          <w:rFonts w:hint="default"/>
          <w:lang w:val="en-US" w:eastAsia="zh-CN"/>
        </w:rPr>
      </w:pPr>
      <w:r>
        <w:rPr>
          <w:rFonts w:hint="default"/>
          <w:lang w:val="en-US" w:eastAsia="zh-CN"/>
        </w:rPr>
        <w:t xml:space="preserve"> 分项验收：所有餐梯设备参数、材质、运行性能符合本任务书及图纸要求，无质量缺陷；电气工程布线、配管、接地、防雷、调试全部达标，符合国家电气规范。</w:t>
      </w:r>
    </w:p>
    <w:p w14:paraId="16864485">
      <w:pPr>
        <w:pStyle w:val="20"/>
        <w:bidi w:val="0"/>
        <w:rPr>
          <w:rFonts w:hint="default"/>
          <w:lang w:val="en-US" w:eastAsia="zh-CN"/>
        </w:rPr>
      </w:pPr>
      <w:r>
        <w:rPr>
          <w:rFonts w:hint="default"/>
          <w:lang w:val="en-US" w:eastAsia="zh-CN"/>
        </w:rPr>
        <w:t xml:space="preserve"> 整体验收：所有设备及工程施工完成后，中标单位需整理全套竣工资料、调试记录、资质文件，配合甲方、监理及第三方检测机构完成整体验收，确保全部项目检测验收合格。</w:t>
      </w:r>
    </w:p>
    <w:p w14:paraId="7588C33A">
      <w:pPr>
        <w:pStyle w:val="3"/>
        <w:bidi w:val="0"/>
        <w:rPr>
          <w:rFonts w:hint="default"/>
          <w:lang w:val="en-US" w:eastAsia="zh-CN"/>
        </w:rPr>
      </w:pPr>
      <w:r>
        <w:rPr>
          <w:rFonts w:hint="default"/>
          <w:lang w:val="en-US" w:eastAsia="zh-CN"/>
        </w:rPr>
        <w:t>资料</w:t>
      </w:r>
      <w:r>
        <w:rPr>
          <w:rFonts w:hint="eastAsia"/>
          <w:lang w:val="en-US" w:eastAsia="zh-CN"/>
        </w:rPr>
        <w:t>及</w:t>
      </w:r>
      <w:r>
        <w:rPr>
          <w:rFonts w:hint="default"/>
          <w:lang w:val="en-US" w:eastAsia="zh-CN"/>
        </w:rPr>
        <w:t>验收要求</w:t>
      </w:r>
    </w:p>
    <w:p w14:paraId="152A5975">
      <w:pPr>
        <w:pStyle w:val="20"/>
        <w:bidi w:val="0"/>
        <w:rPr>
          <w:rFonts w:hint="default"/>
          <w:lang w:val="en-US" w:eastAsia="zh-CN"/>
        </w:rPr>
      </w:pPr>
      <w:r>
        <w:rPr>
          <w:rFonts w:hint="default"/>
          <w:lang w:val="en-US" w:eastAsia="zh-CN"/>
        </w:rPr>
        <w:t>本工程检测工作、竣工资料编制与整理均严格遵照珠海市建设工程质量监督站、珠海市城建档案馆相关管理规定执行。</w:t>
      </w:r>
    </w:p>
    <w:p w14:paraId="31754C4A">
      <w:pPr>
        <w:pStyle w:val="20"/>
        <w:bidi w:val="0"/>
        <w:rPr>
          <w:rFonts w:hint="default"/>
          <w:lang w:val="en-US" w:eastAsia="zh-CN"/>
        </w:rPr>
      </w:pPr>
      <w:r>
        <w:rPr>
          <w:rFonts w:hint="default"/>
          <w:lang w:val="en-US" w:eastAsia="zh-CN"/>
        </w:rPr>
        <w:t>各分项工程施工完成后，中标单位自检合格后报请甲方及监理验收，验收合格后方可开展下道工序。工程整体完工后，中标单位须完整整理竣工图纸、深化设计图纸、材料合格证、检测复试报告、实体检测资料、隐蔽工程验收记录、施工日志、系统调试记录</w:t>
      </w:r>
      <w:r>
        <w:rPr>
          <w:rFonts w:hint="eastAsia"/>
          <w:lang w:val="en-US" w:eastAsia="zh-CN"/>
        </w:rPr>
        <w:t>、电梯监督检验报告</w:t>
      </w:r>
      <w:r>
        <w:rPr>
          <w:rFonts w:hint="default"/>
          <w:lang w:val="en-US" w:eastAsia="zh-CN"/>
        </w:rPr>
        <w:t>等全套归档资料，全力配合完成竣工验收及特种设备前置核验，确保资料真实齐全、合规可归档。</w:t>
      </w:r>
    </w:p>
    <w:p w14:paraId="089ECBCE">
      <w:pPr>
        <w:rPr>
          <w:rFonts w:hint="default"/>
          <w:lang w:val="en-US" w:eastAsia="zh-CN"/>
        </w:rPr>
      </w:pPr>
    </w:p>
    <w:sectPr>
      <w:headerReference r:id="rId5" w:type="default"/>
      <w:footerReference r:id="rId6" w:type="default"/>
      <w:pgSz w:w="11906" w:h="16838"/>
      <w:pgMar w:top="1247" w:right="1247" w:bottom="1247" w:left="1247" w:header="680" w:footer="680" w:gutter="17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swiss"/>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635057"/>
      <w:docPartObj>
        <w:docPartGallery w:val="autotext"/>
      </w:docPartObj>
    </w:sdtPr>
    <w:sdtContent>
      <w:p w14:paraId="22EFE8EF">
        <w:pPr>
          <w:tabs>
            <w:tab w:val="center" w:pos="4153"/>
            <w:tab w:val="right" w:pos="8306"/>
          </w:tabs>
          <w:ind w:firstLine="360"/>
          <w:jc w:val="center"/>
        </w:pPr>
        <w:r>
          <w:fldChar w:fldCharType="begin"/>
        </w:r>
        <w:r>
          <w:instrText xml:space="preserve">PAGE   \* MERGEFORMAT</w:instrText>
        </w:r>
        <w:r>
          <w:fldChar w:fldCharType="separate"/>
        </w:r>
        <w:r>
          <w:rPr>
            <w:lang w:val="zh-CN"/>
          </w:rPr>
          <w:t>-</w:t>
        </w:r>
        <w:r>
          <w:t xml:space="preserve"> 533 -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D450">
    <w:pPr>
      <w:pStyle w:val="11"/>
      <w:keepNext w:val="0"/>
      <w:keepLines w:val="0"/>
      <w:pageBreakBefore w:val="0"/>
      <w:widowControl w:val="0"/>
      <w:pBdr>
        <w:bottom w:val="single" w:color="auto" w:sz="4" w:space="0"/>
      </w:pBdr>
      <w:kinsoku/>
      <w:wordWrap/>
      <w:overflowPunct/>
      <w:topLinePunct w:val="0"/>
      <w:bidi w:val="0"/>
      <w:adjustRightInd/>
      <w:snapToGrid w:val="0"/>
      <w:spacing w:line="240" w:lineRule="auto"/>
      <w:ind w:left="0" w:leftChars="0" w:firstLine="0" w:firstLineChars="0"/>
      <w:jc w:val="left"/>
      <w:textAlignment w:val="auto"/>
      <w:rPr>
        <w:rFonts w:hint="default"/>
        <w:lang w:val="en-US"/>
      </w:rPr>
    </w:pPr>
    <w:r>
      <w:rPr>
        <w:rFonts w:hint="eastAsia"/>
        <w:b/>
        <w:bCs/>
        <w:sz w:val="44"/>
        <w:szCs w:val="52"/>
      </w:rPr>
      <w:drawing>
        <wp:inline distT="0" distB="0" distL="114300" distR="114300">
          <wp:extent cx="965835" cy="219710"/>
          <wp:effectExtent l="0" t="0" r="5715" b="8890"/>
          <wp:docPr id="112" name="图片 2" descr="南粤建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descr="南粤建筑"/>
                  <pic:cNvPicPr>
                    <a:picLocks noChangeAspect="1"/>
                  </pic:cNvPicPr>
                </pic:nvPicPr>
                <pic:blipFill>
                  <a:blip r:embed="rId1"/>
                  <a:stretch>
                    <a:fillRect/>
                  </a:stretch>
                </pic:blipFill>
                <pic:spPr>
                  <a:xfrm>
                    <a:off x="0" y="0"/>
                    <a:ext cx="965835" cy="219710"/>
                  </a:xfrm>
                  <a:prstGeom prst="rect">
                    <a:avLst/>
                  </a:prstGeom>
                  <a:noFill/>
                  <a:ln>
                    <a:noFill/>
                  </a:ln>
                </pic:spPr>
              </pic:pic>
            </a:graphicData>
          </a:graphic>
        </wp:inline>
      </w:drawing>
    </w:r>
    <w:r>
      <w:rPr>
        <w:rFonts w:hint="eastAsia"/>
        <w:b/>
        <w:bCs/>
        <w:sz w:val="44"/>
        <w:szCs w:val="52"/>
        <w:lang w:val="en-US" w:eastAsia="zh-CN"/>
      </w:rPr>
      <w:t xml:space="preserve">             </w:t>
    </w:r>
    <w:r>
      <w:rPr>
        <w:rFonts w:hint="eastAsia"/>
      </w:rPr>
      <w:t>珠海市香洲区中小学、幼儿园办学场所及停车场改造提升工程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20CDA"/>
    <w:multiLevelType w:val="multilevel"/>
    <w:tmpl w:val="24620CDA"/>
    <w:lvl w:ilvl="0" w:tentative="0">
      <w:start w:val="1"/>
      <w:numFmt w:val="chineseCountingThousand"/>
      <w:pStyle w:val="2"/>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3"/>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5"/>
      <w:suff w:val="space"/>
      <w:lvlText w:val="%2.%3.%4"/>
      <w:lvlJc w:val="left"/>
      <w:pPr>
        <w:ind w:left="1135" w:firstLine="0"/>
      </w:pPr>
      <w:rPr>
        <w:rFonts w:hint="default" w:ascii="Times New Roman" w:hAnsi="Times New Roman" w:eastAsia="宋体"/>
        <w:b w:val="0"/>
        <w:i w:val="0"/>
        <w:sz w:val="24"/>
        <w:u w:val="none"/>
      </w:rPr>
    </w:lvl>
    <w:lvl w:ilvl="4" w:tentative="0">
      <w:start w:val="1"/>
      <w:numFmt w:val="decimal"/>
      <w:pStyle w:val="6"/>
      <w:suff w:val="space"/>
      <w:lvlText w:val="%2.%3.%4.%5"/>
      <w:lvlJc w:val="left"/>
      <w:pPr>
        <w:ind w:left="710" w:firstLine="0"/>
      </w:pPr>
      <w:rPr>
        <w:rFonts w:hint="default" w:ascii="Times New Roman" w:hAnsi="Times New Roman" w:eastAsia="宋体"/>
        <w:b w:val="0"/>
        <w:i w:val="0"/>
        <w:sz w:val="24"/>
        <w:u w:val="none"/>
      </w:rPr>
    </w:lvl>
    <w:lvl w:ilvl="5" w:tentative="0">
      <w:start w:val="1"/>
      <w:numFmt w:val="decimal"/>
      <w:pStyle w:val="20"/>
      <w:suff w:val="space"/>
      <w:lvlText w:val="(%6)"/>
      <w:lvlJc w:val="left"/>
      <w:pPr>
        <w:ind w:left="425" w:firstLine="284"/>
      </w:pPr>
      <w:rPr>
        <w:rFonts w:hint="default" w:ascii="Times New Roman" w:hAnsi="Times New Roman" w:eastAsia="宋体"/>
        <w:b w:val="0"/>
        <w:i w:val="0"/>
        <w:color w:val="auto"/>
        <w:sz w:val="24"/>
        <w:u w:val="none"/>
      </w:rPr>
    </w:lvl>
    <w:lvl w:ilvl="6" w:tentative="0">
      <w:start w:val="1"/>
      <w:numFmt w:val="decimal"/>
      <w:pStyle w:val="30"/>
      <w:suff w:val="space"/>
      <w:lvlText w:val="%7)"/>
      <w:lvlJc w:val="left"/>
      <w:pPr>
        <w:ind w:left="0" w:firstLine="454"/>
      </w:pPr>
      <w:rPr>
        <w:rFonts w:hint="default" w:ascii="Times New Roman" w:hAnsi="Times New Roman" w:eastAsia="宋体"/>
        <w:b w:val="0"/>
        <w:i w:val="0"/>
        <w:color w:val="auto"/>
        <w:sz w:val="24"/>
        <w:u w:val="none"/>
      </w:rPr>
    </w:lvl>
    <w:lvl w:ilvl="7" w:tentative="0">
      <w:start w:val="1"/>
      <w:numFmt w:val="decimal"/>
      <w:lvlRestart w:val="5"/>
      <w:pStyle w:val="26"/>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28"/>
      <w:suff w:val="space"/>
      <w:lvlText w:val="图%1.%2.%3.%4-%9"/>
      <w:lvlJc w:val="left"/>
      <w:pPr>
        <w:ind w:left="3686" w:firstLine="0"/>
      </w:pPr>
      <w:rPr>
        <w:rFonts w:hint="eastAsia"/>
        <w:b w:val="0"/>
        <w:bCs w:val="0"/>
        <w:i w:val="0"/>
        <w:iCs w:val="0"/>
        <w:caps w:val="0"/>
        <w:smallCaps w:val="0"/>
        <w:strike w:val="0"/>
        <w:dstrike w:val="0"/>
        <w:outline w:val="0"/>
        <w:shadow w:val="0"/>
        <w:emboss w:val="0"/>
        <w:imprint w:val="0"/>
        <w:vanish w:val="0"/>
        <w:color w:val="auto"/>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A6"/>
    <w:rsid w:val="0000066D"/>
    <w:rsid w:val="000006BD"/>
    <w:rsid w:val="00000924"/>
    <w:rsid w:val="0000407C"/>
    <w:rsid w:val="00004DFE"/>
    <w:rsid w:val="00005E7D"/>
    <w:rsid w:val="00006D19"/>
    <w:rsid w:val="000102E2"/>
    <w:rsid w:val="00010DC8"/>
    <w:rsid w:val="000118AA"/>
    <w:rsid w:val="00013496"/>
    <w:rsid w:val="00013B6E"/>
    <w:rsid w:val="00015829"/>
    <w:rsid w:val="00015F96"/>
    <w:rsid w:val="000174E3"/>
    <w:rsid w:val="00017B92"/>
    <w:rsid w:val="00020A29"/>
    <w:rsid w:val="00021890"/>
    <w:rsid w:val="00021B13"/>
    <w:rsid w:val="00022B2F"/>
    <w:rsid w:val="000241E0"/>
    <w:rsid w:val="0003011C"/>
    <w:rsid w:val="00030351"/>
    <w:rsid w:val="000306BC"/>
    <w:rsid w:val="0003276C"/>
    <w:rsid w:val="00032968"/>
    <w:rsid w:val="0003332E"/>
    <w:rsid w:val="00033FDA"/>
    <w:rsid w:val="00034227"/>
    <w:rsid w:val="000346CC"/>
    <w:rsid w:val="00034E4F"/>
    <w:rsid w:val="00034EE4"/>
    <w:rsid w:val="00035F71"/>
    <w:rsid w:val="000362FF"/>
    <w:rsid w:val="0003697F"/>
    <w:rsid w:val="00037148"/>
    <w:rsid w:val="0004145D"/>
    <w:rsid w:val="00042154"/>
    <w:rsid w:val="00047500"/>
    <w:rsid w:val="0005050A"/>
    <w:rsid w:val="00050C87"/>
    <w:rsid w:val="00052B0D"/>
    <w:rsid w:val="000544ED"/>
    <w:rsid w:val="000549AE"/>
    <w:rsid w:val="00055F4D"/>
    <w:rsid w:val="00056972"/>
    <w:rsid w:val="00056EB2"/>
    <w:rsid w:val="000579EB"/>
    <w:rsid w:val="00057DCC"/>
    <w:rsid w:val="00061C06"/>
    <w:rsid w:val="00062C39"/>
    <w:rsid w:val="00063D65"/>
    <w:rsid w:val="000654C0"/>
    <w:rsid w:val="00065F5A"/>
    <w:rsid w:val="0006601A"/>
    <w:rsid w:val="0006651E"/>
    <w:rsid w:val="00066CCD"/>
    <w:rsid w:val="00067CC4"/>
    <w:rsid w:val="00070DC2"/>
    <w:rsid w:val="00071804"/>
    <w:rsid w:val="00071A43"/>
    <w:rsid w:val="00074808"/>
    <w:rsid w:val="0007498B"/>
    <w:rsid w:val="00077632"/>
    <w:rsid w:val="00077A0C"/>
    <w:rsid w:val="00077C81"/>
    <w:rsid w:val="00082A45"/>
    <w:rsid w:val="00083706"/>
    <w:rsid w:val="00085386"/>
    <w:rsid w:val="0008754E"/>
    <w:rsid w:val="00087D71"/>
    <w:rsid w:val="00090B88"/>
    <w:rsid w:val="00090D6D"/>
    <w:rsid w:val="00091112"/>
    <w:rsid w:val="00095810"/>
    <w:rsid w:val="00096A2D"/>
    <w:rsid w:val="000A1F97"/>
    <w:rsid w:val="000A2917"/>
    <w:rsid w:val="000A2C24"/>
    <w:rsid w:val="000A327A"/>
    <w:rsid w:val="000A35D9"/>
    <w:rsid w:val="000A5867"/>
    <w:rsid w:val="000A7293"/>
    <w:rsid w:val="000A7A3D"/>
    <w:rsid w:val="000B0460"/>
    <w:rsid w:val="000B11FA"/>
    <w:rsid w:val="000B1708"/>
    <w:rsid w:val="000B4659"/>
    <w:rsid w:val="000B492D"/>
    <w:rsid w:val="000B57E1"/>
    <w:rsid w:val="000B7C84"/>
    <w:rsid w:val="000C033D"/>
    <w:rsid w:val="000C18F7"/>
    <w:rsid w:val="000C1B5D"/>
    <w:rsid w:val="000C299B"/>
    <w:rsid w:val="000C3C0C"/>
    <w:rsid w:val="000C3DC0"/>
    <w:rsid w:val="000C4133"/>
    <w:rsid w:val="000C4EC0"/>
    <w:rsid w:val="000D0850"/>
    <w:rsid w:val="000D0B77"/>
    <w:rsid w:val="000D1DB1"/>
    <w:rsid w:val="000D2949"/>
    <w:rsid w:val="000D3630"/>
    <w:rsid w:val="000D4870"/>
    <w:rsid w:val="000D568C"/>
    <w:rsid w:val="000D5C1F"/>
    <w:rsid w:val="000D5CD9"/>
    <w:rsid w:val="000D67DA"/>
    <w:rsid w:val="000D6EE1"/>
    <w:rsid w:val="000D7743"/>
    <w:rsid w:val="000E04DD"/>
    <w:rsid w:val="000E0929"/>
    <w:rsid w:val="000E0980"/>
    <w:rsid w:val="000E26D0"/>
    <w:rsid w:val="000E34DF"/>
    <w:rsid w:val="000E3AE7"/>
    <w:rsid w:val="000E3FB7"/>
    <w:rsid w:val="000E40B6"/>
    <w:rsid w:val="000E4787"/>
    <w:rsid w:val="000E5A00"/>
    <w:rsid w:val="000E5EF6"/>
    <w:rsid w:val="000F0AF9"/>
    <w:rsid w:val="000F77CC"/>
    <w:rsid w:val="000F7EFD"/>
    <w:rsid w:val="0010015F"/>
    <w:rsid w:val="00102CF6"/>
    <w:rsid w:val="00103FE9"/>
    <w:rsid w:val="00104CBC"/>
    <w:rsid w:val="00105415"/>
    <w:rsid w:val="001064A8"/>
    <w:rsid w:val="0011009E"/>
    <w:rsid w:val="00110DBC"/>
    <w:rsid w:val="00111DFB"/>
    <w:rsid w:val="00112AE9"/>
    <w:rsid w:val="00113099"/>
    <w:rsid w:val="00113F44"/>
    <w:rsid w:val="001171FC"/>
    <w:rsid w:val="00117F5F"/>
    <w:rsid w:val="001224A1"/>
    <w:rsid w:val="00123657"/>
    <w:rsid w:val="001252BE"/>
    <w:rsid w:val="001252F6"/>
    <w:rsid w:val="00125E19"/>
    <w:rsid w:val="00125F3C"/>
    <w:rsid w:val="00126742"/>
    <w:rsid w:val="00126F77"/>
    <w:rsid w:val="0012719D"/>
    <w:rsid w:val="00130333"/>
    <w:rsid w:val="00131556"/>
    <w:rsid w:val="0013197E"/>
    <w:rsid w:val="001319AC"/>
    <w:rsid w:val="00132AB1"/>
    <w:rsid w:val="00132FF3"/>
    <w:rsid w:val="00137B4F"/>
    <w:rsid w:val="00140900"/>
    <w:rsid w:val="00141214"/>
    <w:rsid w:val="0014180E"/>
    <w:rsid w:val="00142DE0"/>
    <w:rsid w:val="00144E89"/>
    <w:rsid w:val="001456DD"/>
    <w:rsid w:val="00145B98"/>
    <w:rsid w:val="00146A0C"/>
    <w:rsid w:val="00146DBB"/>
    <w:rsid w:val="0015026C"/>
    <w:rsid w:val="00150801"/>
    <w:rsid w:val="00150B9B"/>
    <w:rsid w:val="00150D76"/>
    <w:rsid w:val="0015150E"/>
    <w:rsid w:val="00152A5F"/>
    <w:rsid w:val="0015373F"/>
    <w:rsid w:val="00153E42"/>
    <w:rsid w:val="001571AA"/>
    <w:rsid w:val="00157F50"/>
    <w:rsid w:val="001618CB"/>
    <w:rsid w:val="00162CFD"/>
    <w:rsid w:val="00164B60"/>
    <w:rsid w:val="001650CB"/>
    <w:rsid w:val="00165C34"/>
    <w:rsid w:val="00167DD1"/>
    <w:rsid w:val="00170D6E"/>
    <w:rsid w:val="001717D9"/>
    <w:rsid w:val="00174CAF"/>
    <w:rsid w:val="00174ECD"/>
    <w:rsid w:val="00175307"/>
    <w:rsid w:val="00175D61"/>
    <w:rsid w:val="00176BC6"/>
    <w:rsid w:val="00180670"/>
    <w:rsid w:val="0018128A"/>
    <w:rsid w:val="00182B57"/>
    <w:rsid w:val="00182B66"/>
    <w:rsid w:val="001833F3"/>
    <w:rsid w:val="00185121"/>
    <w:rsid w:val="00185D4C"/>
    <w:rsid w:val="001863C7"/>
    <w:rsid w:val="0018724B"/>
    <w:rsid w:val="00190908"/>
    <w:rsid w:val="0019230E"/>
    <w:rsid w:val="00192B3F"/>
    <w:rsid w:val="00194452"/>
    <w:rsid w:val="00196168"/>
    <w:rsid w:val="001A034C"/>
    <w:rsid w:val="001A0F46"/>
    <w:rsid w:val="001A1287"/>
    <w:rsid w:val="001A1894"/>
    <w:rsid w:val="001A1D80"/>
    <w:rsid w:val="001A391B"/>
    <w:rsid w:val="001A408F"/>
    <w:rsid w:val="001A5FFF"/>
    <w:rsid w:val="001A6A0E"/>
    <w:rsid w:val="001A6C33"/>
    <w:rsid w:val="001A7849"/>
    <w:rsid w:val="001B22FE"/>
    <w:rsid w:val="001B27FC"/>
    <w:rsid w:val="001B3183"/>
    <w:rsid w:val="001B3F8F"/>
    <w:rsid w:val="001B46DE"/>
    <w:rsid w:val="001B5BE4"/>
    <w:rsid w:val="001B5DED"/>
    <w:rsid w:val="001B74E2"/>
    <w:rsid w:val="001C0C7C"/>
    <w:rsid w:val="001C12B9"/>
    <w:rsid w:val="001C2307"/>
    <w:rsid w:val="001C33AD"/>
    <w:rsid w:val="001C3F6F"/>
    <w:rsid w:val="001C43F2"/>
    <w:rsid w:val="001C5780"/>
    <w:rsid w:val="001C5E35"/>
    <w:rsid w:val="001C6197"/>
    <w:rsid w:val="001C67C0"/>
    <w:rsid w:val="001D02BB"/>
    <w:rsid w:val="001D11CB"/>
    <w:rsid w:val="001D2A54"/>
    <w:rsid w:val="001D3037"/>
    <w:rsid w:val="001D3465"/>
    <w:rsid w:val="001D475E"/>
    <w:rsid w:val="001D5633"/>
    <w:rsid w:val="001D74C4"/>
    <w:rsid w:val="001E0814"/>
    <w:rsid w:val="001E0833"/>
    <w:rsid w:val="001E0BE1"/>
    <w:rsid w:val="001E1473"/>
    <w:rsid w:val="001E14CB"/>
    <w:rsid w:val="001E1A69"/>
    <w:rsid w:val="001E2C03"/>
    <w:rsid w:val="001E2C9B"/>
    <w:rsid w:val="001E46A4"/>
    <w:rsid w:val="001E5EA7"/>
    <w:rsid w:val="001E611A"/>
    <w:rsid w:val="001E6257"/>
    <w:rsid w:val="001E729E"/>
    <w:rsid w:val="001F02D0"/>
    <w:rsid w:val="001F12B1"/>
    <w:rsid w:val="001F2758"/>
    <w:rsid w:val="001F4D89"/>
    <w:rsid w:val="001F72E7"/>
    <w:rsid w:val="00200144"/>
    <w:rsid w:val="002005F1"/>
    <w:rsid w:val="0020140A"/>
    <w:rsid w:val="002016A4"/>
    <w:rsid w:val="00201D90"/>
    <w:rsid w:val="0020350A"/>
    <w:rsid w:val="00203BEC"/>
    <w:rsid w:val="00203CEC"/>
    <w:rsid w:val="00203F34"/>
    <w:rsid w:val="00204E3B"/>
    <w:rsid w:val="002079EB"/>
    <w:rsid w:val="00211CEA"/>
    <w:rsid w:val="002123B7"/>
    <w:rsid w:val="0021293E"/>
    <w:rsid w:val="0021346F"/>
    <w:rsid w:val="00214F75"/>
    <w:rsid w:val="00216CFB"/>
    <w:rsid w:val="00220BE9"/>
    <w:rsid w:val="00221D55"/>
    <w:rsid w:val="0022205E"/>
    <w:rsid w:val="00223668"/>
    <w:rsid w:val="002244B9"/>
    <w:rsid w:val="00225058"/>
    <w:rsid w:val="00225736"/>
    <w:rsid w:val="002267D9"/>
    <w:rsid w:val="002268E7"/>
    <w:rsid w:val="0022744C"/>
    <w:rsid w:val="002278F9"/>
    <w:rsid w:val="00227F6E"/>
    <w:rsid w:val="00230435"/>
    <w:rsid w:val="00230F10"/>
    <w:rsid w:val="00231508"/>
    <w:rsid w:val="002320C1"/>
    <w:rsid w:val="00232E44"/>
    <w:rsid w:val="002334B0"/>
    <w:rsid w:val="002334DF"/>
    <w:rsid w:val="00234AE1"/>
    <w:rsid w:val="0023586F"/>
    <w:rsid w:val="00236356"/>
    <w:rsid w:val="002367E6"/>
    <w:rsid w:val="00240E62"/>
    <w:rsid w:val="0024153E"/>
    <w:rsid w:val="00242F40"/>
    <w:rsid w:val="002434D1"/>
    <w:rsid w:val="00246191"/>
    <w:rsid w:val="00252133"/>
    <w:rsid w:val="00252C04"/>
    <w:rsid w:val="00253F7E"/>
    <w:rsid w:val="00254C4E"/>
    <w:rsid w:val="00260836"/>
    <w:rsid w:val="00261C4A"/>
    <w:rsid w:val="00262182"/>
    <w:rsid w:val="00262B4E"/>
    <w:rsid w:val="002631D3"/>
    <w:rsid w:val="00265B4D"/>
    <w:rsid w:val="002667A8"/>
    <w:rsid w:val="00266BC9"/>
    <w:rsid w:val="00267060"/>
    <w:rsid w:val="00272C13"/>
    <w:rsid w:val="002744F0"/>
    <w:rsid w:val="0027564A"/>
    <w:rsid w:val="00276752"/>
    <w:rsid w:val="002774FE"/>
    <w:rsid w:val="002807AC"/>
    <w:rsid w:val="00282473"/>
    <w:rsid w:val="0028521D"/>
    <w:rsid w:val="00287241"/>
    <w:rsid w:val="00291DC1"/>
    <w:rsid w:val="00291ED9"/>
    <w:rsid w:val="002939BF"/>
    <w:rsid w:val="002950DC"/>
    <w:rsid w:val="00295897"/>
    <w:rsid w:val="00295A77"/>
    <w:rsid w:val="00296C52"/>
    <w:rsid w:val="00296C8C"/>
    <w:rsid w:val="00296CF9"/>
    <w:rsid w:val="00297261"/>
    <w:rsid w:val="00297E42"/>
    <w:rsid w:val="002A2C45"/>
    <w:rsid w:val="002A2C95"/>
    <w:rsid w:val="002A31A6"/>
    <w:rsid w:val="002A351A"/>
    <w:rsid w:val="002A48BC"/>
    <w:rsid w:val="002A521E"/>
    <w:rsid w:val="002A544C"/>
    <w:rsid w:val="002A612B"/>
    <w:rsid w:val="002A67FE"/>
    <w:rsid w:val="002A784F"/>
    <w:rsid w:val="002B2352"/>
    <w:rsid w:val="002B324C"/>
    <w:rsid w:val="002B419D"/>
    <w:rsid w:val="002B5B62"/>
    <w:rsid w:val="002B5DB6"/>
    <w:rsid w:val="002B72B0"/>
    <w:rsid w:val="002C0CC3"/>
    <w:rsid w:val="002C218E"/>
    <w:rsid w:val="002C2893"/>
    <w:rsid w:val="002C3D41"/>
    <w:rsid w:val="002C49DB"/>
    <w:rsid w:val="002C56AD"/>
    <w:rsid w:val="002C5F0A"/>
    <w:rsid w:val="002C69F1"/>
    <w:rsid w:val="002C6D1A"/>
    <w:rsid w:val="002C75CB"/>
    <w:rsid w:val="002C75CF"/>
    <w:rsid w:val="002D0440"/>
    <w:rsid w:val="002D0458"/>
    <w:rsid w:val="002D2538"/>
    <w:rsid w:val="002D3F4D"/>
    <w:rsid w:val="002D4B39"/>
    <w:rsid w:val="002D5214"/>
    <w:rsid w:val="002D5987"/>
    <w:rsid w:val="002D5C31"/>
    <w:rsid w:val="002D77E4"/>
    <w:rsid w:val="002E07F0"/>
    <w:rsid w:val="002E0D40"/>
    <w:rsid w:val="002E1120"/>
    <w:rsid w:val="002E128B"/>
    <w:rsid w:val="002E1B33"/>
    <w:rsid w:val="002E23FE"/>
    <w:rsid w:val="002E2429"/>
    <w:rsid w:val="002E3925"/>
    <w:rsid w:val="002E39E1"/>
    <w:rsid w:val="002E4F26"/>
    <w:rsid w:val="002E5D0F"/>
    <w:rsid w:val="002E6DAC"/>
    <w:rsid w:val="002E79DB"/>
    <w:rsid w:val="002E7E46"/>
    <w:rsid w:val="002E7F9E"/>
    <w:rsid w:val="002F0F86"/>
    <w:rsid w:val="002F1245"/>
    <w:rsid w:val="002F5DA4"/>
    <w:rsid w:val="002F6BBF"/>
    <w:rsid w:val="002F7F66"/>
    <w:rsid w:val="0030129C"/>
    <w:rsid w:val="00303A3D"/>
    <w:rsid w:val="00304E58"/>
    <w:rsid w:val="0030627B"/>
    <w:rsid w:val="003117E9"/>
    <w:rsid w:val="00312B0F"/>
    <w:rsid w:val="00312EB6"/>
    <w:rsid w:val="003140DE"/>
    <w:rsid w:val="00314AF0"/>
    <w:rsid w:val="00315D83"/>
    <w:rsid w:val="00316D63"/>
    <w:rsid w:val="00317DD6"/>
    <w:rsid w:val="00322B2C"/>
    <w:rsid w:val="0032350A"/>
    <w:rsid w:val="00324C5C"/>
    <w:rsid w:val="003251CC"/>
    <w:rsid w:val="00325F8B"/>
    <w:rsid w:val="00327E0C"/>
    <w:rsid w:val="0033050F"/>
    <w:rsid w:val="003317D1"/>
    <w:rsid w:val="0033397F"/>
    <w:rsid w:val="00333B1C"/>
    <w:rsid w:val="00333CF8"/>
    <w:rsid w:val="003353BB"/>
    <w:rsid w:val="0033618D"/>
    <w:rsid w:val="0033680B"/>
    <w:rsid w:val="00336921"/>
    <w:rsid w:val="00336AEA"/>
    <w:rsid w:val="0033761B"/>
    <w:rsid w:val="00337B09"/>
    <w:rsid w:val="00337DC8"/>
    <w:rsid w:val="00340F9A"/>
    <w:rsid w:val="00341D47"/>
    <w:rsid w:val="00345615"/>
    <w:rsid w:val="003457C6"/>
    <w:rsid w:val="0034624C"/>
    <w:rsid w:val="00350027"/>
    <w:rsid w:val="00350F03"/>
    <w:rsid w:val="00351CB2"/>
    <w:rsid w:val="00353AE8"/>
    <w:rsid w:val="00353D16"/>
    <w:rsid w:val="00353F49"/>
    <w:rsid w:val="003548E2"/>
    <w:rsid w:val="0035752C"/>
    <w:rsid w:val="00361DBF"/>
    <w:rsid w:val="003634C2"/>
    <w:rsid w:val="00363752"/>
    <w:rsid w:val="003659BD"/>
    <w:rsid w:val="00366435"/>
    <w:rsid w:val="00367F23"/>
    <w:rsid w:val="00371398"/>
    <w:rsid w:val="00371663"/>
    <w:rsid w:val="00371C8E"/>
    <w:rsid w:val="00373D17"/>
    <w:rsid w:val="0037483D"/>
    <w:rsid w:val="00374930"/>
    <w:rsid w:val="00374D25"/>
    <w:rsid w:val="00375A67"/>
    <w:rsid w:val="00375FB1"/>
    <w:rsid w:val="0037654D"/>
    <w:rsid w:val="003875B7"/>
    <w:rsid w:val="00390817"/>
    <w:rsid w:val="0039110D"/>
    <w:rsid w:val="00391AD2"/>
    <w:rsid w:val="003929BC"/>
    <w:rsid w:val="00393064"/>
    <w:rsid w:val="00394595"/>
    <w:rsid w:val="003951DA"/>
    <w:rsid w:val="0039587D"/>
    <w:rsid w:val="003959BB"/>
    <w:rsid w:val="00397528"/>
    <w:rsid w:val="0039779A"/>
    <w:rsid w:val="003A17FA"/>
    <w:rsid w:val="003A29AF"/>
    <w:rsid w:val="003A2E6B"/>
    <w:rsid w:val="003A34A7"/>
    <w:rsid w:val="003A3860"/>
    <w:rsid w:val="003A3F3D"/>
    <w:rsid w:val="003A52E1"/>
    <w:rsid w:val="003A5B66"/>
    <w:rsid w:val="003A5D86"/>
    <w:rsid w:val="003B0034"/>
    <w:rsid w:val="003B11D7"/>
    <w:rsid w:val="003B11FA"/>
    <w:rsid w:val="003B15DE"/>
    <w:rsid w:val="003B2CEE"/>
    <w:rsid w:val="003B2E94"/>
    <w:rsid w:val="003B757D"/>
    <w:rsid w:val="003B7BBF"/>
    <w:rsid w:val="003C2BD8"/>
    <w:rsid w:val="003C5D95"/>
    <w:rsid w:val="003D00EE"/>
    <w:rsid w:val="003D1E2D"/>
    <w:rsid w:val="003D246C"/>
    <w:rsid w:val="003D4235"/>
    <w:rsid w:val="003D45B8"/>
    <w:rsid w:val="003D4A87"/>
    <w:rsid w:val="003D51C6"/>
    <w:rsid w:val="003D51CC"/>
    <w:rsid w:val="003D5532"/>
    <w:rsid w:val="003D6E7A"/>
    <w:rsid w:val="003E10BC"/>
    <w:rsid w:val="003E1B87"/>
    <w:rsid w:val="003E2022"/>
    <w:rsid w:val="003E2569"/>
    <w:rsid w:val="003E3D0B"/>
    <w:rsid w:val="003E4A60"/>
    <w:rsid w:val="003E5262"/>
    <w:rsid w:val="003E5DFE"/>
    <w:rsid w:val="003E5E39"/>
    <w:rsid w:val="003E6CF1"/>
    <w:rsid w:val="003E7E25"/>
    <w:rsid w:val="003F0CC7"/>
    <w:rsid w:val="003F1CA4"/>
    <w:rsid w:val="003F2609"/>
    <w:rsid w:val="003F33CE"/>
    <w:rsid w:val="003F3C3F"/>
    <w:rsid w:val="003F4385"/>
    <w:rsid w:val="003F4BAA"/>
    <w:rsid w:val="003F598E"/>
    <w:rsid w:val="003F59AC"/>
    <w:rsid w:val="003F6040"/>
    <w:rsid w:val="003F61AF"/>
    <w:rsid w:val="003F711B"/>
    <w:rsid w:val="003F7F34"/>
    <w:rsid w:val="004002DC"/>
    <w:rsid w:val="00404A2C"/>
    <w:rsid w:val="004072A7"/>
    <w:rsid w:val="0041045A"/>
    <w:rsid w:val="00411F5C"/>
    <w:rsid w:val="00415232"/>
    <w:rsid w:val="00415786"/>
    <w:rsid w:val="00420D6B"/>
    <w:rsid w:val="004224C2"/>
    <w:rsid w:val="00425CB0"/>
    <w:rsid w:val="00426036"/>
    <w:rsid w:val="00426862"/>
    <w:rsid w:val="00430A79"/>
    <w:rsid w:val="00431E2B"/>
    <w:rsid w:val="00433529"/>
    <w:rsid w:val="00435AC4"/>
    <w:rsid w:val="004367C9"/>
    <w:rsid w:val="00440AFF"/>
    <w:rsid w:val="00442CE8"/>
    <w:rsid w:val="00443735"/>
    <w:rsid w:val="00443983"/>
    <w:rsid w:val="00444A73"/>
    <w:rsid w:val="00447217"/>
    <w:rsid w:val="0044757B"/>
    <w:rsid w:val="0045049C"/>
    <w:rsid w:val="00451410"/>
    <w:rsid w:val="004525D4"/>
    <w:rsid w:val="004530E6"/>
    <w:rsid w:val="00453820"/>
    <w:rsid w:val="00454085"/>
    <w:rsid w:val="0045438E"/>
    <w:rsid w:val="00455677"/>
    <w:rsid w:val="00456087"/>
    <w:rsid w:val="00456C4F"/>
    <w:rsid w:val="00457751"/>
    <w:rsid w:val="004602A0"/>
    <w:rsid w:val="004604C5"/>
    <w:rsid w:val="004607B6"/>
    <w:rsid w:val="00460DEF"/>
    <w:rsid w:val="00461C34"/>
    <w:rsid w:val="00462812"/>
    <w:rsid w:val="00462816"/>
    <w:rsid w:val="00463112"/>
    <w:rsid w:val="004658CA"/>
    <w:rsid w:val="00465D35"/>
    <w:rsid w:val="00465FC5"/>
    <w:rsid w:val="00466227"/>
    <w:rsid w:val="004700D4"/>
    <w:rsid w:val="004709F3"/>
    <w:rsid w:val="00471009"/>
    <w:rsid w:val="00471827"/>
    <w:rsid w:val="00472814"/>
    <w:rsid w:val="00475311"/>
    <w:rsid w:val="004756D2"/>
    <w:rsid w:val="00475F79"/>
    <w:rsid w:val="00476C7C"/>
    <w:rsid w:val="00480965"/>
    <w:rsid w:val="004815EC"/>
    <w:rsid w:val="004825D8"/>
    <w:rsid w:val="00483223"/>
    <w:rsid w:val="00483A83"/>
    <w:rsid w:val="00483E2D"/>
    <w:rsid w:val="00484E86"/>
    <w:rsid w:val="00485761"/>
    <w:rsid w:val="00486330"/>
    <w:rsid w:val="0048772C"/>
    <w:rsid w:val="004915AA"/>
    <w:rsid w:val="004918ED"/>
    <w:rsid w:val="00491F62"/>
    <w:rsid w:val="004923F2"/>
    <w:rsid w:val="00494004"/>
    <w:rsid w:val="00496285"/>
    <w:rsid w:val="004971C8"/>
    <w:rsid w:val="00497C43"/>
    <w:rsid w:val="004A03A3"/>
    <w:rsid w:val="004A19DA"/>
    <w:rsid w:val="004A1A50"/>
    <w:rsid w:val="004A2BCD"/>
    <w:rsid w:val="004A2C4A"/>
    <w:rsid w:val="004A37ED"/>
    <w:rsid w:val="004A4837"/>
    <w:rsid w:val="004A4AF8"/>
    <w:rsid w:val="004A4D83"/>
    <w:rsid w:val="004A51D1"/>
    <w:rsid w:val="004A5282"/>
    <w:rsid w:val="004A54F3"/>
    <w:rsid w:val="004A5E75"/>
    <w:rsid w:val="004A65AF"/>
    <w:rsid w:val="004A65BD"/>
    <w:rsid w:val="004A6F83"/>
    <w:rsid w:val="004A7ECC"/>
    <w:rsid w:val="004B0D53"/>
    <w:rsid w:val="004B4564"/>
    <w:rsid w:val="004B5E12"/>
    <w:rsid w:val="004B6F52"/>
    <w:rsid w:val="004B7DB9"/>
    <w:rsid w:val="004B7F12"/>
    <w:rsid w:val="004C03C8"/>
    <w:rsid w:val="004C1E12"/>
    <w:rsid w:val="004C2C8D"/>
    <w:rsid w:val="004C73E2"/>
    <w:rsid w:val="004D15A9"/>
    <w:rsid w:val="004D1BA4"/>
    <w:rsid w:val="004D2C58"/>
    <w:rsid w:val="004D317C"/>
    <w:rsid w:val="004D31AA"/>
    <w:rsid w:val="004D3401"/>
    <w:rsid w:val="004D4D82"/>
    <w:rsid w:val="004E1506"/>
    <w:rsid w:val="004E1E85"/>
    <w:rsid w:val="004E22B7"/>
    <w:rsid w:val="004E3405"/>
    <w:rsid w:val="004E3978"/>
    <w:rsid w:val="004E4275"/>
    <w:rsid w:val="004E4758"/>
    <w:rsid w:val="004E49EA"/>
    <w:rsid w:val="004E4EAF"/>
    <w:rsid w:val="004E5A86"/>
    <w:rsid w:val="004E63CF"/>
    <w:rsid w:val="004E75E6"/>
    <w:rsid w:val="004E7C9F"/>
    <w:rsid w:val="004E7CC3"/>
    <w:rsid w:val="004F05E0"/>
    <w:rsid w:val="004F2591"/>
    <w:rsid w:val="004F4191"/>
    <w:rsid w:val="0050218A"/>
    <w:rsid w:val="00502599"/>
    <w:rsid w:val="0050430E"/>
    <w:rsid w:val="00505378"/>
    <w:rsid w:val="005108D9"/>
    <w:rsid w:val="00510C32"/>
    <w:rsid w:val="00511C34"/>
    <w:rsid w:val="00513CDD"/>
    <w:rsid w:val="00513E88"/>
    <w:rsid w:val="0051514C"/>
    <w:rsid w:val="00515975"/>
    <w:rsid w:val="00515E83"/>
    <w:rsid w:val="00516733"/>
    <w:rsid w:val="00517256"/>
    <w:rsid w:val="005172BD"/>
    <w:rsid w:val="00517AEB"/>
    <w:rsid w:val="005216E1"/>
    <w:rsid w:val="005217E3"/>
    <w:rsid w:val="00522E4B"/>
    <w:rsid w:val="00523614"/>
    <w:rsid w:val="005242AE"/>
    <w:rsid w:val="00525456"/>
    <w:rsid w:val="00525A48"/>
    <w:rsid w:val="00525FA8"/>
    <w:rsid w:val="00526EBE"/>
    <w:rsid w:val="00526F34"/>
    <w:rsid w:val="00531350"/>
    <w:rsid w:val="00531838"/>
    <w:rsid w:val="00531EA8"/>
    <w:rsid w:val="00532BBF"/>
    <w:rsid w:val="00532C67"/>
    <w:rsid w:val="00534909"/>
    <w:rsid w:val="005364F9"/>
    <w:rsid w:val="00536562"/>
    <w:rsid w:val="0053689D"/>
    <w:rsid w:val="005403A1"/>
    <w:rsid w:val="00541217"/>
    <w:rsid w:val="005412B1"/>
    <w:rsid w:val="00541E2B"/>
    <w:rsid w:val="005454BD"/>
    <w:rsid w:val="0055032A"/>
    <w:rsid w:val="005504B8"/>
    <w:rsid w:val="00550686"/>
    <w:rsid w:val="00551D4B"/>
    <w:rsid w:val="0055275D"/>
    <w:rsid w:val="005528F2"/>
    <w:rsid w:val="00553984"/>
    <w:rsid w:val="00554FA6"/>
    <w:rsid w:val="00555B68"/>
    <w:rsid w:val="00556EAF"/>
    <w:rsid w:val="00557281"/>
    <w:rsid w:val="005635BA"/>
    <w:rsid w:val="00566434"/>
    <w:rsid w:val="005665AF"/>
    <w:rsid w:val="00567E7A"/>
    <w:rsid w:val="00567F6E"/>
    <w:rsid w:val="00571881"/>
    <w:rsid w:val="00572A88"/>
    <w:rsid w:val="0057304C"/>
    <w:rsid w:val="005733E5"/>
    <w:rsid w:val="00573F18"/>
    <w:rsid w:val="005745CB"/>
    <w:rsid w:val="00575729"/>
    <w:rsid w:val="00576290"/>
    <w:rsid w:val="0057683F"/>
    <w:rsid w:val="0057781F"/>
    <w:rsid w:val="00580A30"/>
    <w:rsid w:val="00583648"/>
    <w:rsid w:val="00583815"/>
    <w:rsid w:val="00583B21"/>
    <w:rsid w:val="00584569"/>
    <w:rsid w:val="005867AF"/>
    <w:rsid w:val="00586F6B"/>
    <w:rsid w:val="00587490"/>
    <w:rsid w:val="00587567"/>
    <w:rsid w:val="00590098"/>
    <w:rsid w:val="00593CA6"/>
    <w:rsid w:val="005951CE"/>
    <w:rsid w:val="00596E56"/>
    <w:rsid w:val="00596FF7"/>
    <w:rsid w:val="005972EF"/>
    <w:rsid w:val="005977B4"/>
    <w:rsid w:val="005A19A9"/>
    <w:rsid w:val="005A1D61"/>
    <w:rsid w:val="005A3962"/>
    <w:rsid w:val="005B1CA9"/>
    <w:rsid w:val="005B5673"/>
    <w:rsid w:val="005B59BD"/>
    <w:rsid w:val="005B600E"/>
    <w:rsid w:val="005B6687"/>
    <w:rsid w:val="005B7F5D"/>
    <w:rsid w:val="005C0474"/>
    <w:rsid w:val="005C1985"/>
    <w:rsid w:val="005C2527"/>
    <w:rsid w:val="005C2AF9"/>
    <w:rsid w:val="005C3631"/>
    <w:rsid w:val="005C3A95"/>
    <w:rsid w:val="005C6B37"/>
    <w:rsid w:val="005C6DDE"/>
    <w:rsid w:val="005C7426"/>
    <w:rsid w:val="005C74A0"/>
    <w:rsid w:val="005D0076"/>
    <w:rsid w:val="005D1552"/>
    <w:rsid w:val="005D2E97"/>
    <w:rsid w:val="005D565E"/>
    <w:rsid w:val="005D6A44"/>
    <w:rsid w:val="005D6D17"/>
    <w:rsid w:val="005D71A0"/>
    <w:rsid w:val="005E0075"/>
    <w:rsid w:val="005E0529"/>
    <w:rsid w:val="005E067E"/>
    <w:rsid w:val="005E1FD8"/>
    <w:rsid w:val="005E33EC"/>
    <w:rsid w:val="005E3CD8"/>
    <w:rsid w:val="005E448E"/>
    <w:rsid w:val="005E5C54"/>
    <w:rsid w:val="005E6E83"/>
    <w:rsid w:val="005E7323"/>
    <w:rsid w:val="005E76FF"/>
    <w:rsid w:val="005F00EB"/>
    <w:rsid w:val="005F0582"/>
    <w:rsid w:val="005F2BCC"/>
    <w:rsid w:val="005F5795"/>
    <w:rsid w:val="005F7317"/>
    <w:rsid w:val="005F7397"/>
    <w:rsid w:val="005F75D9"/>
    <w:rsid w:val="005F7951"/>
    <w:rsid w:val="00600933"/>
    <w:rsid w:val="0060111F"/>
    <w:rsid w:val="0060140E"/>
    <w:rsid w:val="006022A2"/>
    <w:rsid w:val="0060338A"/>
    <w:rsid w:val="006043F5"/>
    <w:rsid w:val="0060453A"/>
    <w:rsid w:val="006059F6"/>
    <w:rsid w:val="00606204"/>
    <w:rsid w:val="00607E1D"/>
    <w:rsid w:val="00610599"/>
    <w:rsid w:val="00612537"/>
    <w:rsid w:val="006140A5"/>
    <w:rsid w:val="006154A8"/>
    <w:rsid w:val="00615C24"/>
    <w:rsid w:val="006161FC"/>
    <w:rsid w:val="00620DD6"/>
    <w:rsid w:val="006243C8"/>
    <w:rsid w:val="006250C2"/>
    <w:rsid w:val="00625A42"/>
    <w:rsid w:val="00625AF3"/>
    <w:rsid w:val="00625B59"/>
    <w:rsid w:val="0062737F"/>
    <w:rsid w:val="00631A7F"/>
    <w:rsid w:val="006341EC"/>
    <w:rsid w:val="00634846"/>
    <w:rsid w:val="00636C38"/>
    <w:rsid w:val="00636EBA"/>
    <w:rsid w:val="006403A9"/>
    <w:rsid w:val="00640E55"/>
    <w:rsid w:val="00641969"/>
    <w:rsid w:val="006425B5"/>
    <w:rsid w:val="00642A7A"/>
    <w:rsid w:val="00643685"/>
    <w:rsid w:val="00644516"/>
    <w:rsid w:val="00645593"/>
    <w:rsid w:val="00651A85"/>
    <w:rsid w:val="00651DAA"/>
    <w:rsid w:val="00652151"/>
    <w:rsid w:val="006522F2"/>
    <w:rsid w:val="00652A7E"/>
    <w:rsid w:val="00652BE7"/>
    <w:rsid w:val="00652D9F"/>
    <w:rsid w:val="0065355D"/>
    <w:rsid w:val="00654FA8"/>
    <w:rsid w:val="00654FC9"/>
    <w:rsid w:val="00655B9D"/>
    <w:rsid w:val="00657498"/>
    <w:rsid w:val="00657FC1"/>
    <w:rsid w:val="00660EB7"/>
    <w:rsid w:val="00662D6A"/>
    <w:rsid w:val="00662FAB"/>
    <w:rsid w:val="0066389D"/>
    <w:rsid w:val="00663977"/>
    <w:rsid w:val="006645E8"/>
    <w:rsid w:val="00665840"/>
    <w:rsid w:val="00665ADC"/>
    <w:rsid w:val="00670384"/>
    <w:rsid w:val="00670AE5"/>
    <w:rsid w:val="00670AF9"/>
    <w:rsid w:val="00670BC7"/>
    <w:rsid w:val="006717E4"/>
    <w:rsid w:val="006719B2"/>
    <w:rsid w:val="00672A15"/>
    <w:rsid w:val="00673554"/>
    <w:rsid w:val="00675709"/>
    <w:rsid w:val="00675C25"/>
    <w:rsid w:val="006762FB"/>
    <w:rsid w:val="00681237"/>
    <w:rsid w:val="00681539"/>
    <w:rsid w:val="00681AE7"/>
    <w:rsid w:val="00681F9E"/>
    <w:rsid w:val="00682564"/>
    <w:rsid w:val="006825C9"/>
    <w:rsid w:val="00683452"/>
    <w:rsid w:val="00683591"/>
    <w:rsid w:val="00683F3B"/>
    <w:rsid w:val="00685516"/>
    <w:rsid w:val="006855EB"/>
    <w:rsid w:val="006873C4"/>
    <w:rsid w:val="0069052C"/>
    <w:rsid w:val="00695AB6"/>
    <w:rsid w:val="006A132B"/>
    <w:rsid w:val="006A18CC"/>
    <w:rsid w:val="006A27D8"/>
    <w:rsid w:val="006A280D"/>
    <w:rsid w:val="006A2B65"/>
    <w:rsid w:val="006A33D1"/>
    <w:rsid w:val="006A39C3"/>
    <w:rsid w:val="006B094B"/>
    <w:rsid w:val="006B11AE"/>
    <w:rsid w:val="006B1685"/>
    <w:rsid w:val="006B2782"/>
    <w:rsid w:val="006B3B6B"/>
    <w:rsid w:val="006B64DB"/>
    <w:rsid w:val="006B726C"/>
    <w:rsid w:val="006B73ED"/>
    <w:rsid w:val="006B7468"/>
    <w:rsid w:val="006C29FA"/>
    <w:rsid w:val="006C2BED"/>
    <w:rsid w:val="006C325D"/>
    <w:rsid w:val="006C6006"/>
    <w:rsid w:val="006C6D61"/>
    <w:rsid w:val="006C75E8"/>
    <w:rsid w:val="006C79AE"/>
    <w:rsid w:val="006C7B35"/>
    <w:rsid w:val="006C7FB1"/>
    <w:rsid w:val="006D0277"/>
    <w:rsid w:val="006D0A09"/>
    <w:rsid w:val="006D1DAA"/>
    <w:rsid w:val="006D33A0"/>
    <w:rsid w:val="006D36DF"/>
    <w:rsid w:val="006D4136"/>
    <w:rsid w:val="006D46E2"/>
    <w:rsid w:val="006D4A2A"/>
    <w:rsid w:val="006D632D"/>
    <w:rsid w:val="006D7769"/>
    <w:rsid w:val="006E0296"/>
    <w:rsid w:val="006E0595"/>
    <w:rsid w:val="006E280B"/>
    <w:rsid w:val="006E2B8C"/>
    <w:rsid w:val="006E31D7"/>
    <w:rsid w:val="006E3353"/>
    <w:rsid w:val="006E44DC"/>
    <w:rsid w:val="006E4A55"/>
    <w:rsid w:val="006E6902"/>
    <w:rsid w:val="006E7037"/>
    <w:rsid w:val="006E7BBA"/>
    <w:rsid w:val="006F1630"/>
    <w:rsid w:val="006F2AA5"/>
    <w:rsid w:val="006F3C1A"/>
    <w:rsid w:val="006F3E98"/>
    <w:rsid w:val="006F402B"/>
    <w:rsid w:val="006F66A0"/>
    <w:rsid w:val="006F7098"/>
    <w:rsid w:val="006F7AF3"/>
    <w:rsid w:val="006F7CB6"/>
    <w:rsid w:val="00700BEC"/>
    <w:rsid w:val="00700CF3"/>
    <w:rsid w:val="00701CBB"/>
    <w:rsid w:val="00702463"/>
    <w:rsid w:val="0070416C"/>
    <w:rsid w:val="00704788"/>
    <w:rsid w:val="007052C4"/>
    <w:rsid w:val="00706778"/>
    <w:rsid w:val="00706BC5"/>
    <w:rsid w:val="007072C9"/>
    <w:rsid w:val="007079C0"/>
    <w:rsid w:val="00707A19"/>
    <w:rsid w:val="00707C15"/>
    <w:rsid w:val="00707C40"/>
    <w:rsid w:val="007101FB"/>
    <w:rsid w:val="00710A88"/>
    <w:rsid w:val="007114C3"/>
    <w:rsid w:val="007131F3"/>
    <w:rsid w:val="00713ABF"/>
    <w:rsid w:val="00714E18"/>
    <w:rsid w:val="00715595"/>
    <w:rsid w:val="0071655F"/>
    <w:rsid w:val="00716851"/>
    <w:rsid w:val="007201EA"/>
    <w:rsid w:val="0072089A"/>
    <w:rsid w:val="007220C2"/>
    <w:rsid w:val="0072245C"/>
    <w:rsid w:val="00722B37"/>
    <w:rsid w:val="00722FDD"/>
    <w:rsid w:val="00723C22"/>
    <w:rsid w:val="007253C5"/>
    <w:rsid w:val="007253E3"/>
    <w:rsid w:val="00726146"/>
    <w:rsid w:val="007265F8"/>
    <w:rsid w:val="00727953"/>
    <w:rsid w:val="007331E4"/>
    <w:rsid w:val="007345FE"/>
    <w:rsid w:val="00734D85"/>
    <w:rsid w:val="00735313"/>
    <w:rsid w:val="00735C5C"/>
    <w:rsid w:val="00735E82"/>
    <w:rsid w:val="00737BAF"/>
    <w:rsid w:val="00741778"/>
    <w:rsid w:val="00741A89"/>
    <w:rsid w:val="00746706"/>
    <w:rsid w:val="00746BDB"/>
    <w:rsid w:val="00752700"/>
    <w:rsid w:val="00752A19"/>
    <w:rsid w:val="00752CD9"/>
    <w:rsid w:val="0075321E"/>
    <w:rsid w:val="00753753"/>
    <w:rsid w:val="007537E8"/>
    <w:rsid w:val="00754A31"/>
    <w:rsid w:val="0075513F"/>
    <w:rsid w:val="00755D2F"/>
    <w:rsid w:val="007565A1"/>
    <w:rsid w:val="00756C15"/>
    <w:rsid w:val="0076086B"/>
    <w:rsid w:val="00764601"/>
    <w:rsid w:val="00765064"/>
    <w:rsid w:val="00765474"/>
    <w:rsid w:val="00765EF0"/>
    <w:rsid w:val="00766659"/>
    <w:rsid w:val="00766DDA"/>
    <w:rsid w:val="0076740D"/>
    <w:rsid w:val="00770567"/>
    <w:rsid w:val="00771D6E"/>
    <w:rsid w:val="007720CA"/>
    <w:rsid w:val="00772E0F"/>
    <w:rsid w:val="007730EF"/>
    <w:rsid w:val="00773F20"/>
    <w:rsid w:val="0077407F"/>
    <w:rsid w:val="00777612"/>
    <w:rsid w:val="00777FE4"/>
    <w:rsid w:val="007812C2"/>
    <w:rsid w:val="007838FF"/>
    <w:rsid w:val="007855E7"/>
    <w:rsid w:val="00785DA2"/>
    <w:rsid w:val="00786CA6"/>
    <w:rsid w:val="0078740F"/>
    <w:rsid w:val="007876C3"/>
    <w:rsid w:val="0079033D"/>
    <w:rsid w:val="00791567"/>
    <w:rsid w:val="00794397"/>
    <w:rsid w:val="0079576B"/>
    <w:rsid w:val="007960E0"/>
    <w:rsid w:val="00796D48"/>
    <w:rsid w:val="007972E2"/>
    <w:rsid w:val="0079790B"/>
    <w:rsid w:val="007A0B38"/>
    <w:rsid w:val="007A295A"/>
    <w:rsid w:val="007A2BC3"/>
    <w:rsid w:val="007A3FB4"/>
    <w:rsid w:val="007A447F"/>
    <w:rsid w:val="007A4557"/>
    <w:rsid w:val="007A4D9A"/>
    <w:rsid w:val="007A4F1D"/>
    <w:rsid w:val="007A5336"/>
    <w:rsid w:val="007A6F0F"/>
    <w:rsid w:val="007B1BA4"/>
    <w:rsid w:val="007B1EA8"/>
    <w:rsid w:val="007B2C44"/>
    <w:rsid w:val="007B3E1E"/>
    <w:rsid w:val="007B44CC"/>
    <w:rsid w:val="007B531A"/>
    <w:rsid w:val="007B674D"/>
    <w:rsid w:val="007B7384"/>
    <w:rsid w:val="007C0375"/>
    <w:rsid w:val="007C196D"/>
    <w:rsid w:val="007C28DE"/>
    <w:rsid w:val="007C2AC9"/>
    <w:rsid w:val="007C4054"/>
    <w:rsid w:val="007C6520"/>
    <w:rsid w:val="007C65A5"/>
    <w:rsid w:val="007C7FA8"/>
    <w:rsid w:val="007D2FBD"/>
    <w:rsid w:val="007D5849"/>
    <w:rsid w:val="007E0178"/>
    <w:rsid w:val="007E1346"/>
    <w:rsid w:val="007E28E4"/>
    <w:rsid w:val="007E4148"/>
    <w:rsid w:val="007E468C"/>
    <w:rsid w:val="007E65AC"/>
    <w:rsid w:val="007E6BFF"/>
    <w:rsid w:val="007E76A6"/>
    <w:rsid w:val="007E7ED8"/>
    <w:rsid w:val="007F299F"/>
    <w:rsid w:val="007F3FC3"/>
    <w:rsid w:val="007F3FD2"/>
    <w:rsid w:val="007F538C"/>
    <w:rsid w:val="007F5F95"/>
    <w:rsid w:val="007F639C"/>
    <w:rsid w:val="007F6934"/>
    <w:rsid w:val="00801D4B"/>
    <w:rsid w:val="0080371D"/>
    <w:rsid w:val="00804A50"/>
    <w:rsid w:val="0080542C"/>
    <w:rsid w:val="00805B29"/>
    <w:rsid w:val="0080708C"/>
    <w:rsid w:val="00814F63"/>
    <w:rsid w:val="008150A4"/>
    <w:rsid w:val="00815CCB"/>
    <w:rsid w:val="00817A28"/>
    <w:rsid w:val="00821EC7"/>
    <w:rsid w:val="008251AA"/>
    <w:rsid w:val="00827329"/>
    <w:rsid w:val="00827BDD"/>
    <w:rsid w:val="00827C31"/>
    <w:rsid w:val="008313DC"/>
    <w:rsid w:val="00831A11"/>
    <w:rsid w:val="00833D61"/>
    <w:rsid w:val="00834FB0"/>
    <w:rsid w:val="00836264"/>
    <w:rsid w:val="00836AEF"/>
    <w:rsid w:val="00836E08"/>
    <w:rsid w:val="00836E6C"/>
    <w:rsid w:val="0084014D"/>
    <w:rsid w:val="00844A7C"/>
    <w:rsid w:val="0084570C"/>
    <w:rsid w:val="00845C38"/>
    <w:rsid w:val="0084646A"/>
    <w:rsid w:val="00846CF9"/>
    <w:rsid w:val="00852161"/>
    <w:rsid w:val="00852591"/>
    <w:rsid w:val="0085349D"/>
    <w:rsid w:val="00853E28"/>
    <w:rsid w:val="0085463D"/>
    <w:rsid w:val="00857BE1"/>
    <w:rsid w:val="008603E8"/>
    <w:rsid w:val="00861978"/>
    <w:rsid w:val="00864276"/>
    <w:rsid w:val="0086429D"/>
    <w:rsid w:val="008649C0"/>
    <w:rsid w:val="00865297"/>
    <w:rsid w:val="008659D7"/>
    <w:rsid w:val="00865C2D"/>
    <w:rsid w:val="00865C95"/>
    <w:rsid w:val="00867251"/>
    <w:rsid w:val="00867AE0"/>
    <w:rsid w:val="00870368"/>
    <w:rsid w:val="008703A7"/>
    <w:rsid w:val="00870CE6"/>
    <w:rsid w:val="008714C8"/>
    <w:rsid w:val="00872106"/>
    <w:rsid w:val="00872401"/>
    <w:rsid w:val="008745E1"/>
    <w:rsid w:val="00874961"/>
    <w:rsid w:val="00875352"/>
    <w:rsid w:val="00876FAF"/>
    <w:rsid w:val="008772A3"/>
    <w:rsid w:val="0088127F"/>
    <w:rsid w:val="008813ED"/>
    <w:rsid w:val="008832B4"/>
    <w:rsid w:val="00884934"/>
    <w:rsid w:val="00884B72"/>
    <w:rsid w:val="00886E57"/>
    <w:rsid w:val="00887BE4"/>
    <w:rsid w:val="00887F25"/>
    <w:rsid w:val="00890361"/>
    <w:rsid w:val="00892110"/>
    <w:rsid w:val="00893FE3"/>
    <w:rsid w:val="00895884"/>
    <w:rsid w:val="00895996"/>
    <w:rsid w:val="00895B2B"/>
    <w:rsid w:val="00895F5C"/>
    <w:rsid w:val="00896D46"/>
    <w:rsid w:val="008975D4"/>
    <w:rsid w:val="008A2010"/>
    <w:rsid w:val="008A23F7"/>
    <w:rsid w:val="008A2FAE"/>
    <w:rsid w:val="008A4733"/>
    <w:rsid w:val="008B021C"/>
    <w:rsid w:val="008B2E0E"/>
    <w:rsid w:val="008B3969"/>
    <w:rsid w:val="008B50BC"/>
    <w:rsid w:val="008B5E37"/>
    <w:rsid w:val="008B6155"/>
    <w:rsid w:val="008B7EE3"/>
    <w:rsid w:val="008C0B7D"/>
    <w:rsid w:val="008C65B8"/>
    <w:rsid w:val="008C6BE8"/>
    <w:rsid w:val="008C6CEB"/>
    <w:rsid w:val="008C7481"/>
    <w:rsid w:val="008D1F2A"/>
    <w:rsid w:val="008D263F"/>
    <w:rsid w:val="008D2EF6"/>
    <w:rsid w:val="008D35B9"/>
    <w:rsid w:val="008D6266"/>
    <w:rsid w:val="008D6E93"/>
    <w:rsid w:val="008D7637"/>
    <w:rsid w:val="008E0D75"/>
    <w:rsid w:val="008E312F"/>
    <w:rsid w:val="008E3827"/>
    <w:rsid w:val="008E38F3"/>
    <w:rsid w:val="008E6258"/>
    <w:rsid w:val="008F000E"/>
    <w:rsid w:val="008F00BA"/>
    <w:rsid w:val="008F09E3"/>
    <w:rsid w:val="008F1155"/>
    <w:rsid w:val="008F153A"/>
    <w:rsid w:val="008F32A2"/>
    <w:rsid w:val="008F445B"/>
    <w:rsid w:val="008F4DE1"/>
    <w:rsid w:val="008F707C"/>
    <w:rsid w:val="008F7128"/>
    <w:rsid w:val="008F726B"/>
    <w:rsid w:val="008F764D"/>
    <w:rsid w:val="009003E1"/>
    <w:rsid w:val="00902074"/>
    <w:rsid w:val="00902334"/>
    <w:rsid w:val="0090378D"/>
    <w:rsid w:val="00905577"/>
    <w:rsid w:val="0091073A"/>
    <w:rsid w:val="00910D99"/>
    <w:rsid w:val="00911488"/>
    <w:rsid w:val="00911735"/>
    <w:rsid w:val="00911EB3"/>
    <w:rsid w:val="0091219C"/>
    <w:rsid w:val="0091306C"/>
    <w:rsid w:val="00913147"/>
    <w:rsid w:val="00914563"/>
    <w:rsid w:val="00914579"/>
    <w:rsid w:val="009148C0"/>
    <w:rsid w:val="009159B4"/>
    <w:rsid w:val="00916C0B"/>
    <w:rsid w:val="00920377"/>
    <w:rsid w:val="009207CA"/>
    <w:rsid w:val="00920B1E"/>
    <w:rsid w:val="009214C0"/>
    <w:rsid w:val="00921FE7"/>
    <w:rsid w:val="009222F3"/>
    <w:rsid w:val="00923DEB"/>
    <w:rsid w:val="00924918"/>
    <w:rsid w:val="00924F4B"/>
    <w:rsid w:val="00925A13"/>
    <w:rsid w:val="0092631A"/>
    <w:rsid w:val="00927643"/>
    <w:rsid w:val="0092797A"/>
    <w:rsid w:val="00931666"/>
    <w:rsid w:val="00931D58"/>
    <w:rsid w:val="00931EB7"/>
    <w:rsid w:val="009326E5"/>
    <w:rsid w:val="00933DBE"/>
    <w:rsid w:val="009352EB"/>
    <w:rsid w:val="009359BD"/>
    <w:rsid w:val="0093669F"/>
    <w:rsid w:val="0093693D"/>
    <w:rsid w:val="0093701F"/>
    <w:rsid w:val="009378E4"/>
    <w:rsid w:val="0094100E"/>
    <w:rsid w:val="00941490"/>
    <w:rsid w:val="009418EB"/>
    <w:rsid w:val="00941E96"/>
    <w:rsid w:val="00943972"/>
    <w:rsid w:val="00945425"/>
    <w:rsid w:val="00946742"/>
    <w:rsid w:val="00947852"/>
    <w:rsid w:val="00947EE8"/>
    <w:rsid w:val="009545E3"/>
    <w:rsid w:val="00954CD0"/>
    <w:rsid w:val="00957DA2"/>
    <w:rsid w:val="00960B54"/>
    <w:rsid w:val="00961BFB"/>
    <w:rsid w:val="00963044"/>
    <w:rsid w:val="0096309B"/>
    <w:rsid w:val="00963A44"/>
    <w:rsid w:val="00964C97"/>
    <w:rsid w:val="0096528A"/>
    <w:rsid w:val="00965668"/>
    <w:rsid w:val="00965C27"/>
    <w:rsid w:val="00965FFF"/>
    <w:rsid w:val="0096732F"/>
    <w:rsid w:val="00967BA0"/>
    <w:rsid w:val="00970CAC"/>
    <w:rsid w:val="009720EF"/>
    <w:rsid w:val="009744D1"/>
    <w:rsid w:val="00974A61"/>
    <w:rsid w:val="00974D58"/>
    <w:rsid w:val="00975C34"/>
    <w:rsid w:val="0097622F"/>
    <w:rsid w:val="00977944"/>
    <w:rsid w:val="0098075C"/>
    <w:rsid w:val="009819F1"/>
    <w:rsid w:val="00981E5C"/>
    <w:rsid w:val="009822F6"/>
    <w:rsid w:val="0098239E"/>
    <w:rsid w:val="009826F5"/>
    <w:rsid w:val="00984098"/>
    <w:rsid w:val="00987A6B"/>
    <w:rsid w:val="00992F19"/>
    <w:rsid w:val="00993696"/>
    <w:rsid w:val="00993D0E"/>
    <w:rsid w:val="00995D3D"/>
    <w:rsid w:val="00995DE8"/>
    <w:rsid w:val="00996135"/>
    <w:rsid w:val="009964AC"/>
    <w:rsid w:val="00997F3B"/>
    <w:rsid w:val="009A01F2"/>
    <w:rsid w:val="009A0C96"/>
    <w:rsid w:val="009A118B"/>
    <w:rsid w:val="009A1734"/>
    <w:rsid w:val="009A3379"/>
    <w:rsid w:val="009A3E62"/>
    <w:rsid w:val="009A515F"/>
    <w:rsid w:val="009A5DDF"/>
    <w:rsid w:val="009A6C93"/>
    <w:rsid w:val="009B05D2"/>
    <w:rsid w:val="009B23D7"/>
    <w:rsid w:val="009B3190"/>
    <w:rsid w:val="009B4F12"/>
    <w:rsid w:val="009B5E45"/>
    <w:rsid w:val="009B665A"/>
    <w:rsid w:val="009C0002"/>
    <w:rsid w:val="009C1628"/>
    <w:rsid w:val="009C18B5"/>
    <w:rsid w:val="009C2881"/>
    <w:rsid w:val="009C3260"/>
    <w:rsid w:val="009C5074"/>
    <w:rsid w:val="009C5798"/>
    <w:rsid w:val="009C6108"/>
    <w:rsid w:val="009C7104"/>
    <w:rsid w:val="009D0A3A"/>
    <w:rsid w:val="009D0D51"/>
    <w:rsid w:val="009D5689"/>
    <w:rsid w:val="009E0DE9"/>
    <w:rsid w:val="009E0E48"/>
    <w:rsid w:val="009E2D07"/>
    <w:rsid w:val="009E3FB3"/>
    <w:rsid w:val="009E5C23"/>
    <w:rsid w:val="009E6275"/>
    <w:rsid w:val="009F0C49"/>
    <w:rsid w:val="009F1965"/>
    <w:rsid w:val="009F2657"/>
    <w:rsid w:val="009F4C38"/>
    <w:rsid w:val="009F5310"/>
    <w:rsid w:val="009F5DDE"/>
    <w:rsid w:val="009F65E0"/>
    <w:rsid w:val="009F7EE5"/>
    <w:rsid w:val="00A0197F"/>
    <w:rsid w:val="00A02DA1"/>
    <w:rsid w:val="00A0634B"/>
    <w:rsid w:val="00A114D3"/>
    <w:rsid w:val="00A14075"/>
    <w:rsid w:val="00A1530D"/>
    <w:rsid w:val="00A1672F"/>
    <w:rsid w:val="00A17EE2"/>
    <w:rsid w:val="00A208A8"/>
    <w:rsid w:val="00A21A89"/>
    <w:rsid w:val="00A226C0"/>
    <w:rsid w:val="00A23CCD"/>
    <w:rsid w:val="00A24F25"/>
    <w:rsid w:val="00A26478"/>
    <w:rsid w:val="00A271D7"/>
    <w:rsid w:val="00A27554"/>
    <w:rsid w:val="00A31423"/>
    <w:rsid w:val="00A323F3"/>
    <w:rsid w:val="00A33108"/>
    <w:rsid w:val="00A33BF9"/>
    <w:rsid w:val="00A33D76"/>
    <w:rsid w:val="00A34251"/>
    <w:rsid w:val="00A343BD"/>
    <w:rsid w:val="00A3690E"/>
    <w:rsid w:val="00A3750D"/>
    <w:rsid w:val="00A37AEC"/>
    <w:rsid w:val="00A418D3"/>
    <w:rsid w:val="00A42150"/>
    <w:rsid w:val="00A42DD2"/>
    <w:rsid w:val="00A4349C"/>
    <w:rsid w:val="00A44058"/>
    <w:rsid w:val="00A444A8"/>
    <w:rsid w:val="00A4473C"/>
    <w:rsid w:val="00A45444"/>
    <w:rsid w:val="00A46ED0"/>
    <w:rsid w:val="00A47100"/>
    <w:rsid w:val="00A51B90"/>
    <w:rsid w:val="00A541F4"/>
    <w:rsid w:val="00A54DEB"/>
    <w:rsid w:val="00A55456"/>
    <w:rsid w:val="00A55FB4"/>
    <w:rsid w:val="00A6187E"/>
    <w:rsid w:val="00A632C2"/>
    <w:rsid w:val="00A6557B"/>
    <w:rsid w:val="00A66626"/>
    <w:rsid w:val="00A6681F"/>
    <w:rsid w:val="00A7193D"/>
    <w:rsid w:val="00A73A25"/>
    <w:rsid w:val="00A74B85"/>
    <w:rsid w:val="00A75034"/>
    <w:rsid w:val="00A750FB"/>
    <w:rsid w:val="00A757AD"/>
    <w:rsid w:val="00A75B30"/>
    <w:rsid w:val="00A75BF0"/>
    <w:rsid w:val="00A75CA7"/>
    <w:rsid w:val="00A760C9"/>
    <w:rsid w:val="00A7653A"/>
    <w:rsid w:val="00A7667E"/>
    <w:rsid w:val="00A770FA"/>
    <w:rsid w:val="00A8072C"/>
    <w:rsid w:val="00A807A8"/>
    <w:rsid w:val="00A80CE4"/>
    <w:rsid w:val="00A811C9"/>
    <w:rsid w:val="00A842EE"/>
    <w:rsid w:val="00A86E3F"/>
    <w:rsid w:val="00A86F8C"/>
    <w:rsid w:val="00A87B15"/>
    <w:rsid w:val="00A90A78"/>
    <w:rsid w:val="00A92B97"/>
    <w:rsid w:val="00A92C89"/>
    <w:rsid w:val="00A9457C"/>
    <w:rsid w:val="00A945E2"/>
    <w:rsid w:val="00AA00B2"/>
    <w:rsid w:val="00AA057B"/>
    <w:rsid w:val="00AA0E09"/>
    <w:rsid w:val="00AA14B1"/>
    <w:rsid w:val="00AA2091"/>
    <w:rsid w:val="00AA3276"/>
    <w:rsid w:val="00AA3CEA"/>
    <w:rsid w:val="00AA3DB9"/>
    <w:rsid w:val="00AA46FC"/>
    <w:rsid w:val="00AA4EDF"/>
    <w:rsid w:val="00AA66FB"/>
    <w:rsid w:val="00AA6D07"/>
    <w:rsid w:val="00AB018A"/>
    <w:rsid w:val="00AB0EA6"/>
    <w:rsid w:val="00AB0F9C"/>
    <w:rsid w:val="00AB1CAC"/>
    <w:rsid w:val="00AB2181"/>
    <w:rsid w:val="00AB2995"/>
    <w:rsid w:val="00AB5218"/>
    <w:rsid w:val="00AB6038"/>
    <w:rsid w:val="00AB6AC1"/>
    <w:rsid w:val="00AB73CD"/>
    <w:rsid w:val="00AB7D9C"/>
    <w:rsid w:val="00AC1277"/>
    <w:rsid w:val="00AC2230"/>
    <w:rsid w:val="00AC2B20"/>
    <w:rsid w:val="00AC4334"/>
    <w:rsid w:val="00AC489D"/>
    <w:rsid w:val="00AC4BC4"/>
    <w:rsid w:val="00AC6609"/>
    <w:rsid w:val="00AC70F2"/>
    <w:rsid w:val="00AC7C11"/>
    <w:rsid w:val="00AD1560"/>
    <w:rsid w:val="00AD18CF"/>
    <w:rsid w:val="00AD210E"/>
    <w:rsid w:val="00AD31DC"/>
    <w:rsid w:val="00AD3506"/>
    <w:rsid w:val="00AD673C"/>
    <w:rsid w:val="00AD6AD5"/>
    <w:rsid w:val="00AD6E78"/>
    <w:rsid w:val="00AD78D0"/>
    <w:rsid w:val="00AE20F2"/>
    <w:rsid w:val="00AE2E0A"/>
    <w:rsid w:val="00AE31B7"/>
    <w:rsid w:val="00AE70C4"/>
    <w:rsid w:val="00AE756D"/>
    <w:rsid w:val="00AE7B38"/>
    <w:rsid w:val="00AE7EF9"/>
    <w:rsid w:val="00AF05A6"/>
    <w:rsid w:val="00AF28DA"/>
    <w:rsid w:val="00AF3B55"/>
    <w:rsid w:val="00AF45E9"/>
    <w:rsid w:val="00AF48C9"/>
    <w:rsid w:val="00AF5314"/>
    <w:rsid w:val="00AF791D"/>
    <w:rsid w:val="00AF7943"/>
    <w:rsid w:val="00AF7CF7"/>
    <w:rsid w:val="00B0178E"/>
    <w:rsid w:val="00B02133"/>
    <w:rsid w:val="00B02826"/>
    <w:rsid w:val="00B0530D"/>
    <w:rsid w:val="00B05669"/>
    <w:rsid w:val="00B06701"/>
    <w:rsid w:val="00B0726D"/>
    <w:rsid w:val="00B102A4"/>
    <w:rsid w:val="00B1419E"/>
    <w:rsid w:val="00B14629"/>
    <w:rsid w:val="00B14E7C"/>
    <w:rsid w:val="00B159FD"/>
    <w:rsid w:val="00B15D79"/>
    <w:rsid w:val="00B1633C"/>
    <w:rsid w:val="00B17B2F"/>
    <w:rsid w:val="00B17E5E"/>
    <w:rsid w:val="00B2042A"/>
    <w:rsid w:val="00B220F4"/>
    <w:rsid w:val="00B2291D"/>
    <w:rsid w:val="00B2458B"/>
    <w:rsid w:val="00B2475E"/>
    <w:rsid w:val="00B253F8"/>
    <w:rsid w:val="00B2788F"/>
    <w:rsid w:val="00B27AE2"/>
    <w:rsid w:val="00B3177D"/>
    <w:rsid w:val="00B323B2"/>
    <w:rsid w:val="00B3439E"/>
    <w:rsid w:val="00B34486"/>
    <w:rsid w:val="00B34AD3"/>
    <w:rsid w:val="00B364B7"/>
    <w:rsid w:val="00B37055"/>
    <w:rsid w:val="00B400C2"/>
    <w:rsid w:val="00B40E9B"/>
    <w:rsid w:val="00B418E8"/>
    <w:rsid w:val="00B41A1B"/>
    <w:rsid w:val="00B41ACE"/>
    <w:rsid w:val="00B420E1"/>
    <w:rsid w:val="00B4265C"/>
    <w:rsid w:val="00B42723"/>
    <w:rsid w:val="00B46405"/>
    <w:rsid w:val="00B46E41"/>
    <w:rsid w:val="00B51B6C"/>
    <w:rsid w:val="00B520AB"/>
    <w:rsid w:val="00B53E6B"/>
    <w:rsid w:val="00B5504F"/>
    <w:rsid w:val="00B56026"/>
    <w:rsid w:val="00B56050"/>
    <w:rsid w:val="00B60A22"/>
    <w:rsid w:val="00B62F8B"/>
    <w:rsid w:val="00B63A56"/>
    <w:rsid w:val="00B64035"/>
    <w:rsid w:val="00B64CE6"/>
    <w:rsid w:val="00B6757C"/>
    <w:rsid w:val="00B702FB"/>
    <w:rsid w:val="00B712AB"/>
    <w:rsid w:val="00B7285B"/>
    <w:rsid w:val="00B73F4A"/>
    <w:rsid w:val="00B75C85"/>
    <w:rsid w:val="00B76B2A"/>
    <w:rsid w:val="00B770D3"/>
    <w:rsid w:val="00B77430"/>
    <w:rsid w:val="00B7786A"/>
    <w:rsid w:val="00B807D1"/>
    <w:rsid w:val="00B811F9"/>
    <w:rsid w:val="00B83C3A"/>
    <w:rsid w:val="00B85419"/>
    <w:rsid w:val="00B8557E"/>
    <w:rsid w:val="00B8745A"/>
    <w:rsid w:val="00B879AD"/>
    <w:rsid w:val="00B87C71"/>
    <w:rsid w:val="00B87CF1"/>
    <w:rsid w:val="00B906C1"/>
    <w:rsid w:val="00B910C1"/>
    <w:rsid w:val="00B91DD9"/>
    <w:rsid w:val="00B92548"/>
    <w:rsid w:val="00B925BA"/>
    <w:rsid w:val="00B92D7F"/>
    <w:rsid w:val="00B9424F"/>
    <w:rsid w:val="00B94900"/>
    <w:rsid w:val="00B95597"/>
    <w:rsid w:val="00B96C42"/>
    <w:rsid w:val="00B96D66"/>
    <w:rsid w:val="00B97F9F"/>
    <w:rsid w:val="00BA0787"/>
    <w:rsid w:val="00BA12C6"/>
    <w:rsid w:val="00BA158E"/>
    <w:rsid w:val="00BA1AC6"/>
    <w:rsid w:val="00BA37C4"/>
    <w:rsid w:val="00BA48FC"/>
    <w:rsid w:val="00BA5431"/>
    <w:rsid w:val="00BA6822"/>
    <w:rsid w:val="00BA715D"/>
    <w:rsid w:val="00BA7540"/>
    <w:rsid w:val="00BA7D7D"/>
    <w:rsid w:val="00BB0106"/>
    <w:rsid w:val="00BB091F"/>
    <w:rsid w:val="00BB0A82"/>
    <w:rsid w:val="00BB2379"/>
    <w:rsid w:val="00BB259A"/>
    <w:rsid w:val="00BB27EB"/>
    <w:rsid w:val="00BB286E"/>
    <w:rsid w:val="00BB299B"/>
    <w:rsid w:val="00BB3222"/>
    <w:rsid w:val="00BB4F0F"/>
    <w:rsid w:val="00BB599A"/>
    <w:rsid w:val="00BB663A"/>
    <w:rsid w:val="00BB6862"/>
    <w:rsid w:val="00BB6961"/>
    <w:rsid w:val="00BB76F3"/>
    <w:rsid w:val="00BB7BA4"/>
    <w:rsid w:val="00BC0484"/>
    <w:rsid w:val="00BC06D3"/>
    <w:rsid w:val="00BC0B49"/>
    <w:rsid w:val="00BC13CF"/>
    <w:rsid w:val="00BC17A2"/>
    <w:rsid w:val="00BC20B2"/>
    <w:rsid w:val="00BC4077"/>
    <w:rsid w:val="00BC4D80"/>
    <w:rsid w:val="00BC5433"/>
    <w:rsid w:val="00BC7096"/>
    <w:rsid w:val="00BD0067"/>
    <w:rsid w:val="00BD23B2"/>
    <w:rsid w:val="00BD23FC"/>
    <w:rsid w:val="00BD2519"/>
    <w:rsid w:val="00BD29F2"/>
    <w:rsid w:val="00BD412F"/>
    <w:rsid w:val="00BD490D"/>
    <w:rsid w:val="00BD6E61"/>
    <w:rsid w:val="00BD6EC6"/>
    <w:rsid w:val="00BD7069"/>
    <w:rsid w:val="00BD73DC"/>
    <w:rsid w:val="00BE1CF5"/>
    <w:rsid w:val="00BE4311"/>
    <w:rsid w:val="00BE4A44"/>
    <w:rsid w:val="00BE7985"/>
    <w:rsid w:val="00BE7B82"/>
    <w:rsid w:val="00BE7CB3"/>
    <w:rsid w:val="00BF0179"/>
    <w:rsid w:val="00BF0FFD"/>
    <w:rsid w:val="00BF133E"/>
    <w:rsid w:val="00BF214E"/>
    <w:rsid w:val="00BF268A"/>
    <w:rsid w:val="00BF379D"/>
    <w:rsid w:val="00BF4BA1"/>
    <w:rsid w:val="00BF62F4"/>
    <w:rsid w:val="00BF71A5"/>
    <w:rsid w:val="00BF786F"/>
    <w:rsid w:val="00BF7E48"/>
    <w:rsid w:val="00C039CB"/>
    <w:rsid w:val="00C03F06"/>
    <w:rsid w:val="00C04D2E"/>
    <w:rsid w:val="00C0618C"/>
    <w:rsid w:val="00C065C9"/>
    <w:rsid w:val="00C110D4"/>
    <w:rsid w:val="00C131A7"/>
    <w:rsid w:val="00C13576"/>
    <w:rsid w:val="00C13AA3"/>
    <w:rsid w:val="00C14EA4"/>
    <w:rsid w:val="00C169AF"/>
    <w:rsid w:val="00C172C5"/>
    <w:rsid w:val="00C174EA"/>
    <w:rsid w:val="00C175E1"/>
    <w:rsid w:val="00C1773E"/>
    <w:rsid w:val="00C20304"/>
    <w:rsid w:val="00C21888"/>
    <w:rsid w:val="00C2333B"/>
    <w:rsid w:val="00C2430F"/>
    <w:rsid w:val="00C2452A"/>
    <w:rsid w:val="00C24D72"/>
    <w:rsid w:val="00C2516E"/>
    <w:rsid w:val="00C269A4"/>
    <w:rsid w:val="00C26DD4"/>
    <w:rsid w:val="00C27AEA"/>
    <w:rsid w:val="00C32303"/>
    <w:rsid w:val="00C33017"/>
    <w:rsid w:val="00C33094"/>
    <w:rsid w:val="00C33E38"/>
    <w:rsid w:val="00C34C2C"/>
    <w:rsid w:val="00C3538A"/>
    <w:rsid w:val="00C35C4B"/>
    <w:rsid w:val="00C36935"/>
    <w:rsid w:val="00C37859"/>
    <w:rsid w:val="00C37CC9"/>
    <w:rsid w:val="00C416B4"/>
    <w:rsid w:val="00C4179D"/>
    <w:rsid w:val="00C417D9"/>
    <w:rsid w:val="00C42ADF"/>
    <w:rsid w:val="00C44C2A"/>
    <w:rsid w:val="00C46968"/>
    <w:rsid w:val="00C469A7"/>
    <w:rsid w:val="00C47B08"/>
    <w:rsid w:val="00C5037A"/>
    <w:rsid w:val="00C50487"/>
    <w:rsid w:val="00C50B74"/>
    <w:rsid w:val="00C51244"/>
    <w:rsid w:val="00C51403"/>
    <w:rsid w:val="00C51B22"/>
    <w:rsid w:val="00C5264E"/>
    <w:rsid w:val="00C5301E"/>
    <w:rsid w:val="00C540D8"/>
    <w:rsid w:val="00C553E1"/>
    <w:rsid w:val="00C55D31"/>
    <w:rsid w:val="00C56193"/>
    <w:rsid w:val="00C60F84"/>
    <w:rsid w:val="00C61B74"/>
    <w:rsid w:val="00C6278F"/>
    <w:rsid w:val="00C63023"/>
    <w:rsid w:val="00C633DC"/>
    <w:rsid w:val="00C646E4"/>
    <w:rsid w:val="00C64C6B"/>
    <w:rsid w:val="00C64D48"/>
    <w:rsid w:val="00C659E7"/>
    <w:rsid w:val="00C67753"/>
    <w:rsid w:val="00C721C4"/>
    <w:rsid w:val="00C723BA"/>
    <w:rsid w:val="00C7286D"/>
    <w:rsid w:val="00C75B89"/>
    <w:rsid w:val="00C771E8"/>
    <w:rsid w:val="00C81DC1"/>
    <w:rsid w:val="00C81DDF"/>
    <w:rsid w:val="00C82682"/>
    <w:rsid w:val="00C831CE"/>
    <w:rsid w:val="00C83FA4"/>
    <w:rsid w:val="00C854C6"/>
    <w:rsid w:val="00C8607A"/>
    <w:rsid w:val="00C86084"/>
    <w:rsid w:val="00C878AF"/>
    <w:rsid w:val="00C90730"/>
    <w:rsid w:val="00C922F6"/>
    <w:rsid w:val="00C92DA8"/>
    <w:rsid w:val="00C947D6"/>
    <w:rsid w:val="00C94F7D"/>
    <w:rsid w:val="00C9627B"/>
    <w:rsid w:val="00CA06D3"/>
    <w:rsid w:val="00CA3E4E"/>
    <w:rsid w:val="00CA3EAD"/>
    <w:rsid w:val="00CA4C0F"/>
    <w:rsid w:val="00CA6AD3"/>
    <w:rsid w:val="00CA73B7"/>
    <w:rsid w:val="00CA743B"/>
    <w:rsid w:val="00CA7D8A"/>
    <w:rsid w:val="00CB015E"/>
    <w:rsid w:val="00CB0EDF"/>
    <w:rsid w:val="00CB21CA"/>
    <w:rsid w:val="00CB371B"/>
    <w:rsid w:val="00CB3C60"/>
    <w:rsid w:val="00CB422B"/>
    <w:rsid w:val="00CB594F"/>
    <w:rsid w:val="00CB599C"/>
    <w:rsid w:val="00CB5B12"/>
    <w:rsid w:val="00CB5FE1"/>
    <w:rsid w:val="00CB6CAD"/>
    <w:rsid w:val="00CC03E7"/>
    <w:rsid w:val="00CC09A2"/>
    <w:rsid w:val="00CC22BA"/>
    <w:rsid w:val="00CC3989"/>
    <w:rsid w:val="00CC4E90"/>
    <w:rsid w:val="00CC52B9"/>
    <w:rsid w:val="00CC6F31"/>
    <w:rsid w:val="00CD0A3D"/>
    <w:rsid w:val="00CD1A77"/>
    <w:rsid w:val="00CD2004"/>
    <w:rsid w:val="00CD4A22"/>
    <w:rsid w:val="00CD4B96"/>
    <w:rsid w:val="00CD4D89"/>
    <w:rsid w:val="00CD64B2"/>
    <w:rsid w:val="00CE0F1E"/>
    <w:rsid w:val="00CE1C2A"/>
    <w:rsid w:val="00CE76B9"/>
    <w:rsid w:val="00CF0CE2"/>
    <w:rsid w:val="00CF2A4C"/>
    <w:rsid w:val="00CF3EF8"/>
    <w:rsid w:val="00CF6AD4"/>
    <w:rsid w:val="00CF6F2C"/>
    <w:rsid w:val="00CF78D4"/>
    <w:rsid w:val="00CF78D8"/>
    <w:rsid w:val="00CF7C82"/>
    <w:rsid w:val="00D001D9"/>
    <w:rsid w:val="00D03EB7"/>
    <w:rsid w:val="00D040F5"/>
    <w:rsid w:val="00D047BD"/>
    <w:rsid w:val="00D0589B"/>
    <w:rsid w:val="00D058DD"/>
    <w:rsid w:val="00D061BF"/>
    <w:rsid w:val="00D06BE3"/>
    <w:rsid w:val="00D07DFF"/>
    <w:rsid w:val="00D10C3F"/>
    <w:rsid w:val="00D115AF"/>
    <w:rsid w:val="00D12086"/>
    <w:rsid w:val="00D13144"/>
    <w:rsid w:val="00D13848"/>
    <w:rsid w:val="00D13EC7"/>
    <w:rsid w:val="00D148D9"/>
    <w:rsid w:val="00D14B46"/>
    <w:rsid w:val="00D1561E"/>
    <w:rsid w:val="00D16B32"/>
    <w:rsid w:val="00D21A48"/>
    <w:rsid w:val="00D2591E"/>
    <w:rsid w:val="00D26161"/>
    <w:rsid w:val="00D2675E"/>
    <w:rsid w:val="00D27AA9"/>
    <w:rsid w:val="00D32D9A"/>
    <w:rsid w:val="00D33B4D"/>
    <w:rsid w:val="00D35304"/>
    <w:rsid w:val="00D355A9"/>
    <w:rsid w:val="00D361C8"/>
    <w:rsid w:val="00D37903"/>
    <w:rsid w:val="00D400D7"/>
    <w:rsid w:val="00D4057C"/>
    <w:rsid w:val="00D40BB1"/>
    <w:rsid w:val="00D41509"/>
    <w:rsid w:val="00D41BED"/>
    <w:rsid w:val="00D436E0"/>
    <w:rsid w:val="00D43729"/>
    <w:rsid w:val="00D449BA"/>
    <w:rsid w:val="00D44A51"/>
    <w:rsid w:val="00D47A5E"/>
    <w:rsid w:val="00D47CFC"/>
    <w:rsid w:val="00D50BFA"/>
    <w:rsid w:val="00D5275D"/>
    <w:rsid w:val="00D53658"/>
    <w:rsid w:val="00D53C17"/>
    <w:rsid w:val="00D564FF"/>
    <w:rsid w:val="00D57C02"/>
    <w:rsid w:val="00D57C74"/>
    <w:rsid w:val="00D639FB"/>
    <w:rsid w:val="00D63AFF"/>
    <w:rsid w:val="00D66503"/>
    <w:rsid w:val="00D671A6"/>
    <w:rsid w:val="00D67B8E"/>
    <w:rsid w:val="00D7004A"/>
    <w:rsid w:val="00D71EBA"/>
    <w:rsid w:val="00D727CA"/>
    <w:rsid w:val="00D75B95"/>
    <w:rsid w:val="00D76E69"/>
    <w:rsid w:val="00D804D0"/>
    <w:rsid w:val="00D80AF9"/>
    <w:rsid w:val="00D83F57"/>
    <w:rsid w:val="00D84AA5"/>
    <w:rsid w:val="00D86283"/>
    <w:rsid w:val="00D8733E"/>
    <w:rsid w:val="00D90A04"/>
    <w:rsid w:val="00D93042"/>
    <w:rsid w:val="00D93463"/>
    <w:rsid w:val="00D9557B"/>
    <w:rsid w:val="00D95FBB"/>
    <w:rsid w:val="00D97F75"/>
    <w:rsid w:val="00D97FB5"/>
    <w:rsid w:val="00DA27A3"/>
    <w:rsid w:val="00DA37CA"/>
    <w:rsid w:val="00DA4608"/>
    <w:rsid w:val="00DA48D3"/>
    <w:rsid w:val="00DA4A82"/>
    <w:rsid w:val="00DA53E3"/>
    <w:rsid w:val="00DA58D8"/>
    <w:rsid w:val="00DB146B"/>
    <w:rsid w:val="00DB51C7"/>
    <w:rsid w:val="00DB584D"/>
    <w:rsid w:val="00DB6382"/>
    <w:rsid w:val="00DB6C53"/>
    <w:rsid w:val="00DB7EB3"/>
    <w:rsid w:val="00DC01E7"/>
    <w:rsid w:val="00DC0E1E"/>
    <w:rsid w:val="00DC3D6A"/>
    <w:rsid w:val="00DC3F26"/>
    <w:rsid w:val="00DC3FEF"/>
    <w:rsid w:val="00DC4050"/>
    <w:rsid w:val="00DC50E0"/>
    <w:rsid w:val="00DC6263"/>
    <w:rsid w:val="00DC6336"/>
    <w:rsid w:val="00DC6DD3"/>
    <w:rsid w:val="00DD0CF0"/>
    <w:rsid w:val="00DD13F5"/>
    <w:rsid w:val="00DD2B2B"/>
    <w:rsid w:val="00DD39AB"/>
    <w:rsid w:val="00DE0CE8"/>
    <w:rsid w:val="00DE2388"/>
    <w:rsid w:val="00DE342C"/>
    <w:rsid w:val="00DE3465"/>
    <w:rsid w:val="00DE34CC"/>
    <w:rsid w:val="00DE653C"/>
    <w:rsid w:val="00DE6B74"/>
    <w:rsid w:val="00DE7782"/>
    <w:rsid w:val="00DE7A5E"/>
    <w:rsid w:val="00DE7F99"/>
    <w:rsid w:val="00DF00A9"/>
    <w:rsid w:val="00DF01B0"/>
    <w:rsid w:val="00DF0330"/>
    <w:rsid w:val="00DF15F7"/>
    <w:rsid w:val="00DF165B"/>
    <w:rsid w:val="00DF7C84"/>
    <w:rsid w:val="00E04751"/>
    <w:rsid w:val="00E04BDF"/>
    <w:rsid w:val="00E04EDB"/>
    <w:rsid w:val="00E05654"/>
    <w:rsid w:val="00E05E39"/>
    <w:rsid w:val="00E07B7C"/>
    <w:rsid w:val="00E1050F"/>
    <w:rsid w:val="00E11128"/>
    <w:rsid w:val="00E11389"/>
    <w:rsid w:val="00E12904"/>
    <w:rsid w:val="00E15576"/>
    <w:rsid w:val="00E16B57"/>
    <w:rsid w:val="00E171B2"/>
    <w:rsid w:val="00E17AD6"/>
    <w:rsid w:val="00E21305"/>
    <w:rsid w:val="00E21D2A"/>
    <w:rsid w:val="00E22040"/>
    <w:rsid w:val="00E2313D"/>
    <w:rsid w:val="00E2416F"/>
    <w:rsid w:val="00E269D1"/>
    <w:rsid w:val="00E312FE"/>
    <w:rsid w:val="00E31919"/>
    <w:rsid w:val="00E31FBB"/>
    <w:rsid w:val="00E34169"/>
    <w:rsid w:val="00E341F0"/>
    <w:rsid w:val="00E35BBA"/>
    <w:rsid w:val="00E410A9"/>
    <w:rsid w:val="00E42BA1"/>
    <w:rsid w:val="00E43497"/>
    <w:rsid w:val="00E4627E"/>
    <w:rsid w:val="00E462C3"/>
    <w:rsid w:val="00E464D8"/>
    <w:rsid w:val="00E51F98"/>
    <w:rsid w:val="00E564A8"/>
    <w:rsid w:val="00E567DF"/>
    <w:rsid w:val="00E60305"/>
    <w:rsid w:val="00E60BA6"/>
    <w:rsid w:val="00E621E8"/>
    <w:rsid w:val="00E6258E"/>
    <w:rsid w:val="00E634F5"/>
    <w:rsid w:val="00E644FD"/>
    <w:rsid w:val="00E64573"/>
    <w:rsid w:val="00E64EFE"/>
    <w:rsid w:val="00E66848"/>
    <w:rsid w:val="00E67DA2"/>
    <w:rsid w:val="00E70971"/>
    <w:rsid w:val="00E712F7"/>
    <w:rsid w:val="00E71854"/>
    <w:rsid w:val="00E71A53"/>
    <w:rsid w:val="00E721E9"/>
    <w:rsid w:val="00E72805"/>
    <w:rsid w:val="00E7371F"/>
    <w:rsid w:val="00E77BFB"/>
    <w:rsid w:val="00E8201E"/>
    <w:rsid w:val="00E84321"/>
    <w:rsid w:val="00E84EE3"/>
    <w:rsid w:val="00E84F73"/>
    <w:rsid w:val="00E86459"/>
    <w:rsid w:val="00E912BF"/>
    <w:rsid w:val="00E93A8A"/>
    <w:rsid w:val="00E95946"/>
    <w:rsid w:val="00E976AF"/>
    <w:rsid w:val="00EA0F7A"/>
    <w:rsid w:val="00EA0FE5"/>
    <w:rsid w:val="00EA186B"/>
    <w:rsid w:val="00EA38F2"/>
    <w:rsid w:val="00EA3BDF"/>
    <w:rsid w:val="00EA48A6"/>
    <w:rsid w:val="00EA51EE"/>
    <w:rsid w:val="00EA54BC"/>
    <w:rsid w:val="00EA5DFA"/>
    <w:rsid w:val="00EA7FA2"/>
    <w:rsid w:val="00EB0DAB"/>
    <w:rsid w:val="00EB704F"/>
    <w:rsid w:val="00EB7D70"/>
    <w:rsid w:val="00EC0472"/>
    <w:rsid w:val="00EC04A5"/>
    <w:rsid w:val="00EC1503"/>
    <w:rsid w:val="00EC4621"/>
    <w:rsid w:val="00EC47EB"/>
    <w:rsid w:val="00EC5522"/>
    <w:rsid w:val="00EC5A47"/>
    <w:rsid w:val="00EC6443"/>
    <w:rsid w:val="00EC67A1"/>
    <w:rsid w:val="00EC6C39"/>
    <w:rsid w:val="00EC71EF"/>
    <w:rsid w:val="00ED01F8"/>
    <w:rsid w:val="00ED0878"/>
    <w:rsid w:val="00ED125A"/>
    <w:rsid w:val="00ED44D3"/>
    <w:rsid w:val="00ED5B31"/>
    <w:rsid w:val="00ED5C32"/>
    <w:rsid w:val="00ED65CD"/>
    <w:rsid w:val="00ED761C"/>
    <w:rsid w:val="00ED7F63"/>
    <w:rsid w:val="00EE3A15"/>
    <w:rsid w:val="00EE4D39"/>
    <w:rsid w:val="00EE602B"/>
    <w:rsid w:val="00EE64E3"/>
    <w:rsid w:val="00EE6667"/>
    <w:rsid w:val="00EE6697"/>
    <w:rsid w:val="00EE72C3"/>
    <w:rsid w:val="00EE73DA"/>
    <w:rsid w:val="00EF0436"/>
    <w:rsid w:val="00EF30EF"/>
    <w:rsid w:val="00EF393D"/>
    <w:rsid w:val="00EF416E"/>
    <w:rsid w:val="00EF5A55"/>
    <w:rsid w:val="00EF6B5F"/>
    <w:rsid w:val="00EF7A91"/>
    <w:rsid w:val="00F01AC1"/>
    <w:rsid w:val="00F03066"/>
    <w:rsid w:val="00F03DB1"/>
    <w:rsid w:val="00F03FA6"/>
    <w:rsid w:val="00F05D60"/>
    <w:rsid w:val="00F06101"/>
    <w:rsid w:val="00F0615A"/>
    <w:rsid w:val="00F1265E"/>
    <w:rsid w:val="00F129B7"/>
    <w:rsid w:val="00F13030"/>
    <w:rsid w:val="00F1326A"/>
    <w:rsid w:val="00F1340D"/>
    <w:rsid w:val="00F13573"/>
    <w:rsid w:val="00F1554C"/>
    <w:rsid w:val="00F16177"/>
    <w:rsid w:val="00F17C3C"/>
    <w:rsid w:val="00F21CCB"/>
    <w:rsid w:val="00F23B63"/>
    <w:rsid w:val="00F26102"/>
    <w:rsid w:val="00F26D89"/>
    <w:rsid w:val="00F312F3"/>
    <w:rsid w:val="00F31BF5"/>
    <w:rsid w:val="00F32418"/>
    <w:rsid w:val="00F329DE"/>
    <w:rsid w:val="00F32C77"/>
    <w:rsid w:val="00F33128"/>
    <w:rsid w:val="00F34481"/>
    <w:rsid w:val="00F376D9"/>
    <w:rsid w:val="00F404B6"/>
    <w:rsid w:val="00F40F74"/>
    <w:rsid w:val="00F412CA"/>
    <w:rsid w:val="00F42260"/>
    <w:rsid w:val="00F42CCF"/>
    <w:rsid w:val="00F43B1B"/>
    <w:rsid w:val="00F445C0"/>
    <w:rsid w:val="00F45269"/>
    <w:rsid w:val="00F47780"/>
    <w:rsid w:val="00F47E74"/>
    <w:rsid w:val="00F50D5F"/>
    <w:rsid w:val="00F511F0"/>
    <w:rsid w:val="00F51415"/>
    <w:rsid w:val="00F546BD"/>
    <w:rsid w:val="00F55E27"/>
    <w:rsid w:val="00F608BE"/>
    <w:rsid w:val="00F60EB7"/>
    <w:rsid w:val="00F61E36"/>
    <w:rsid w:val="00F62942"/>
    <w:rsid w:val="00F64D91"/>
    <w:rsid w:val="00F67B1D"/>
    <w:rsid w:val="00F704BF"/>
    <w:rsid w:val="00F71886"/>
    <w:rsid w:val="00F71A88"/>
    <w:rsid w:val="00F71E65"/>
    <w:rsid w:val="00F7340C"/>
    <w:rsid w:val="00F7349A"/>
    <w:rsid w:val="00F76664"/>
    <w:rsid w:val="00F77F3F"/>
    <w:rsid w:val="00F80846"/>
    <w:rsid w:val="00F80C16"/>
    <w:rsid w:val="00F80C94"/>
    <w:rsid w:val="00F82FD4"/>
    <w:rsid w:val="00F8310B"/>
    <w:rsid w:val="00F83FDF"/>
    <w:rsid w:val="00F843FD"/>
    <w:rsid w:val="00F84C1C"/>
    <w:rsid w:val="00F84F7A"/>
    <w:rsid w:val="00F85266"/>
    <w:rsid w:val="00F854DD"/>
    <w:rsid w:val="00F85D5A"/>
    <w:rsid w:val="00F86DBE"/>
    <w:rsid w:val="00F86F82"/>
    <w:rsid w:val="00F87DA0"/>
    <w:rsid w:val="00F90082"/>
    <w:rsid w:val="00F90DE5"/>
    <w:rsid w:val="00F90E68"/>
    <w:rsid w:val="00F94D20"/>
    <w:rsid w:val="00F9718B"/>
    <w:rsid w:val="00F9782E"/>
    <w:rsid w:val="00FA1279"/>
    <w:rsid w:val="00FA2A29"/>
    <w:rsid w:val="00FA50FD"/>
    <w:rsid w:val="00FA6FD1"/>
    <w:rsid w:val="00FA787F"/>
    <w:rsid w:val="00FB4C0E"/>
    <w:rsid w:val="00FB5520"/>
    <w:rsid w:val="00FB699C"/>
    <w:rsid w:val="00FB7DDF"/>
    <w:rsid w:val="00FC0373"/>
    <w:rsid w:val="00FC0718"/>
    <w:rsid w:val="00FC0D3D"/>
    <w:rsid w:val="00FC1617"/>
    <w:rsid w:val="00FC2DD0"/>
    <w:rsid w:val="00FC4D33"/>
    <w:rsid w:val="00FC4DD1"/>
    <w:rsid w:val="00FC5ED7"/>
    <w:rsid w:val="00FC610C"/>
    <w:rsid w:val="00FC6884"/>
    <w:rsid w:val="00FC7344"/>
    <w:rsid w:val="00FD2B3E"/>
    <w:rsid w:val="00FD3523"/>
    <w:rsid w:val="00FD3DEB"/>
    <w:rsid w:val="00FD5627"/>
    <w:rsid w:val="00FD6759"/>
    <w:rsid w:val="00FD6D1A"/>
    <w:rsid w:val="00FE15F2"/>
    <w:rsid w:val="00FE1692"/>
    <w:rsid w:val="00FE3204"/>
    <w:rsid w:val="00FE441A"/>
    <w:rsid w:val="00FE488C"/>
    <w:rsid w:val="00FE601A"/>
    <w:rsid w:val="00FE6389"/>
    <w:rsid w:val="00FE6E12"/>
    <w:rsid w:val="00FE7169"/>
    <w:rsid w:val="00FE792A"/>
    <w:rsid w:val="00FF1F42"/>
    <w:rsid w:val="00FF6897"/>
    <w:rsid w:val="00FF6982"/>
    <w:rsid w:val="00FF7053"/>
    <w:rsid w:val="00FF71F7"/>
    <w:rsid w:val="00FF7A20"/>
    <w:rsid w:val="01715431"/>
    <w:rsid w:val="0BD22464"/>
    <w:rsid w:val="0C5B02F3"/>
    <w:rsid w:val="0D1B7335"/>
    <w:rsid w:val="0DC25855"/>
    <w:rsid w:val="0F6F4F5A"/>
    <w:rsid w:val="0F7806ED"/>
    <w:rsid w:val="10CC55B8"/>
    <w:rsid w:val="1299751E"/>
    <w:rsid w:val="13CF23CA"/>
    <w:rsid w:val="14D25167"/>
    <w:rsid w:val="174D6D27"/>
    <w:rsid w:val="17B84989"/>
    <w:rsid w:val="1D921938"/>
    <w:rsid w:val="1DDE2DCF"/>
    <w:rsid w:val="1F890B18"/>
    <w:rsid w:val="226E2973"/>
    <w:rsid w:val="2976035F"/>
    <w:rsid w:val="2C07063A"/>
    <w:rsid w:val="2D410C84"/>
    <w:rsid w:val="2DDE6A6D"/>
    <w:rsid w:val="2E6C4895"/>
    <w:rsid w:val="2F0B32F8"/>
    <w:rsid w:val="30B579BF"/>
    <w:rsid w:val="31780083"/>
    <w:rsid w:val="344057F2"/>
    <w:rsid w:val="36483DFB"/>
    <w:rsid w:val="368C6ECC"/>
    <w:rsid w:val="39730417"/>
    <w:rsid w:val="3B5620F9"/>
    <w:rsid w:val="3ED56947"/>
    <w:rsid w:val="419158DF"/>
    <w:rsid w:val="46E22739"/>
    <w:rsid w:val="48A91760"/>
    <w:rsid w:val="4B005D50"/>
    <w:rsid w:val="4CF54820"/>
    <w:rsid w:val="4DE37A02"/>
    <w:rsid w:val="555655F3"/>
    <w:rsid w:val="580F70C9"/>
    <w:rsid w:val="58B8779D"/>
    <w:rsid w:val="59E6628D"/>
    <w:rsid w:val="5A721875"/>
    <w:rsid w:val="5C3866C7"/>
    <w:rsid w:val="5E71734B"/>
    <w:rsid w:val="5EA507C4"/>
    <w:rsid w:val="5F1B5006"/>
    <w:rsid w:val="63A24255"/>
    <w:rsid w:val="64E263CC"/>
    <w:rsid w:val="6716225F"/>
    <w:rsid w:val="67CA4DF7"/>
    <w:rsid w:val="683230C8"/>
    <w:rsid w:val="684D3A5E"/>
    <w:rsid w:val="697127CE"/>
    <w:rsid w:val="6A1F767C"/>
    <w:rsid w:val="6A5C442C"/>
    <w:rsid w:val="6AAB6191"/>
    <w:rsid w:val="6AF21F10"/>
    <w:rsid w:val="71C867F5"/>
    <w:rsid w:val="742F4960"/>
    <w:rsid w:val="74D774D1"/>
    <w:rsid w:val="776158EB"/>
    <w:rsid w:val="78300CA6"/>
    <w:rsid w:val="7C87620E"/>
    <w:rsid w:val="7D366D5F"/>
    <w:rsid w:val="7DDD4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0" w:name="Salutation"/>
    <w:lsdException w:uiPriority="0" w:name="Date"/>
    <w:lsdException w:uiPriority="99" w:name="Body Text First Indent"/>
    <w:lsdException w:uiPriority="0"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nhideWhenUsed="0" w:uiPriority="0" w:semiHidden="0" w:name="Hyperlink"/>
    <w:lsdException w:qFormat="1" w:uiPriority="0" w:name="FollowedHyperlink"/>
    <w:lsdException w:qFormat="1" w:unhideWhenUsed="0" w:uiPriority="0" w:semiHidden="0" w:name="Strong"/>
    <w:lsdException w:unhideWhenUsed="0" w:uiPriority="20" w:semiHidden="0" w:name="Emphasis"/>
    <w:lsdException w:uiPriority="99" w:name="Document Map"/>
    <w:lsdException w:uiPriority="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pPr>
    <w:rPr>
      <w:rFonts w:eastAsia="宋体" w:asciiTheme="minorHAnsi" w:hAnsiTheme="minorHAnsi" w:cstheme="minorBidi"/>
      <w:kern w:val="2"/>
      <w:sz w:val="24"/>
      <w:szCs w:val="21"/>
      <w:lang w:val="en-US" w:eastAsia="zh-CN" w:bidi="ar-SA"/>
    </w:rPr>
  </w:style>
  <w:style w:type="paragraph" w:styleId="2">
    <w:name w:val="heading 1"/>
    <w:basedOn w:val="1"/>
    <w:next w:val="1"/>
    <w:link w:val="21"/>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3">
    <w:name w:val="heading 2"/>
    <w:basedOn w:val="1"/>
    <w:next w:val="1"/>
    <w:link w:val="22"/>
    <w:unhideWhenUsed/>
    <w:qFormat/>
    <w:uiPriority w:val="9"/>
    <w:pPr>
      <w:keepNext/>
      <w:keepLines/>
      <w:numPr>
        <w:ilvl w:val="1"/>
        <w:numId w:val="1"/>
      </w:numPr>
      <w:ind w:firstLine="0" w:firstLineChars="0"/>
      <w:jc w:val="center"/>
      <w:outlineLvl w:val="1"/>
    </w:pPr>
    <w:rPr>
      <w:rFonts w:ascii="Times New Roman" w:hAnsi="Times New Roman" w:cstheme="majorBidi"/>
      <w:b/>
      <w:bCs/>
      <w:sz w:val="30"/>
      <w:szCs w:val="32"/>
    </w:rPr>
  </w:style>
  <w:style w:type="paragraph" w:styleId="4">
    <w:name w:val="heading 3"/>
    <w:basedOn w:val="1"/>
    <w:next w:val="1"/>
    <w:link w:val="24"/>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5">
    <w:name w:val="heading 4"/>
    <w:basedOn w:val="1"/>
    <w:next w:val="1"/>
    <w:link w:val="23"/>
    <w:autoRedefine/>
    <w:unhideWhenUsed/>
    <w:qFormat/>
    <w:uiPriority w:val="9"/>
    <w:pPr>
      <w:keepNext/>
      <w:keepLines/>
      <w:numPr>
        <w:ilvl w:val="3"/>
        <w:numId w:val="1"/>
      </w:numPr>
      <w:ind w:left="0" w:firstLineChars="0"/>
      <w:outlineLvl w:val="3"/>
    </w:pPr>
    <w:rPr>
      <w:rFonts w:ascii="Times New Roman" w:hAnsi="Times New Roman" w:cstheme="majorBidi"/>
      <w:bCs/>
      <w:szCs w:val="28"/>
    </w:rPr>
  </w:style>
  <w:style w:type="paragraph" w:styleId="6">
    <w:name w:val="heading 5"/>
    <w:basedOn w:val="1"/>
    <w:next w:val="1"/>
    <w:link w:val="27"/>
    <w:unhideWhenUsed/>
    <w:qFormat/>
    <w:uiPriority w:val="9"/>
    <w:pPr>
      <w:keepNext/>
      <w:keepLines/>
      <w:numPr>
        <w:ilvl w:val="4"/>
        <w:numId w:val="1"/>
      </w:numPr>
      <w:ind w:left="0" w:firstLineChars="0"/>
      <w:outlineLvl w:val="4"/>
    </w:pPr>
    <w:rPr>
      <w:rFonts w:ascii="Times New Roman" w:hAnsi="Times New Roman"/>
      <w:bCs/>
      <w:szCs w:val="28"/>
    </w:rPr>
  </w:style>
  <w:style w:type="paragraph" w:styleId="7">
    <w:name w:val="heading 6"/>
    <w:basedOn w:val="1"/>
    <w:next w:val="1"/>
    <w:link w:val="39"/>
    <w:unhideWhenUsed/>
    <w:qFormat/>
    <w:uiPriority w:val="9"/>
    <w:pPr>
      <w:keepNext/>
      <w:keepLines/>
      <w:spacing w:before="240" w:after="64" w:line="317" w:lineRule="auto"/>
      <w:outlineLvl w:val="5"/>
    </w:pPr>
    <w:rPr>
      <w:rFonts w:ascii="Arial" w:hAnsi="Arial" w:eastAsia="黑体"/>
      <w:b/>
    </w:rPr>
  </w:style>
  <w:style w:type="paragraph" w:styleId="8">
    <w:name w:val="heading 7"/>
    <w:basedOn w:val="1"/>
    <w:next w:val="1"/>
    <w:link w:val="71"/>
    <w:unhideWhenUsed/>
    <w:qFormat/>
    <w:uiPriority w:val="9"/>
    <w:pPr>
      <w:keepNext/>
      <w:keepLines/>
      <w:spacing w:before="240" w:after="64" w:line="320" w:lineRule="auto"/>
      <w:outlineLvl w:val="6"/>
    </w:pPr>
    <w:rPr>
      <w:b/>
      <w:bCs/>
      <w:szCs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
    <w:qFormat/>
    <w:uiPriority w:val="0"/>
    <w:pPr>
      <w:ind w:firstLine="420"/>
    </w:pPr>
    <w:rPr>
      <w:szCs w:val="20"/>
    </w:rPr>
  </w:style>
  <w:style w:type="paragraph" w:styleId="10">
    <w:name w:val="footer"/>
    <w:basedOn w:val="1"/>
    <w:unhideWhenUsed/>
    <w:qFormat/>
    <w:uiPriority w:val="99"/>
    <w:pPr>
      <w:tabs>
        <w:tab w:val="center" w:pos="4153"/>
        <w:tab w:val="right" w:pos="8306"/>
      </w:tabs>
      <w:snapToGrid w:val="0"/>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Title"/>
    <w:basedOn w:val="1"/>
    <w:next w:val="1"/>
    <w:link w:val="25"/>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17">
    <w:name w:val="Colorful List Accent 6"/>
    <w:basedOn w:val="1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character" w:styleId="19">
    <w:name w:val="Strong"/>
    <w:basedOn w:val="18"/>
    <w:qFormat/>
    <w:uiPriority w:val="0"/>
    <w:rPr>
      <w:b/>
    </w:rPr>
  </w:style>
  <w:style w:type="paragraph" w:customStyle="1" w:styleId="20">
    <w:name w:val="正文1(1)"/>
    <w:basedOn w:val="1"/>
    <w:link w:val="33"/>
    <w:autoRedefine/>
    <w:qFormat/>
    <w:uiPriority w:val="0"/>
    <w:pPr>
      <w:numPr>
        <w:ilvl w:val="5"/>
        <w:numId w:val="1"/>
      </w:numPr>
      <w:ind w:left="0" w:firstLine="480"/>
    </w:pPr>
    <w:rPr>
      <w:rFonts w:ascii="Times New Roman" w:hAnsi="Times New Roman"/>
    </w:rPr>
  </w:style>
  <w:style w:type="character" w:customStyle="1" w:styleId="21">
    <w:name w:val="标题 1 Char"/>
    <w:basedOn w:val="18"/>
    <w:link w:val="2"/>
    <w:qFormat/>
    <w:uiPriority w:val="9"/>
    <w:rPr>
      <w:rFonts w:ascii="Times New Roman" w:hAnsi="Times New Roman" w:eastAsia="宋体"/>
      <w:b/>
      <w:bCs/>
      <w:kern w:val="44"/>
      <w:sz w:val="32"/>
      <w:szCs w:val="44"/>
    </w:rPr>
  </w:style>
  <w:style w:type="character" w:customStyle="1" w:styleId="22">
    <w:name w:val="标题 2 Char"/>
    <w:basedOn w:val="18"/>
    <w:link w:val="3"/>
    <w:qFormat/>
    <w:uiPriority w:val="9"/>
    <w:rPr>
      <w:rFonts w:ascii="Times New Roman" w:hAnsi="Times New Roman" w:eastAsia="宋体" w:cstheme="majorBidi"/>
      <w:b/>
      <w:bCs/>
      <w:sz w:val="30"/>
      <w:szCs w:val="32"/>
    </w:rPr>
  </w:style>
  <w:style w:type="character" w:customStyle="1" w:styleId="23">
    <w:name w:val="标题 4 Char"/>
    <w:basedOn w:val="18"/>
    <w:link w:val="5"/>
    <w:qFormat/>
    <w:uiPriority w:val="9"/>
    <w:rPr>
      <w:rFonts w:ascii="Times New Roman" w:hAnsi="Times New Roman" w:eastAsia="宋体" w:cstheme="majorBidi"/>
      <w:bCs/>
      <w:sz w:val="24"/>
      <w:szCs w:val="28"/>
    </w:rPr>
  </w:style>
  <w:style w:type="character" w:customStyle="1" w:styleId="24">
    <w:name w:val="标题 3 Char"/>
    <w:basedOn w:val="18"/>
    <w:link w:val="4"/>
    <w:qFormat/>
    <w:uiPriority w:val="9"/>
    <w:rPr>
      <w:rFonts w:ascii="Times New Roman" w:hAnsi="Times New Roman" w:eastAsia="宋体"/>
      <w:b/>
      <w:bCs/>
      <w:sz w:val="28"/>
      <w:szCs w:val="32"/>
    </w:rPr>
  </w:style>
  <w:style w:type="character" w:customStyle="1" w:styleId="25">
    <w:name w:val="标题 Char"/>
    <w:basedOn w:val="18"/>
    <w:link w:val="14"/>
    <w:qFormat/>
    <w:uiPriority w:val="10"/>
    <w:rPr>
      <w:rFonts w:eastAsia="宋体" w:asciiTheme="majorHAnsi" w:hAnsiTheme="majorHAnsi" w:cstheme="majorBidi"/>
      <w:b/>
      <w:bCs/>
      <w:sz w:val="32"/>
      <w:szCs w:val="32"/>
    </w:rPr>
  </w:style>
  <w:style w:type="paragraph" w:customStyle="1" w:styleId="26">
    <w:name w:val="(表格)"/>
    <w:basedOn w:val="1"/>
    <w:link w:val="41"/>
    <w:qFormat/>
    <w:uiPriority w:val="0"/>
    <w:pPr>
      <w:numPr>
        <w:ilvl w:val="7"/>
        <w:numId w:val="1"/>
      </w:numPr>
      <w:spacing w:line="240" w:lineRule="auto"/>
      <w:ind w:firstLineChars="0"/>
      <w:jc w:val="center"/>
    </w:pPr>
    <w:rPr>
      <w:rFonts w:ascii="Times New Roman" w:hAnsi="Times New Roman" w:eastAsia="黑体"/>
    </w:rPr>
  </w:style>
  <w:style w:type="character" w:customStyle="1" w:styleId="27">
    <w:name w:val="标题 5 Char"/>
    <w:basedOn w:val="18"/>
    <w:link w:val="6"/>
    <w:qFormat/>
    <w:uiPriority w:val="9"/>
    <w:rPr>
      <w:rFonts w:ascii="Times New Roman" w:hAnsi="Times New Roman" w:eastAsia="宋体"/>
      <w:bCs/>
      <w:sz w:val="24"/>
      <w:szCs w:val="28"/>
    </w:rPr>
  </w:style>
  <w:style w:type="paragraph" w:customStyle="1" w:styleId="28">
    <w:name w:val="（图片）"/>
    <w:basedOn w:val="1"/>
    <w:next w:val="29"/>
    <w:link w:val="37"/>
    <w:autoRedefine/>
    <w:qFormat/>
    <w:uiPriority w:val="0"/>
    <w:pPr>
      <w:numPr>
        <w:ilvl w:val="8"/>
        <w:numId w:val="1"/>
      </w:numPr>
      <w:spacing w:line="240" w:lineRule="auto"/>
      <w:ind w:left="0" w:firstLineChars="0"/>
      <w:jc w:val="center"/>
    </w:pPr>
    <w:rPr>
      <w:rFonts w:eastAsia="黑体"/>
    </w:rPr>
  </w:style>
  <w:style w:type="paragraph" w:customStyle="1" w:styleId="29">
    <w:name w:val="图"/>
    <w:basedOn w:val="1"/>
    <w:link w:val="40"/>
    <w:qFormat/>
    <w:uiPriority w:val="0"/>
    <w:pPr>
      <w:pBdr>
        <w:top w:val="single" w:color="4F81BD" w:themeColor="accent1" w:sz="12" w:space="1"/>
        <w:left w:val="single" w:color="4F81BD" w:themeColor="accent1" w:sz="12" w:space="4"/>
        <w:bottom w:val="single" w:color="4F81BD" w:themeColor="accent1" w:sz="12" w:space="1"/>
        <w:right w:val="single" w:color="4F81BD" w:themeColor="accent1" w:sz="12" w:space="4"/>
      </w:pBdr>
      <w:spacing w:line="276" w:lineRule="auto"/>
      <w:ind w:firstLine="0" w:firstLineChars="0"/>
      <w:jc w:val="center"/>
    </w:pPr>
    <w:rPr>
      <w:rFonts w:ascii="Times New Roman" w:hAnsi="Times New Roman" w:eastAsia="宋体"/>
      <w:sz w:val="21"/>
    </w:rPr>
  </w:style>
  <w:style w:type="paragraph" w:customStyle="1" w:styleId="30">
    <w:name w:val="正文 1)"/>
    <w:basedOn w:val="1"/>
    <w:link w:val="34"/>
    <w:qFormat/>
    <w:uiPriority w:val="0"/>
    <w:pPr>
      <w:numPr>
        <w:ilvl w:val="6"/>
        <w:numId w:val="1"/>
      </w:numPr>
      <w:ind w:firstLine="200"/>
    </w:pPr>
  </w:style>
  <w:style w:type="paragraph" w:customStyle="1" w:styleId="31">
    <w:name w:val="表格内容居中"/>
    <w:basedOn w:val="1"/>
    <w:link w:val="32"/>
    <w:qFormat/>
    <w:uiPriority w:val="0"/>
    <w:pPr>
      <w:spacing w:line="360" w:lineRule="exact"/>
      <w:ind w:firstLine="0" w:firstLineChars="0"/>
      <w:jc w:val="center"/>
    </w:pPr>
    <w:rPr>
      <w:rFonts w:ascii="Times New Roman" w:hAnsi="Times New Roman"/>
      <w:sz w:val="21"/>
    </w:rPr>
  </w:style>
  <w:style w:type="character" w:customStyle="1" w:styleId="32">
    <w:name w:val="表格内容居中 Char"/>
    <w:basedOn w:val="18"/>
    <w:link w:val="31"/>
    <w:qFormat/>
    <w:uiPriority w:val="0"/>
    <w:rPr>
      <w:rFonts w:ascii="Times New Roman" w:hAnsi="Times New Roman" w:eastAsia="宋体"/>
    </w:rPr>
  </w:style>
  <w:style w:type="character" w:customStyle="1" w:styleId="33">
    <w:name w:val="正文1(1) Char"/>
    <w:link w:val="20"/>
    <w:qFormat/>
    <w:uiPriority w:val="0"/>
    <w:rPr>
      <w:rFonts w:ascii="Times New Roman" w:hAnsi="Times New Roman" w:eastAsia="宋体"/>
      <w:sz w:val="24"/>
    </w:rPr>
  </w:style>
  <w:style w:type="character" w:customStyle="1" w:styleId="34">
    <w:name w:val="正文 1) Char"/>
    <w:link w:val="30"/>
    <w:qFormat/>
    <w:uiPriority w:val="0"/>
    <w:rPr>
      <w:rFonts w:eastAsia="宋体"/>
      <w:sz w:val="24"/>
    </w:rPr>
  </w:style>
  <w:style w:type="paragraph" w:customStyle="1" w:styleId="35">
    <w:name w:val="表格内容左对齐1"/>
    <w:basedOn w:val="31"/>
    <w:link w:val="36"/>
    <w:qFormat/>
    <w:uiPriority w:val="0"/>
    <w:pPr>
      <w:widowControl/>
      <w:spacing w:line="240" w:lineRule="auto"/>
      <w:ind w:firstLine="420" w:firstLineChars="200"/>
      <w:jc w:val="left"/>
    </w:pPr>
    <w:rPr>
      <w:rFonts w:ascii="宋体" w:hAnsi="宋体" w:cs="宋体"/>
      <w:kern w:val="0"/>
      <w:szCs w:val="24"/>
    </w:rPr>
  </w:style>
  <w:style w:type="character" w:customStyle="1" w:styleId="36">
    <w:name w:val="表格内容左对齐1 Char"/>
    <w:basedOn w:val="32"/>
    <w:link w:val="35"/>
    <w:qFormat/>
    <w:uiPriority w:val="0"/>
    <w:rPr>
      <w:rFonts w:ascii="宋体" w:hAnsi="宋体" w:eastAsia="宋体" w:cs="宋体"/>
      <w:kern w:val="0"/>
      <w:szCs w:val="24"/>
    </w:rPr>
  </w:style>
  <w:style w:type="character" w:customStyle="1" w:styleId="37">
    <w:name w:val="（图片） Char"/>
    <w:link w:val="28"/>
    <w:qFormat/>
    <w:uiPriority w:val="0"/>
    <w:rPr>
      <w:rFonts w:eastAsia="黑体"/>
      <w:sz w:val="24"/>
    </w:rPr>
  </w:style>
  <w:style w:type="table" w:customStyle="1" w:styleId="38">
    <w:name w:val="网格型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character" w:customStyle="1" w:styleId="39">
    <w:name w:val="标题 6 Char"/>
    <w:basedOn w:val="18"/>
    <w:link w:val="7"/>
    <w:qFormat/>
    <w:uiPriority w:val="9"/>
    <w:rPr>
      <w:rFonts w:ascii="Arial" w:hAnsi="Arial" w:eastAsia="黑体"/>
      <w:b/>
      <w:sz w:val="24"/>
    </w:rPr>
  </w:style>
  <w:style w:type="character" w:customStyle="1" w:styleId="40">
    <w:name w:val="图 Char"/>
    <w:link w:val="29"/>
    <w:qFormat/>
    <w:uiPriority w:val="0"/>
    <w:rPr>
      <w:rFonts w:ascii="Times New Roman" w:hAnsi="Times New Roman" w:eastAsia="宋体"/>
    </w:rPr>
  </w:style>
  <w:style w:type="character" w:customStyle="1" w:styleId="41">
    <w:name w:val="(表格) Char"/>
    <w:link w:val="26"/>
    <w:qFormat/>
    <w:locked/>
    <w:uiPriority w:val="0"/>
    <w:rPr>
      <w:rFonts w:ascii="Times New Roman" w:hAnsi="Times New Roman" w:eastAsia="黑体"/>
      <w:sz w:val="24"/>
    </w:rPr>
  </w:style>
  <w:style w:type="table" w:customStyle="1" w:styleId="42">
    <w:name w:val="Table Normal"/>
    <w:unhideWhenUsed/>
    <w:qFormat/>
    <w:uiPriority w:val="2"/>
    <w:pPr>
      <w:widowControl w:val="0"/>
      <w:autoSpaceDE w:val="0"/>
      <w:autoSpaceDN w:val="0"/>
    </w:pPr>
    <w:rPr>
      <w:rFonts w:ascii="Calibri" w:hAnsi="Calibri" w:eastAsia="宋体" w:cs="Times New Roman"/>
      <w:kern w:val="0"/>
      <w:sz w:val="22"/>
      <w:szCs w:val="22"/>
      <w:lang w:eastAsia="en-US"/>
    </w:rPr>
    <w:tblPr>
      <w:tblCellMar>
        <w:top w:w="0" w:type="dxa"/>
        <w:left w:w="0" w:type="dxa"/>
        <w:bottom w:w="0" w:type="dxa"/>
        <w:right w:w="0" w:type="dxa"/>
      </w:tblCellMar>
    </w:tblPr>
  </w:style>
  <w:style w:type="table" w:customStyle="1" w:styleId="43">
    <w:name w:val="东塔表格13"/>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4">
    <w:name w:val="东塔表格14"/>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5">
    <w:name w:val="东塔表格15"/>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paragraph" w:customStyle="1" w:styleId="46">
    <w:name w:val="表格内容左对齐"/>
    <w:basedOn w:val="1"/>
    <w:next w:val="1"/>
    <w:link w:val="47"/>
    <w:qFormat/>
    <w:uiPriority w:val="0"/>
    <w:pPr>
      <w:spacing w:line="240" w:lineRule="auto"/>
    </w:pPr>
    <w:rPr>
      <w:sz w:val="21"/>
    </w:rPr>
  </w:style>
  <w:style w:type="character" w:customStyle="1" w:styleId="47">
    <w:name w:val="表格内容左对齐 Char"/>
    <w:basedOn w:val="18"/>
    <w:link w:val="46"/>
    <w:qFormat/>
    <w:uiPriority w:val="0"/>
    <w:rPr>
      <w:rFonts w:eastAsia="宋体"/>
    </w:rPr>
  </w:style>
  <w:style w:type="table" w:customStyle="1" w:styleId="48">
    <w:name w:val="东塔表格11"/>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9">
    <w:name w:val="东塔表格12"/>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0">
    <w:name w:val="网格型2"/>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1">
    <w:name w:val="网格型3"/>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2">
    <w:name w:val="网格型1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3">
    <w:name w:val="标书表格"/>
    <w:basedOn w:val="15"/>
    <w:qFormat/>
    <w:uiPriority w:val="99"/>
    <w:pPr>
      <w:jc w:val="center"/>
    </w:pPr>
    <w:rPr>
      <w:rFonts w:eastAsia="宋体"/>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cPr>
      <w:vAlign w:val="center"/>
    </w:tcPr>
    <w:tblStylePr w:type="firstRow">
      <w:rPr>
        <w:rFonts w:eastAsia="宋体"/>
        <w:b/>
        <w:sz w:val="21"/>
      </w:rPr>
      <w:tcPr>
        <w:shd w:val="clear" w:color="auto" w:fill="CFAE78"/>
      </w:tcPr>
    </w:tblStylePr>
  </w:style>
  <w:style w:type="table" w:customStyle="1" w:styleId="54">
    <w:name w:val="网格型4"/>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5">
    <w:name w:val="网格型5"/>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6">
    <w:name w:val="网格型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7">
    <w:name w:val="东塔表格1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8">
    <w:name w:val="东塔表格1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9">
    <w:name w:val="东塔表格18"/>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0">
    <w:name w:val="东塔表格19"/>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1">
    <w:name w:val="网格型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2">
    <w:name w:val="Plain Table 5"/>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3">
    <w:name w:val="Grid Table 1 Light"/>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4">
    <w:name w:val="Grid Table 1 Light Accent 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65">
    <w:name w:val="Grid Table 1 Light Accent 5"/>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paragraph" w:customStyle="1" w:styleId="66">
    <w:name w:val="正文1"/>
    <w:qFormat/>
    <w:uiPriority w:val="0"/>
    <w:pPr>
      <w:jc w:val="both"/>
    </w:pPr>
    <w:rPr>
      <w:rFonts w:ascii="Calibri" w:hAnsi="Calibri" w:eastAsia="宋体" w:cs="Calibri"/>
      <w:kern w:val="2"/>
      <w:sz w:val="21"/>
      <w:szCs w:val="21"/>
      <w:lang w:val="en-US" w:eastAsia="zh-CN" w:bidi="ar-SA"/>
    </w:rPr>
  </w:style>
  <w:style w:type="table" w:customStyle="1" w:styleId="67">
    <w:name w:val="无格式表格 51"/>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8">
    <w:name w:val="网格表 1 浅色1"/>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9">
    <w:name w:val="网格表 1 浅色 - 着色 1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70">
    <w:name w:val="网格表 1 浅色 - 着色 51"/>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character" w:customStyle="1" w:styleId="71">
    <w:name w:val="标题 7 Char"/>
    <w:basedOn w:val="18"/>
    <w:link w:val="8"/>
    <w:qFormat/>
    <w:uiPriority w:val="9"/>
    <w:rPr>
      <w:rFonts w:eastAsia="宋体"/>
      <w:b/>
      <w:bCs/>
      <w:sz w:val="24"/>
      <w:szCs w:val="24"/>
    </w:rPr>
  </w:style>
  <w:style w:type="table" w:customStyle="1" w:styleId="72">
    <w:name w:val="华润城万象天地表样"/>
    <w:basedOn w:val="15"/>
    <w:qFormat/>
    <w:uiPriority w:val="0"/>
    <w:rPr>
      <w:rFonts w:ascii="宋体" w:hAnsi="宋体" w:eastAsia="Malgun Gothic" w:cs="Times New Roman"/>
      <w:kern w:val="0"/>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57" w:type="dxa"/>
        <w:bottom w:w="57" w:type="dxa"/>
      </w:tblCellMar>
    </w:tblPr>
    <w:tblStylePr w:type="firstRow">
      <w:tcPr>
        <w:shd w:val="clear" w:color="000000" w:fill="C6D9F0" w:themeFill="text2" w:themeFillTint="33"/>
      </w:tcPr>
    </w:tblStylePr>
    <w:tblStylePr w:type="firstCol">
      <w:tcPr>
        <w:tcBorders>
          <w:top w:val="double" w:color="auto" w:sz="4" w:space="0"/>
          <w:left w:val="double" w:color="auto" w:sz="4" w:space="0"/>
          <w:bottom w:val="double" w:color="auto" w:sz="4" w:space="0"/>
          <w:right w:val="single" w:color="auto" w:sz="6" w:space="0"/>
          <w:insideH w:val="nil"/>
          <w:insideV w:val="nil"/>
          <w:tl2br w:val="nil"/>
          <w:tr2bl w:val="nil"/>
        </w:tcBorders>
        <w:shd w:val="clear" w:color="000000" w:fill="FBD4B4" w:themeFill="accent6" w:themeFillTint="66"/>
      </w:tcPr>
    </w:tblStylePr>
  </w:style>
  <w:style w:type="paragraph" w:customStyle="1" w:styleId="73">
    <w:name w:val="方案正文"/>
    <w:basedOn w:val="9"/>
    <w:next w:val="10"/>
    <w:autoRedefine/>
    <w:qFormat/>
    <w:uiPriority w:val="0"/>
    <w:pPr>
      <w:ind w:firstLine="480" w:firstLineChars="200"/>
      <w:jc w:val="both"/>
    </w:pPr>
    <w:rPr>
      <w:rFonts w:ascii="Times New Roman" w:hAnsi="Times New Roman" w:cs="Times New Roman"/>
      <w:bCs/>
      <w:color w:val="000000"/>
      <w:szCs w:val="24"/>
    </w:rPr>
  </w:style>
  <w:style w:type="paragraph" w:customStyle="1" w:styleId="74">
    <w:name w:val="表格内文字"/>
    <w:next w:val="1"/>
    <w:qFormat/>
    <w:uiPriority w:val="0"/>
    <w:pPr>
      <w:widowControl w:val="0"/>
      <w:spacing w:line="360" w:lineRule="auto"/>
      <w:jc w:val="center"/>
    </w:pPr>
    <w:rPr>
      <w:rFonts w:ascii="Times New Roman" w:hAnsi="Times New Roman" w:eastAsia="宋体" w:cs="Times New Roman"/>
      <w:sz w:val="24"/>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cstate="print"/>
          <a:stretch>
            <a:fillRect/>
          </a:stretch>
        </a:blipFill>
      </a:spPr>
      <a:bodyPr wrap="square" lIns="0" tIns="0" rIns="0" bIns="0" rtlCol="0"/>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344-2977-4723-B8D6-9260D59B70E4}">
  <ds:schemaRefs/>
</ds:datastoreItem>
</file>

<file path=docProps/app.xml><?xml version="1.0" encoding="utf-8"?>
<Properties xmlns="http://schemas.openxmlformats.org/officeDocument/2006/extended-properties" xmlns:vt="http://schemas.openxmlformats.org/officeDocument/2006/docPropsVTypes">
  <Template>Normal</Template>
  <Pages>5</Pages>
  <Words>2594</Words>
  <Characters>2606</Characters>
  <Lines>2217</Lines>
  <Paragraphs>624</Paragraphs>
  <TotalTime>16</TotalTime>
  <ScaleCrop>false</ScaleCrop>
  <LinksUpToDate>false</LinksUpToDate>
  <CharactersWithSpaces>2606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2024-09-12T07:18:00Z</dcterms:created>
  <dc:creator>坤</dc:creator>
  <cp:lastModifiedBy>鲤鱼之梦</cp:lastModifiedBy>
  <cp:lastPrinted>2024-09-13T09:58:00Z</cp:lastPrinted>
  <dcterms:modified xsi:type="dcterms:W3CDTF">2026-07-10T07:30:43Z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913EDA8D1EB445B19A7C18321A7D5194_13</vt:lpwstr>
  </property>
  <property fmtid="{D5CDD505-2E9C-101B-9397-08002B2CF9AE}" pid="4" name="KSOTemplateDocerSaveRecord">
    <vt:lpwstr>eyJoZGlkIjoiOTE4OTBhMTM1ZGIxMWEzOTBkY2FmZjNiMWNkNjllYmIiLCJ1c2VySWQiOiIzMjU3MjEwMzIifQ==</vt:lpwstr>
  </property>
</Properties>
</file>