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22D0AD">
      <w:pPr>
        <w:pStyle w:val="21"/>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b/>
          <w:bCs w:val="0"/>
          <w:spacing w:val="-6"/>
          <w:sz w:val="48"/>
          <w:szCs w:val="48"/>
          <w:lang w:val="en-US" w:eastAsia="zh-CN" w:bidi="ar-SA"/>
        </w:rPr>
      </w:pPr>
      <w:r>
        <w:rPr>
          <w:rFonts w:hint="eastAsia" w:ascii="宋体" w:hAnsi="宋体" w:eastAsia="宋体" w:cs="宋体"/>
          <w:b/>
          <w:bCs w:val="0"/>
          <w:spacing w:val="-6"/>
          <w:sz w:val="48"/>
          <w:szCs w:val="48"/>
          <w:lang w:val="en-US" w:eastAsia="zh-CN" w:bidi="ar-SA"/>
        </w:rPr>
        <w:t>南沙湾垃圾压缩站还建工程</w:t>
      </w:r>
    </w:p>
    <w:p w14:paraId="6157A580">
      <w:pPr>
        <w:pStyle w:val="21"/>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b/>
          <w:snapToGrid/>
          <w:spacing w:val="-6"/>
          <w:w w:val="100"/>
          <w:kern w:val="0"/>
          <w:sz w:val="48"/>
          <w:szCs w:val="48"/>
          <w:lang w:val="en-US" w:eastAsia="zh-CN"/>
        </w:rPr>
      </w:pPr>
      <w:r>
        <w:rPr>
          <w:rFonts w:hint="eastAsia" w:ascii="宋体" w:hAnsi="宋体" w:eastAsia="宋体" w:cs="宋体"/>
          <w:b/>
          <w:bCs w:val="0"/>
          <w:spacing w:val="-6"/>
          <w:sz w:val="48"/>
          <w:szCs w:val="48"/>
          <w:lang w:val="en-US" w:eastAsia="zh-CN" w:bidi="ar-SA"/>
        </w:rPr>
        <w:t>供配电项目</w:t>
      </w:r>
      <w:r>
        <w:rPr>
          <w:rFonts w:hint="eastAsia" w:ascii="宋体" w:hAnsi="宋体" w:eastAsia="宋体" w:cs="宋体"/>
          <w:b/>
          <w:bCs w:val="0"/>
          <w:spacing w:val="-6"/>
          <w:sz w:val="48"/>
          <w:szCs w:val="48"/>
          <w:u w:val="none"/>
          <w:shd w:val="clear" w:color="auto" w:fill="auto"/>
          <w:lang w:val="en-US" w:eastAsia="zh-CN" w:bidi="ar-SA"/>
        </w:rPr>
        <w:t>技术任务书</w:t>
      </w:r>
    </w:p>
    <w:p w14:paraId="4DB092F0">
      <w:pPr>
        <w:spacing w:line="1000" w:lineRule="exact"/>
        <w:jc w:val="center"/>
        <w:rPr>
          <w:rFonts w:hint="eastAsia" w:ascii="宋体" w:hAnsi="宋体" w:eastAsia="宋体" w:cs="宋体"/>
          <w:b/>
          <w:snapToGrid/>
          <w:spacing w:val="-6"/>
          <w:w w:val="100"/>
          <w:kern w:val="0"/>
          <w:sz w:val="48"/>
          <w:szCs w:val="48"/>
          <w:lang w:val="en-US" w:eastAsia="zh-CN"/>
        </w:rPr>
      </w:pPr>
    </w:p>
    <w:p w14:paraId="2422E8F7">
      <w:pPr>
        <w:spacing w:line="1000" w:lineRule="exact"/>
        <w:ind w:firstLine="0" w:firstLineChars="0"/>
        <w:jc w:val="center"/>
        <w:rPr>
          <w:rFonts w:hint="eastAsia" w:ascii="Arial" w:hAnsi="宋体"/>
          <w:sz w:val="24"/>
        </w:rPr>
      </w:pPr>
    </w:p>
    <w:p w14:paraId="19699291">
      <w:pPr>
        <w:spacing w:line="440" w:lineRule="exact"/>
        <w:ind w:firstLine="480" w:firstLineChars="200"/>
        <w:rPr>
          <w:rFonts w:ascii="Arial" w:hAnsi="宋体"/>
          <w:sz w:val="24"/>
        </w:rPr>
      </w:pPr>
    </w:p>
    <w:p w14:paraId="3BAFA413">
      <w:pPr>
        <w:spacing w:line="480" w:lineRule="exact"/>
        <w:ind w:firstLine="811" w:firstLineChars="152"/>
        <w:jc w:val="center"/>
        <w:rPr>
          <w:rFonts w:hint="eastAsia" w:ascii="宋体" w:hAnsi="宋体"/>
          <w:b/>
          <w:spacing w:val="86"/>
          <w:sz w:val="36"/>
          <w:szCs w:val="36"/>
        </w:rPr>
      </w:pPr>
    </w:p>
    <w:p w14:paraId="28880EAD">
      <w:pPr>
        <w:spacing w:line="480" w:lineRule="exact"/>
        <w:ind w:firstLine="1359" w:firstLineChars="300"/>
        <w:jc w:val="both"/>
        <w:rPr>
          <w:rFonts w:hint="eastAsia" w:ascii="宋体" w:hAnsi="宋体" w:eastAsia="宋体"/>
          <w:b/>
          <w:spacing w:val="86"/>
          <w:sz w:val="28"/>
          <w:szCs w:val="28"/>
          <w:lang w:val="en-US" w:eastAsia="zh-CN"/>
        </w:rPr>
      </w:pPr>
      <w:r>
        <w:rPr>
          <w:rFonts w:hint="eastAsia" w:ascii="宋体" w:hAnsi="宋体"/>
          <w:b/>
          <w:spacing w:val="86"/>
          <w:sz w:val="28"/>
          <w:szCs w:val="28"/>
          <w:lang w:eastAsia="zh-CN"/>
        </w:rPr>
        <w:t>编制</w:t>
      </w:r>
      <w:r>
        <w:rPr>
          <w:rFonts w:hint="eastAsia" w:ascii="宋体" w:hAnsi="宋体"/>
          <w:b/>
          <w:spacing w:val="86"/>
          <w:sz w:val="28"/>
          <w:szCs w:val="28"/>
          <w:lang w:val="en-US" w:eastAsia="zh-CN"/>
        </w:rPr>
        <w:t>:</w:t>
      </w:r>
      <w:r>
        <w:rPr>
          <w:rFonts w:hint="eastAsia" w:ascii="宋体" w:hAnsi="宋体"/>
          <w:b/>
          <w:spacing w:val="86"/>
          <w:sz w:val="28"/>
          <w:szCs w:val="28"/>
          <w:u w:val="single"/>
          <w:lang w:val="en-US" w:eastAsia="zh-CN"/>
        </w:rPr>
        <w:t xml:space="preserve">　   　　　　　   </w:t>
      </w:r>
    </w:p>
    <w:p w14:paraId="08C5E3B8">
      <w:pPr>
        <w:spacing w:line="480" w:lineRule="exact"/>
        <w:ind w:firstLine="689" w:firstLineChars="152"/>
        <w:jc w:val="center"/>
        <w:rPr>
          <w:rFonts w:hint="eastAsia" w:ascii="宋体" w:hAnsi="宋体"/>
          <w:b/>
          <w:spacing w:val="86"/>
          <w:sz w:val="28"/>
          <w:szCs w:val="28"/>
          <w:lang w:val="en-US" w:eastAsia="zh-CN"/>
        </w:rPr>
      </w:pPr>
    </w:p>
    <w:p w14:paraId="5F159333">
      <w:pPr>
        <w:spacing w:line="480" w:lineRule="exact"/>
        <w:ind w:firstLine="1359" w:firstLineChars="300"/>
        <w:jc w:val="both"/>
        <w:rPr>
          <w:rFonts w:hint="eastAsia" w:ascii="宋体" w:hAnsi="宋体"/>
          <w:b/>
          <w:spacing w:val="86"/>
          <w:sz w:val="28"/>
          <w:szCs w:val="28"/>
          <w:lang w:val="en-US" w:eastAsia="zh-CN"/>
        </w:rPr>
      </w:pPr>
      <w:r>
        <w:rPr>
          <w:rFonts w:hint="eastAsia" w:ascii="宋体" w:hAnsi="宋体"/>
          <w:b/>
          <w:spacing w:val="86"/>
          <w:sz w:val="28"/>
          <w:szCs w:val="28"/>
          <w:lang w:eastAsia="zh-CN"/>
        </w:rPr>
        <w:t>审核</w:t>
      </w:r>
      <w:r>
        <w:rPr>
          <w:rFonts w:hint="eastAsia" w:ascii="宋体" w:hAnsi="宋体"/>
          <w:b/>
          <w:spacing w:val="86"/>
          <w:sz w:val="28"/>
          <w:szCs w:val="28"/>
          <w:lang w:val="en-US" w:eastAsia="zh-CN"/>
        </w:rPr>
        <w:t>:</w:t>
      </w:r>
      <w:r>
        <w:rPr>
          <w:rFonts w:hint="eastAsia" w:ascii="宋体" w:hAnsi="宋体"/>
          <w:b/>
          <w:spacing w:val="86"/>
          <w:sz w:val="28"/>
          <w:szCs w:val="28"/>
          <w:u w:val="single"/>
          <w:lang w:val="en-US" w:eastAsia="zh-CN"/>
        </w:rPr>
        <w:t xml:space="preserve">　　        　       </w:t>
      </w:r>
      <w:r>
        <w:rPr>
          <w:rFonts w:hint="eastAsia" w:ascii="宋体" w:hAnsi="宋体"/>
          <w:b/>
          <w:spacing w:val="86"/>
          <w:sz w:val="28"/>
          <w:szCs w:val="28"/>
          <w:lang w:val="en-US" w:eastAsia="zh-CN"/>
        </w:rPr>
        <w:t xml:space="preserve">  </w:t>
      </w:r>
    </w:p>
    <w:p w14:paraId="4CAF4A4E">
      <w:pPr>
        <w:spacing w:line="480" w:lineRule="exact"/>
        <w:ind w:firstLine="689" w:firstLineChars="152"/>
        <w:jc w:val="center"/>
        <w:rPr>
          <w:rFonts w:hint="eastAsia" w:ascii="宋体" w:hAnsi="宋体"/>
          <w:b/>
          <w:spacing w:val="86"/>
          <w:sz w:val="28"/>
          <w:szCs w:val="28"/>
          <w:lang w:val="en-US" w:eastAsia="zh-CN"/>
        </w:rPr>
      </w:pPr>
    </w:p>
    <w:p w14:paraId="1F477555">
      <w:pPr>
        <w:spacing w:line="480" w:lineRule="exact"/>
        <w:ind w:firstLine="1359" w:firstLineChars="300"/>
        <w:jc w:val="both"/>
        <w:rPr>
          <w:rFonts w:hint="eastAsia" w:ascii="宋体" w:hAnsi="宋体" w:eastAsia="宋体"/>
          <w:b/>
          <w:spacing w:val="86"/>
          <w:sz w:val="28"/>
          <w:szCs w:val="28"/>
          <w:lang w:val="en-US" w:eastAsia="zh-CN"/>
        </w:rPr>
      </w:pPr>
      <w:r>
        <w:rPr>
          <w:rFonts w:hint="eastAsia" w:ascii="宋体" w:hAnsi="宋体"/>
          <w:b/>
          <w:spacing w:val="86"/>
          <w:sz w:val="28"/>
          <w:szCs w:val="28"/>
          <w:lang w:val="en-US" w:eastAsia="zh-CN"/>
        </w:rPr>
        <w:t>签批:</w:t>
      </w:r>
      <w:r>
        <w:rPr>
          <w:rFonts w:hint="eastAsia" w:ascii="宋体" w:hAnsi="宋体"/>
          <w:b/>
          <w:spacing w:val="86"/>
          <w:sz w:val="28"/>
          <w:szCs w:val="28"/>
          <w:u w:val="single"/>
          <w:lang w:val="en-US" w:eastAsia="zh-CN"/>
        </w:rPr>
        <w:t xml:space="preserve">　　　 　　 　 </w:t>
      </w:r>
      <w:r>
        <w:rPr>
          <w:rFonts w:hint="eastAsia" w:ascii="宋体" w:hAnsi="宋体"/>
          <w:b/>
          <w:spacing w:val="86"/>
          <w:sz w:val="28"/>
          <w:szCs w:val="28"/>
          <w:u w:val="single"/>
          <w:lang w:val="en-US" w:eastAsia="zh-CN"/>
        </w:rPr>
        <w:br w:type="textWrapping"/>
      </w:r>
      <w:r>
        <w:rPr>
          <w:rFonts w:hint="eastAsia" w:ascii="宋体" w:hAnsi="宋体"/>
          <w:b/>
          <w:spacing w:val="86"/>
          <w:sz w:val="28"/>
          <w:szCs w:val="28"/>
          <w:lang w:val="en-US" w:eastAsia="zh-CN"/>
        </w:rPr>
        <w:t xml:space="preserve">  </w:t>
      </w:r>
    </w:p>
    <w:p w14:paraId="0673B4C9">
      <w:pPr>
        <w:spacing w:line="480" w:lineRule="exact"/>
        <w:ind w:firstLine="453" w:firstLineChars="100"/>
        <w:jc w:val="center"/>
        <w:rPr>
          <w:rFonts w:hint="eastAsia" w:ascii="宋体" w:hAnsi="宋体"/>
          <w:b/>
          <w:spacing w:val="86"/>
          <w:sz w:val="28"/>
          <w:szCs w:val="28"/>
          <w:lang w:val="en-US" w:eastAsia="zh-CN"/>
        </w:rPr>
      </w:pPr>
    </w:p>
    <w:p w14:paraId="15D0FA22">
      <w:pPr>
        <w:spacing w:line="480" w:lineRule="exact"/>
        <w:ind w:firstLine="453" w:firstLineChars="100"/>
        <w:jc w:val="center"/>
        <w:rPr>
          <w:rFonts w:hint="eastAsia" w:ascii="宋体" w:hAnsi="宋体"/>
          <w:b/>
          <w:spacing w:val="86"/>
          <w:sz w:val="28"/>
          <w:szCs w:val="28"/>
          <w:lang w:val="en-US" w:eastAsia="zh-CN"/>
        </w:rPr>
      </w:pPr>
    </w:p>
    <w:p w14:paraId="2D01405F">
      <w:pPr>
        <w:spacing w:line="480" w:lineRule="exact"/>
        <w:ind w:firstLine="453" w:firstLineChars="100"/>
        <w:jc w:val="center"/>
        <w:rPr>
          <w:rFonts w:hint="eastAsia"/>
          <w:color w:val="000000"/>
          <w:spacing w:val="0"/>
          <w:w w:val="100"/>
          <w:position w:val="0"/>
          <w:lang w:val="en-US" w:eastAsia="zh-CN"/>
        </w:rPr>
      </w:pPr>
      <w:r>
        <w:rPr>
          <w:rFonts w:hint="eastAsia" w:ascii="宋体" w:hAnsi="宋体"/>
          <w:b/>
          <w:spacing w:val="86"/>
          <w:sz w:val="28"/>
          <w:szCs w:val="28"/>
          <w:lang w:val="en-US" w:eastAsia="zh-CN"/>
        </w:rPr>
        <w:t>编制日期：</w:t>
      </w:r>
      <w:r>
        <w:rPr>
          <w:rFonts w:hint="eastAsia" w:ascii="宋体" w:hAnsi="宋体"/>
          <w:b/>
          <w:spacing w:val="86"/>
          <w:sz w:val="28"/>
          <w:szCs w:val="28"/>
          <w:u w:val="single"/>
          <w:lang w:val="en-US" w:eastAsia="zh-CN"/>
        </w:rPr>
        <w:t xml:space="preserve">   </w:t>
      </w:r>
      <w:r>
        <w:rPr>
          <w:rFonts w:hint="eastAsia" w:ascii="宋体" w:hAnsi="宋体"/>
          <w:b/>
          <w:spacing w:val="86"/>
          <w:sz w:val="28"/>
          <w:szCs w:val="28"/>
          <w:lang w:val="en-US" w:eastAsia="zh-CN"/>
        </w:rPr>
        <w:t>年</w:t>
      </w:r>
      <w:r>
        <w:rPr>
          <w:rFonts w:hint="eastAsia" w:ascii="宋体" w:hAnsi="宋体"/>
          <w:b/>
          <w:spacing w:val="86"/>
          <w:sz w:val="28"/>
          <w:szCs w:val="28"/>
          <w:u w:val="single"/>
          <w:lang w:val="en-US" w:eastAsia="zh-CN"/>
        </w:rPr>
        <w:t xml:space="preserve">  </w:t>
      </w:r>
      <w:r>
        <w:rPr>
          <w:rFonts w:hint="eastAsia" w:ascii="宋体" w:hAnsi="宋体"/>
          <w:b/>
          <w:spacing w:val="86"/>
          <w:sz w:val="28"/>
          <w:szCs w:val="28"/>
          <w:lang w:val="en-US" w:eastAsia="zh-CN"/>
        </w:rPr>
        <w:t>月</w:t>
      </w:r>
      <w:r>
        <w:rPr>
          <w:rFonts w:hint="eastAsia" w:ascii="宋体" w:hAnsi="宋体"/>
          <w:b/>
          <w:spacing w:val="86"/>
          <w:sz w:val="28"/>
          <w:szCs w:val="28"/>
          <w:u w:val="single"/>
          <w:lang w:val="en-US" w:eastAsia="zh-CN"/>
        </w:rPr>
        <w:t xml:space="preserve">　 </w:t>
      </w:r>
      <w:r>
        <w:rPr>
          <w:rFonts w:hint="eastAsia" w:ascii="宋体" w:hAnsi="宋体"/>
          <w:b/>
          <w:spacing w:val="86"/>
          <w:sz w:val="28"/>
          <w:szCs w:val="28"/>
          <w:lang w:val="en-US" w:eastAsia="zh-CN"/>
        </w:rPr>
        <w:t>日</w:t>
      </w:r>
    </w:p>
    <w:p w14:paraId="6B860C45">
      <w:pPr>
        <w:pStyle w:val="43"/>
        <w:bidi w:val="0"/>
        <w:rPr>
          <w:rFonts w:hint="eastAsia"/>
          <w:lang w:eastAsia="zh-CN"/>
        </w:rPr>
      </w:pPr>
    </w:p>
    <w:p w14:paraId="1FEE6738">
      <w:pPr>
        <w:pStyle w:val="43"/>
        <w:bidi w:val="0"/>
        <w:rPr>
          <w:rFonts w:hint="eastAsia"/>
          <w:lang w:eastAsia="zh-CN"/>
        </w:rPr>
      </w:pPr>
    </w:p>
    <w:p w14:paraId="45D9A76A">
      <w:pPr>
        <w:pStyle w:val="43"/>
        <w:bidi w:val="0"/>
        <w:rPr>
          <w:rFonts w:hint="eastAsia"/>
          <w:lang w:eastAsia="zh-CN"/>
        </w:rPr>
      </w:pPr>
    </w:p>
    <w:p w14:paraId="6B33234D">
      <w:pPr>
        <w:ind w:firstLine="2891" w:firstLineChars="800"/>
        <w:rPr>
          <w:b/>
          <w:sz w:val="36"/>
          <w:szCs w:val="36"/>
        </w:rPr>
      </w:pPr>
    </w:p>
    <w:p w14:paraId="0027AEB3">
      <w:pPr>
        <w:ind w:firstLine="2891" w:firstLineChars="800"/>
        <w:rPr>
          <w:b/>
          <w:sz w:val="36"/>
          <w:szCs w:val="36"/>
        </w:rPr>
      </w:pPr>
    </w:p>
    <w:p w14:paraId="13869B56">
      <w:pPr>
        <w:tabs>
          <w:tab w:val="left" w:pos="8244"/>
        </w:tabs>
        <w:rPr>
          <w:sz w:val="28"/>
          <w:szCs w:val="28"/>
        </w:rPr>
      </w:pPr>
    </w:p>
    <w:p w14:paraId="4F0B5C82">
      <w:pPr>
        <w:tabs>
          <w:tab w:val="left" w:pos="8244"/>
        </w:tabs>
        <w:rPr>
          <w:sz w:val="28"/>
          <w:szCs w:val="28"/>
        </w:rPr>
      </w:pPr>
    </w:p>
    <w:p w14:paraId="0EF718CB">
      <w:pPr>
        <w:rPr>
          <w:sz w:val="28"/>
          <w:szCs w:val="28"/>
        </w:rPr>
      </w:pPr>
    </w:p>
    <w:p w14:paraId="32C70757">
      <w:pPr>
        <w:spacing w:line="560" w:lineRule="exact"/>
        <w:rPr>
          <w:rFonts w:hint="default" w:hAnsi="宋体" w:eastAsia="宋体"/>
          <w:sz w:val="24"/>
          <w:szCs w:val="24"/>
          <w:lang w:val="en-US" w:eastAsia="zh-CN"/>
        </w:rPr>
      </w:pPr>
      <w:r>
        <w:rPr>
          <w:rFonts w:ascii="宋体" w:hAnsi="宋体" w:cs="宋体"/>
          <w:b/>
          <w:bCs/>
          <w:kern w:val="0"/>
          <w:sz w:val="24"/>
        </w:rPr>
        <w:t>一、</w:t>
      </w:r>
      <w:r>
        <w:rPr>
          <w:rFonts w:hint="eastAsia" w:ascii="宋体" w:hAnsi="宋体" w:cs="宋体"/>
          <w:b/>
          <w:bCs/>
          <w:kern w:val="0"/>
          <w:sz w:val="24"/>
        </w:rPr>
        <w:t>项目</w:t>
      </w:r>
      <w:r>
        <w:rPr>
          <w:rFonts w:ascii="宋体" w:hAnsi="宋体" w:cs="宋体"/>
          <w:b/>
          <w:bCs/>
          <w:kern w:val="0"/>
          <w:sz w:val="24"/>
        </w:rPr>
        <w:t>名称：</w:t>
      </w:r>
      <w:r>
        <w:rPr>
          <w:rFonts w:hint="eastAsia" w:ascii="宋体" w:hAnsi="宋体" w:eastAsia="宋体" w:cs="Times New Roman"/>
          <w:sz w:val="24"/>
          <w:szCs w:val="24"/>
          <w:lang w:val="en-US" w:eastAsia="zh-CN"/>
        </w:rPr>
        <w:t>南沙湾垃圾压缩站还建工程供配电项目</w:t>
      </w:r>
    </w:p>
    <w:p w14:paraId="20399F27">
      <w:pPr>
        <w:spacing w:line="580" w:lineRule="exact"/>
        <w:rPr>
          <w:rFonts w:hint="default" w:ascii="宋体" w:hAnsi="宋体" w:eastAsia="宋体" w:cs="宋体"/>
          <w:b w:val="0"/>
          <w:bCs w:val="0"/>
          <w:color w:val="000000"/>
          <w:sz w:val="24"/>
          <w:szCs w:val="24"/>
          <w:lang w:val="en-US" w:eastAsia="zh-CN" w:bidi="ar-SA"/>
        </w:rPr>
      </w:pPr>
      <w:r>
        <w:rPr>
          <w:rFonts w:ascii="宋体" w:hAnsi="宋体" w:cs="宋体"/>
          <w:b/>
          <w:bCs/>
          <w:kern w:val="0"/>
          <w:sz w:val="24"/>
        </w:rPr>
        <w:t>二、</w:t>
      </w:r>
      <w:r>
        <w:rPr>
          <w:rFonts w:hint="eastAsia" w:ascii="宋体" w:hAnsi="宋体" w:cs="宋体"/>
          <w:b/>
          <w:bCs/>
          <w:kern w:val="0"/>
          <w:sz w:val="24"/>
        </w:rPr>
        <w:t>工程</w:t>
      </w:r>
      <w:r>
        <w:rPr>
          <w:rFonts w:ascii="宋体" w:hAnsi="宋体" w:cs="宋体"/>
          <w:b/>
          <w:bCs/>
          <w:kern w:val="0"/>
          <w:sz w:val="24"/>
        </w:rPr>
        <w:t>地点：</w:t>
      </w:r>
      <w:bookmarkStart w:id="0" w:name="OLE_LINK8"/>
      <w:r>
        <w:rPr>
          <w:rFonts w:hint="eastAsia" w:ascii="宋体" w:hAnsi="宋体" w:cs="宋体"/>
          <w:b w:val="0"/>
          <w:bCs w:val="0"/>
          <w:kern w:val="0"/>
          <w:sz w:val="24"/>
          <w:lang w:val="en-US" w:eastAsia="zh-CN"/>
        </w:rPr>
        <w:t>项目位于金鸡西路北侧，珠海红塔仁恒公司用地红线东北角</w:t>
      </w:r>
    </w:p>
    <w:p w14:paraId="44D55F61">
      <w:pPr>
        <w:spacing w:line="560" w:lineRule="exact"/>
        <w:rPr>
          <w:rFonts w:hint="eastAsia" w:ascii="宋体" w:hAnsi="宋体" w:cs="宋体"/>
          <w:kern w:val="0"/>
          <w:sz w:val="24"/>
        </w:rPr>
      </w:pPr>
      <w:r>
        <w:rPr>
          <w:rFonts w:hint="eastAsia" w:ascii="宋体" w:hAnsi="宋体" w:cs="宋体"/>
          <w:b/>
          <w:bCs/>
          <w:kern w:val="0"/>
          <w:sz w:val="24"/>
        </w:rPr>
        <w:t>三、</w:t>
      </w:r>
      <w:r>
        <w:rPr>
          <w:rFonts w:hint="eastAsia" w:ascii="宋体" w:hAnsi="宋体" w:cs="宋体"/>
          <w:b/>
          <w:bCs/>
          <w:kern w:val="0"/>
          <w:sz w:val="24"/>
          <w:lang w:val="en-US" w:eastAsia="zh-CN"/>
        </w:rPr>
        <w:t>设计及</w:t>
      </w:r>
      <w:r>
        <w:rPr>
          <w:rFonts w:hint="eastAsia" w:ascii="宋体" w:hAnsi="宋体" w:cs="宋体"/>
          <w:b/>
          <w:bCs/>
          <w:kern w:val="0"/>
          <w:sz w:val="24"/>
        </w:rPr>
        <w:t>安装单位资质：</w:t>
      </w:r>
      <w:r>
        <w:rPr>
          <w:rFonts w:hint="eastAsia" w:ascii="宋体" w:hAnsi="宋体" w:cs="宋体"/>
          <w:kern w:val="0"/>
          <w:sz w:val="24"/>
        </w:rPr>
        <w:t>承装类</w:t>
      </w:r>
      <w:r>
        <w:rPr>
          <w:rFonts w:hint="eastAsia" w:ascii="宋体" w:hAnsi="宋体" w:cs="宋体"/>
          <w:kern w:val="0"/>
          <w:sz w:val="24"/>
          <w:lang w:val="en-US" w:eastAsia="zh-CN"/>
        </w:rPr>
        <w:t>五</w:t>
      </w:r>
      <w:r>
        <w:rPr>
          <w:rFonts w:hint="eastAsia" w:ascii="宋体" w:hAnsi="宋体" w:cs="宋体"/>
          <w:kern w:val="0"/>
          <w:sz w:val="24"/>
        </w:rPr>
        <w:t>级；承修类</w:t>
      </w:r>
      <w:r>
        <w:rPr>
          <w:rFonts w:hint="eastAsia" w:ascii="宋体" w:hAnsi="宋体" w:cs="宋体"/>
          <w:kern w:val="0"/>
          <w:sz w:val="24"/>
          <w:lang w:val="en-US" w:eastAsia="zh-CN"/>
        </w:rPr>
        <w:t>五</w:t>
      </w:r>
      <w:r>
        <w:rPr>
          <w:rFonts w:hint="eastAsia" w:ascii="宋体" w:hAnsi="宋体" w:cs="宋体"/>
          <w:kern w:val="0"/>
          <w:sz w:val="24"/>
        </w:rPr>
        <w:t>级；承试类</w:t>
      </w:r>
      <w:r>
        <w:rPr>
          <w:rFonts w:hint="eastAsia" w:ascii="宋体" w:hAnsi="宋体" w:cs="宋体"/>
          <w:kern w:val="0"/>
          <w:sz w:val="24"/>
          <w:lang w:val="en-US" w:eastAsia="zh-CN"/>
        </w:rPr>
        <w:t>五</w:t>
      </w:r>
      <w:r>
        <w:rPr>
          <w:rFonts w:hint="eastAsia" w:ascii="宋体" w:hAnsi="宋体" w:cs="宋体"/>
          <w:kern w:val="0"/>
          <w:sz w:val="24"/>
        </w:rPr>
        <w:t>级以上，</w:t>
      </w:r>
      <w:r>
        <w:rPr>
          <w:rFonts w:hint="eastAsia" w:ascii="宋体" w:hAnsi="宋体" w:cs="宋体"/>
          <w:kern w:val="0"/>
          <w:sz w:val="24"/>
          <w:lang w:val="en-US" w:eastAsia="zh-CN"/>
        </w:rPr>
        <w:t>安装</w:t>
      </w:r>
      <w:r>
        <w:rPr>
          <w:rFonts w:hint="eastAsia" w:ascii="宋体" w:hAnsi="宋体"/>
          <w:sz w:val="24"/>
        </w:rPr>
        <w:t>施工单位必须在</w:t>
      </w:r>
      <w:r>
        <w:rPr>
          <w:rFonts w:hint="eastAsia" w:ascii="宋体" w:hAnsi="宋体"/>
          <w:sz w:val="24"/>
          <w:lang w:val="en-US" w:eastAsia="zh-CN"/>
        </w:rPr>
        <w:t>南方电网内</w:t>
      </w:r>
      <w:r>
        <w:rPr>
          <w:rFonts w:hint="eastAsia" w:ascii="宋体" w:hAnsi="宋体"/>
          <w:sz w:val="24"/>
        </w:rPr>
        <w:t>备案</w:t>
      </w:r>
      <w:r>
        <w:rPr>
          <w:rFonts w:hint="eastAsia" w:ascii="宋体" w:hAnsi="宋体" w:cs="宋体"/>
          <w:kern w:val="0"/>
          <w:sz w:val="24"/>
        </w:rPr>
        <w:t>。</w:t>
      </w:r>
    </w:p>
    <w:bookmarkEnd w:id="0"/>
    <w:p w14:paraId="12E5E2CC">
      <w:pPr>
        <w:numPr>
          <w:ilvl w:val="0"/>
          <w:numId w:val="2"/>
        </w:numPr>
        <w:spacing w:line="560" w:lineRule="exact"/>
        <w:rPr>
          <w:rFonts w:hint="eastAsia" w:ascii="宋体" w:hAnsi="宋体" w:cs="宋体"/>
          <w:b/>
          <w:bCs/>
          <w:kern w:val="0"/>
          <w:sz w:val="24"/>
        </w:rPr>
      </w:pPr>
      <w:r>
        <w:rPr>
          <w:rFonts w:hint="eastAsia" w:ascii="宋体" w:hAnsi="宋体" w:cs="宋体"/>
          <w:b/>
          <w:bCs/>
          <w:kern w:val="0"/>
          <w:sz w:val="24"/>
        </w:rPr>
        <w:t>工程概况</w:t>
      </w:r>
      <w:r>
        <w:rPr>
          <w:rFonts w:ascii="宋体" w:hAnsi="宋体" w:cs="宋体"/>
          <w:b/>
          <w:bCs/>
          <w:kern w:val="0"/>
          <w:sz w:val="24"/>
        </w:rPr>
        <w:t>：</w:t>
      </w:r>
    </w:p>
    <w:p w14:paraId="0DA5A71B">
      <w:pPr>
        <w:spacing w:before="156" w:beforeLines="50" w:after="156" w:afterLines="50" w:line="440" w:lineRule="exact"/>
        <w:ind w:firstLine="480" w:firstLineChars="200"/>
        <w:rPr>
          <w:rFonts w:hint="eastAsia" w:ascii="宋体" w:hAnsi="宋体" w:eastAsia="宋体" w:cs="宋体"/>
          <w:sz w:val="24"/>
          <w:lang w:val="en-US" w:eastAsia="zh-CN"/>
        </w:rPr>
      </w:pPr>
      <w:r>
        <w:rPr>
          <w:rFonts w:hint="eastAsia" w:ascii="宋体" w:hAnsi="宋体" w:eastAsia="宋体" w:cs="宋体"/>
          <w:sz w:val="24"/>
        </w:rPr>
        <w:t>4.1 工程类型：预装式箱变工程，变压器选用型号：</w:t>
      </w:r>
      <w:r>
        <w:rPr>
          <w:rFonts w:hint="eastAsia" w:ascii="宋体" w:hAnsi="宋体" w:eastAsia="宋体" w:cs="Times New Roman"/>
          <w:color w:val="auto"/>
          <w:kern w:val="2"/>
          <w:sz w:val="24"/>
          <w:szCs w:val="20"/>
          <w:lang w:val="en-US" w:eastAsia="zh-CN" w:bidi="ar-SA"/>
        </w:rPr>
        <w:t>YBM-12/0.4-</w:t>
      </w:r>
      <w:r>
        <w:rPr>
          <w:rFonts w:hint="eastAsia" w:ascii="宋体" w:hAnsi="宋体" w:cs="Times New Roman"/>
          <w:color w:val="auto"/>
          <w:kern w:val="2"/>
          <w:sz w:val="24"/>
          <w:szCs w:val="20"/>
          <w:lang w:val="en-US" w:eastAsia="zh-CN" w:bidi="ar-SA"/>
        </w:rPr>
        <w:t>5</w:t>
      </w:r>
      <w:r>
        <w:rPr>
          <w:rFonts w:hint="eastAsia" w:ascii="宋体" w:hAnsi="宋体" w:eastAsia="宋体" w:cs="Times New Roman"/>
          <w:color w:val="auto"/>
          <w:kern w:val="2"/>
          <w:sz w:val="24"/>
          <w:szCs w:val="20"/>
          <w:lang w:val="en-US" w:eastAsia="zh-CN" w:bidi="ar-SA"/>
        </w:rPr>
        <w:t>0kVA</w:t>
      </w:r>
      <w:r>
        <w:rPr>
          <w:rFonts w:hint="eastAsia" w:ascii="宋体" w:hAnsi="宋体" w:eastAsia="宋体" w:cs="宋体"/>
          <w:sz w:val="24"/>
          <w:lang w:val="en-US" w:eastAsia="zh-CN"/>
        </w:rPr>
        <w:t>。</w:t>
      </w:r>
    </w:p>
    <w:p w14:paraId="23B4E9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lang w:val="en-US" w:eastAsia="zh-CN"/>
        </w:rPr>
      </w:pPr>
      <w:r>
        <w:rPr>
          <w:rFonts w:hint="eastAsia" w:ascii="宋体" w:hAnsi="宋体" w:eastAsia="宋体" w:cs="Times New Roman"/>
          <w:color w:val="auto"/>
          <w:kern w:val="2"/>
          <w:sz w:val="24"/>
          <w:szCs w:val="20"/>
          <w:lang w:val="en-US" w:eastAsia="zh-CN" w:bidi="ar-SA"/>
        </w:rPr>
        <w:t>4.1.1 正式用电：新建一台10kV变压器YBM-12/0.4-</w:t>
      </w:r>
      <w:r>
        <w:rPr>
          <w:rFonts w:hint="eastAsia" w:ascii="宋体" w:hAnsi="宋体" w:cs="Times New Roman"/>
          <w:color w:val="auto"/>
          <w:kern w:val="2"/>
          <w:sz w:val="24"/>
          <w:szCs w:val="20"/>
          <w:lang w:val="en-US" w:eastAsia="zh-CN" w:bidi="ar-SA"/>
        </w:rPr>
        <w:t>5</w:t>
      </w:r>
      <w:r>
        <w:rPr>
          <w:rFonts w:hint="eastAsia" w:ascii="宋体" w:hAnsi="宋体" w:eastAsia="宋体" w:cs="Times New Roman"/>
          <w:color w:val="auto"/>
          <w:kern w:val="2"/>
          <w:sz w:val="24"/>
          <w:szCs w:val="20"/>
          <w:lang w:val="en-US" w:eastAsia="zh-CN" w:bidi="ar-SA"/>
        </w:rPr>
        <w:t>0,新敷设高压电缆ZRC-YJV22-8.7/10-3×70约493米，新建一座变压器基础及围栏一套，工作井8座。包含10kV高压开关柜(进线柜、出线柜等），变压器、低压出线柜等全套设备设施。</w:t>
      </w:r>
    </w:p>
    <w:p w14:paraId="13B5EAF6">
      <w:pPr>
        <w:pStyle w:val="11"/>
        <w:spacing w:line="360" w:lineRule="auto"/>
        <w:ind w:firstLine="480" w:firstLineChars="200"/>
        <w:rPr>
          <w:rFonts w:hint="default" w:hAnsi="宋体"/>
          <w:sz w:val="24"/>
          <w:lang w:val="en-US" w:eastAsia="zh-CN"/>
        </w:rPr>
      </w:pPr>
      <w:r>
        <w:rPr>
          <w:rFonts w:hint="eastAsia" w:hAnsi="宋体"/>
          <w:sz w:val="24"/>
        </w:rPr>
        <w:t>4.</w:t>
      </w:r>
      <w:r>
        <w:rPr>
          <w:rFonts w:hint="eastAsia" w:hAnsi="宋体"/>
          <w:sz w:val="24"/>
          <w:lang w:val="en-US" w:eastAsia="zh-CN"/>
        </w:rPr>
        <w:t>2</w:t>
      </w:r>
      <w:r>
        <w:rPr>
          <w:rFonts w:hint="eastAsia" w:hAnsi="宋体"/>
          <w:sz w:val="24"/>
        </w:rPr>
        <w:t>工程工期： 总工期</w:t>
      </w:r>
      <w:r>
        <w:rPr>
          <w:rFonts w:hint="eastAsia" w:hAnsi="宋体"/>
          <w:sz w:val="24"/>
          <w:lang w:val="en-US" w:eastAsia="zh-CN"/>
        </w:rPr>
        <w:t>45</w:t>
      </w:r>
      <w:r>
        <w:rPr>
          <w:rFonts w:hint="eastAsia" w:hAnsi="宋体"/>
          <w:sz w:val="24"/>
        </w:rPr>
        <w:t>天（包含</w:t>
      </w:r>
      <w:r>
        <w:rPr>
          <w:rFonts w:hint="eastAsia" w:hAnsi="宋体"/>
          <w:sz w:val="24"/>
          <w:lang w:val="en-US" w:eastAsia="zh-CN"/>
        </w:rPr>
        <w:t>供电方案报批5天，</w:t>
      </w:r>
      <w:r>
        <w:rPr>
          <w:rFonts w:hint="eastAsia" w:hAnsi="宋体"/>
          <w:sz w:val="24"/>
        </w:rPr>
        <w:t>设备生产周期</w:t>
      </w:r>
      <w:r>
        <w:rPr>
          <w:rFonts w:hint="eastAsia" w:hAnsi="宋体"/>
          <w:sz w:val="24"/>
          <w:lang w:val="en-US" w:eastAsia="zh-CN"/>
        </w:rPr>
        <w:t>15</w:t>
      </w:r>
      <w:r>
        <w:rPr>
          <w:rFonts w:hint="eastAsia" w:hAnsi="宋体"/>
          <w:sz w:val="24"/>
        </w:rPr>
        <w:t>天</w:t>
      </w:r>
      <w:r>
        <w:rPr>
          <w:rFonts w:hint="eastAsia" w:hAnsi="宋体"/>
          <w:sz w:val="24"/>
          <w:lang w:eastAsia="zh-CN"/>
        </w:rPr>
        <w:t>，</w:t>
      </w:r>
      <w:r>
        <w:rPr>
          <w:rFonts w:hint="eastAsia" w:hAnsi="宋体"/>
          <w:sz w:val="24"/>
          <w:lang w:val="en-US" w:eastAsia="zh-CN"/>
        </w:rPr>
        <w:t>施工及验收5天</w:t>
      </w:r>
      <w:r>
        <w:rPr>
          <w:rFonts w:hint="eastAsia" w:hAnsi="宋体"/>
          <w:sz w:val="24"/>
        </w:rPr>
        <w:t>）,中标方需向</w:t>
      </w:r>
      <w:r>
        <w:rPr>
          <w:rFonts w:hAnsi="宋体"/>
          <w:sz w:val="24"/>
        </w:rPr>
        <w:t>供电局报备停电计划</w:t>
      </w:r>
      <w:r>
        <w:rPr>
          <w:rFonts w:hint="eastAsia" w:hAnsi="宋体"/>
          <w:sz w:val="24"/>
        </w:rPr>
        <w:t>并取得</w:t>
      </w:r>
      <w:r>
        <w:rPr>
          <w:rFonts w:hAnsi="宋体"/>
          <w:sz w:val="24"/>
        </w:rPr>
        <w:t>供电局验收并</w:t>
      </w:r>
      <w:r>
        <w:rPr>
          <w:rFonts w:hint="eastAsia" w:hAnsi="宋体"/>
          <w:sz w:val="24"/>
        </w:rPr>
        <w:t>通电；本次要求的工期包含</w:t>
      </w:r>
      <w:r>
        <w:rPr>
          <w:rFonts w:hint="eastAsia" w:hAnsi="宋体"/>
          <w:sz w:val="24"/>
          <w:lang w:val="en-US" w:eastAsia="zh-CN"/>
        </w:rPr>
        <w:t>供电方案的报审，</w:t>
      </w:r>
      <w:r>
        <w:rPr>
          <w:rFonts w:hint="eastAsia" w:hAnsi="宋体"/>
          <w:sz w:val="24"/>
        </w:rPr>
        <w:t>设备基础施工</w:t>
      </w:r>
      <w:r>
        <w:rPr>
          <w:rFonts w:hint="eastAsia" w:hAnsi="宋体"/>
          <w:sz w:val="24"/>
          <w:lang w:eastAsia="zh-CN"/>
        </w:rPr>
        <w:t>，</w:t>
      </w:r>
      <w:r>
        <w:rPr>
          <w:rFonts w:hint="eastAsia" w:hAnsi="宋体"/>
          <w:sz w:val="24"/>
          <w:lang w:val="en-US" w:eastAsia="zh-CN"/>
        </w:rPr>
        <w:t>直</w:t>
      </w:r>
      <w:r>
        <w:rPr>
          <w:rFonts w:hint="eastAsia" w:hAnsi="宋体"/>
          <w:sz w:val="24"/>
        </w:rPr>
        <w:t>至</w:t>
      </w:r>
      <w:r>
        <w:rPr>
          <w:rFonts w:hAnsi="宋体"/>
          <w:sz w:val="24"/>
        </w:rPr>
        <w:t>变压器通电</w:t>
      </w:r>
      <w:r>
        <w:rPr>
          <w:rFonts w:hint="eastAsia" w:hAnsi="宋体"/>
          <w:sz w:val="24"/>
        </w:rPr>
        <w:t>，定标</w:t>
      </w:r>
      <w:r>
        <w:rPr>
          <w:rFonts w:hAnsi="宋体"/>
          <w:sz w:val="24"/>
        </w:rPr>
        <w:t>通知书发出后第三日作为开工计算日期</w:t>
      </w:r>
      <w:r>
        <w:rPr>
          <w:rFonts w:hint="eastAsia" w:hAnsi="宋体"/>
          <w:sz w:val="24"/>
        </w:rPr>
        <w:t>。</w:t>
      </w:r>
      <w:r>
        <w:rPr>
          <w:rFonts w:hint="eastAsia" w:hAnsi="宋体"/>
          <w:sz w:val="24"/>
          <w:lang w:val="en-US" w:eastAsia="zh-CN"/>
        </w:rPr>
        <w:t>未在规定工期内完成通电交钥匙的，按照每超工期一天罚款500元执行。</w:t>
      </w:r>
    </w:p>
    <w:p w14:paraId="395E3DEB">
      <w:pPr>
        <w:spacing w:line="560" w:lineRule="exact"/>
        <w:rPr>
          <w:rFonts w:hint="eastAsia" w:ascii="宋体" w:hAnsi="宋体" w:cs="宋体"/>
          <w:b/>
          <w:bCs/>
          <w:kern w:val="0"/>
          <w:sz w:val="24"/>
        </w:rPr>
      </w:pPr>
      <w:r>
        <w:rPr>
          <w:rFonts w:hint="eastAsia" w:ascii="宋体" w:hAnsi="宋体" w:cs="宋体"/>
          <w:b/>
          <w:bCs/>
          <w:kern w:val="0"/>
          <w:sz w:val="24"/>
        </w:rPr>
        <w:t>五、</w:t>
      </w:r>
      <w:bookmarkStart w:id="1" w:name="OLE_LINK10"/>
      <w:r>
        <w:rPr>
          <w:rFonts w:hint="eastAsia" w:ascii="宋体" w:hAnsi="宋体" w:cs="宋体"/>
          <w:b/>
          <w:bCs/>
          <w:kern w:val="0"/>
          <w:sz w:val="24"/>
        </w:rPr>
        <w:t>承包范围</w:t>
      </w:r>
      <w:bookmarkEnd w:id="1"/>
      <w:r>
        <w:rPr>
          <w:rFonts w:hint="eastAsia" w:ascii="宋体" w:hAnsi="宋体" w:cs="宋体"/>
          <w:b/>
          <w:bCs/>
          <w:kern w:val="0"/>
          <w:sz w:val="24"/>
        </w:rPr>
        <w:t>：</w:t>
      </w:r>
      <w:bookmarkStart w:id="2" w:name="OLE_LINK11"/>
    </w:p>
    <w:p w14:paraId="1ECB1F6D">
      <w:pPr>
        <w:spacing w:line="560" w:lineRule="exact"/>
        <w:ind w:firstLine="360" w:firstLineChars="150"/>
        <w:rPr>
          <w:rFonts w:hint="eastAsia" w:ascii="宋体" w:hAnsi="宋体" w:cs="宋体"/>
          <w:kern w:val="0"/>
          <w:sz w:val="24"/>
        </w:rPr>
      </w:pPr>
      <w:r>
        <w:rPr>
          <w:rFonts w:hint="eastAsia" w:ascii="宋体" w:hAnsi="宋体" w:cs="宋体"/>
          <w:kern w:val="0"/>
          <w:sz w:val="24"/>
        </w:rPr>
        <w:t>5.1承包方式：</w:t>
      </w:r>
      <w:r>
        <w:rPr>
          <w:rFonts w:hint="eastAsia" w:ascii="宋体" w:hAnsi="宋体" w:cs="宋体"/>
          <w:kern w:val="0"/>
          <w:sz w:val="24"/>
          <w:lang w:val="en-US" w:eastAsia="zh-CN"/>
        </w:rPr>
        <w:t>包</w:t>
      </w:r>
      <w:r>
        <w:rPr>
          <w:rFonts w:hint="eastAsia" w:ascii="宋体" w:hAnsi="宋体" w:cs="宋体"/>
          <w:kern w:val="0"/>
          <w:sz w:val="24"/>
        </w:rPr>
        <w:t>设备采购</w:t>
      </w:r>
      <w:r>
        <w:rPr>
          <w:rFonts w:hint="eastAsia" w:ascii="宋体" w:hAnsi="宋体" w:cs="宋体"/>
          <w:kern w:val="0"/>
          <w:sz w:val="24"/>
          <w:lang w:eastAsia="zh-CN"/>
        </w:rPr>
        <w:t>、</w:t>
      </w:r>
      <w:r>
        <w:rPr>
          <w:rFonts w:hint="eastAsia" w:ascii="宋体" w:hAnsi="宋体" w:cs="宋体"/>
          <w:kern w:val="0"/>
          <w:sz w:val="24"/>
        </w:rPr>
        <w:t>包安装，包安全文明施工，包路</w:t>
      </w:r>
      <w:r>
        <w:rPr>
          <w:rFonts w:ascii="宋体" w:hAnsi="宋体" w:cs="宋体"/>
          <w:kern w:val="0"/>
          <w:sz w:val="24"/>
        </w:rPr>
        <w:t>面破坏</w:t>
      </w:r>
      <w:r>
        <w:rPr>
          <w:rFonts w:hint="eastAsia" w:ascii="宋体" w:hAnsi="宋体" w:cs="宋体"/>
          <w:kern w:val="0"/>
          <w:sz w:val="24"/>
        </w:rPr>
        <w:t>后</w:t>
      </w:r>
      <w:r>
        <w:rPr>
          <w:rFonts w:ascii="宋体" w:hAnsi="宋体" w:cs="宋体"/>
          <w:kern w:val="0"/>
          <w:sz w:val="24"/>
        </w:rPr>
        <w:t>的恢复</w:t>
      </w:r>
      <w:r>
        <w:rPr>
          <w:rFonts w:hint="eastAsia" w:ascii="宋体" w:hAnsi="宋体" w:cs="宋体"/>
          <w:kern w:val="0"/>
          <w:sz w:val="24"/>
        </w:rPr>
        <w:t>，包验收通过，包措施费,包税金等</w:t>
      </w:r>
      <w:r>
        <w:rPr>
          <w:rFonts w:ascii="宋体" w:hAnsi="宋体" w:cs="宋体"/>
          <w:kern w:val="0"/>
          <w:sz w:val="24"/>
        </w:rPr>
        <w:t>图纸</w:t>
      </w:r>
      <w:r>
        <w:rPr>
          <w:rFonts w:hint="eastAsia" w:ascii="宋体" w:hAnsi="宋体" w:cs="宋体"/>
          <w:kern w:val="0"/>
          <w:sz w:val="24"/>
        </w:rPr>
        <w:t>所</w:t>
      </w:r>
      <w:r>
        <w:rPr>
          <w:rFonts w:ascii="宋体" w:hAnsi="宋体" w:cs="宋体"/>
          <w:kern w:val="0"/>
          <w:sz w:val="24"/>
        </w:rPr>
        <w:t>示所有内容</w:t>
      </w:r>
      <w:r>
        <w:rPr>
          <w:rFonts w:hint="eastAsia" w:ascii="宋体" w:hAnsi="宋体" w:cs="宋体"/>
          <w:kern w:val="0"/>
          <w:sz w:val="24"/>
        </w:rPr>
        <w:t>的全包形式。</w:t>
      </w:r>
    </w:p>
    <w:p w14:paraId="32FBEC42">
      <w:pPr>
        <w:spacing w:before="156" w:beforeLines="50" w:after="156" w:afterLines="50" w:line="440" w:lineRule="exact"/>
        <w:ind w:firstLine="480" w:firstLineChars="200"/>
        <w:rPr>
          <w:rFonts w:hint="eastAsia" w:ascii="宋体" w:hAnsi="宋体" w:cs="宋体"/>
          <w:kern w:val="0"/>
          <w:sz w:val="24"/>
        </w:rPr>
      </w:pPr>
      <w:r>
        <w:rPr>
          <w:rFonts w:hint="eastAsia" w:ascii="宋体" w:hAnsi="宋体" w:cs="宋体"/>
          <w:kern w:val="0"/>
          <w:sz w:val="24"/>
        </w:rPr>
        <w:t>5.2承包范围：</w:t>
      </w:r>
      <w:r>
        <w:rPr>
          <w:rFonts w:hint="eastAsia" w:hAnsi="宋体"/>
          <w:sz w:val="24"/>
        </w:rPr>
        <w:t>预</w:t>
      </w:r>
      <w:r>
        <w:rPr>
          <w:rFonts w:hAnsi="宋体"/>
          <w:sz w:val="24"/>
        </w:rPr>
        <w:t>装</w:t>
      </w:r>
      <w:r>
        <w:rPr>
          <w:rFonts w:hint="eastAsia" w:hAnsi="宋体"/>
          <w:sz w:val="24"/>
        </w:rPr>
        <w:t>式箱变</w:t>
      </w:r>
      <w:r>
        <w:rPr>
          <w:rFonts w:hAnsi="宋体"/>
          <w:sz w:val="24"/>
        </w:rPr>
        <w:t>工程</w:t>
      </w:r>
      <w:r>
        <w:rPr>
          <w:rFonts w:hint="eastAsia" w:hAnsi="宋体"/>
          <w:sz w:val="24"/>
        </w:rPr>
        <w:t>，主</w:t>
      </w:r>
      <w:r>
        <w:rPr>
          <w:rFonts w:hAnsi="宋体"/>
          <w:sz w:val="24"/>
        </w:rPr>
        <w:t>要设备变压器</w:t>
      </w:r>
      <w:r>
        <w:rPr>
          <w:rFonts w:hint="eastAsia" w:hAnsi="宋体"/>
          <w:sz w:val="24"/>
        </w:rPr>
        <w:t>型号：</w:t>
      </w:r>
      <w:r>
        <w:rPr>
          <w:rFonts w:hint="eastAsia" w:ascii="宋体" w:hAnsi="宋体" w:eastAsia="宋体" w:cs="Times New Roman"/>
          <w:color w:val="auto"/>
          <w:kern w:val="2"/>
          <w:sz w:val="24"/>
          <w:szCs w:val="20"/>
          <w:lang w:val="en-US" w:eastAsia="zh-CN" w:bidi="ar-SA"/>
        </w:rPr>
        <w:t>YBM-12/0.4-</w:t>
      </w:r>
      <w:r>
        <w:rPr>
          <w:rFonts w:hint="eastAsia" w:ascii="宋体" w:hAnsi="宋体" w:cs="Times New Roman"/>
          <w:color w:val="auto"/>
          <w:kern w:val="2"/>
          <w:sz w:val="24"/>
          <w:szCs w:val="20"/>
          <w:lang w:val="en-US" w:eastAsia="zh-CN" w:bidi="ar-SA"/>
        </w:rPr>
        <w:t>5</w:t>
      </w:r>
      <w:r>
        <w:rPr>
          <w:rFonts w:hint="eastAsia" w:ascii="宋体" w:hAnsi="宋体" w:eastAsia="宋体" w:cs="Times New Roman"/>
          <w:color w:val="auto"/>
          <w:kern w:val="2"/>
          <w:sz w:val="24"/>
          <w:szCs w:val="20"/>
          <w:lang w:val="en-US" w:eastAsia="zh-CN" w:bidi="ar-SA"/>
        </w:rPr>
        <w:t>0</w:t>
      </w:r>
      <w:r>
        <w:rPr>
          <w:rFonts w:hint="eastAsia" w:hAnsi="宋体"/>
          <w:sz w:val="24"/>
        </w:rPr>
        <w:t>，</w:t>
      </w:r>
      <w:r>
        <w:rPr>
          <w:rFonts w:hint="eastAsia" w:ascii="宋体" w:hAnsi="宋体" w:cs="宋体"/>
          <w:kern w:val="0"/>
          <w:sz w:val="24"/>
        </w:rPr>
        <w:t>箱变基础（包括钢筋混凝土地基结构、基础土方开挖、砖砌基础、基础抹灰装饰等）、二次搬运、电缆沟、过马</w:t>
      </w:r>
      <w:r>
        <w:rPr>
          <w:rFonts w:ascii="宋体" w:hAnsi="宋体" w:cs="宋体"/>
          <w:kern w:val="0"/>
          <w:sz w:val="24"/>
        </w:rPr>
        <w:t>路</w:t>
      </w:r>
      <w:r>
        <w:rPr>
          <w:rFonts w:hint="eastAsia" w:ascii="宋体" w:hAnsi="宋体" w:cs="宋体"/>
          <w:kern w:val="0"/>
          <w:sz w:val="24"/>
        </w:rPr>
        <w:t>顶</w:t>
      </w:r>
      <w:r>
        <w:rPr>
          <w:rFonts w:ascii="宋体" w:hAnsi="宋体" w:cs="宋体"/>
          <w:kern w:val="0"/>
          <w:sz w:val="24"/>
        </w:rPr>
        <w:t>管</w:t>
      </w:r>
      <w:r>
        <w:rPr>
          <w:rFonts w:hint="eastAsia" w:ascii="宋体" w:hAnsi="宋体" w:cs="宋体"/>
          <w:kern w:val="0"/>
          <w:sz w:val="24"/>
        </w:rPr>
        <w:t>施</w:t>
      </w:r>
      <w:r>
        <w:rPr>
          <w:rFonts w:ascii="宋体" w:hAnsi="宋体" w:cs="宋体"/>
          <w:kern w:val="0"/>
          <w:sz w:val="24"/>
        </w:rPr>
        <w:t>工</w:t>
      </w:r>
      <w:r>
        <w:rPr>
          <w:rFonts w:hint="eastAsia" w:ascii="宋体" w:hAnsi="宋体" w:cs="宋体"/>
          <w:kern w:val="0"/>
          <w:sz w:val="24"/>
        </w:rPr>
        <w:t>，敷土内预</w:t>
      </w:r>
      <w:r>
        <w:rPr>
          <w:rFonts w:ascii="宋体" w:hAnsi="宋体" w:cs="宋体"/>
          <w:kern w:val="0"/>
          <w:sz w:val="24"/>
        </w:rPr>
        <w:t>埋钢</w:t>
      </w:r>
      <w:r>
        <w:rPr>
          <w:rFonts w:hint="eastAsia" w:ascii="宋体" w:hAnsi="宋体" w:cs="宋体"/>
          <w:kern w:val="0"/>
          <w:sz w:val="24"/>
        </w:rPr>
        <w:t>管、接地设施等，</w:t>
      </w:r>
      <w:r>
        <w:rPr>
          <w:rFonts w:hint="eastAsia" w:ascii="宋体" w:hAnsi="宋体"/>
          <w:sz w:val="24"/>
        </w:rPr>
        <w:t>按照设</w:t>
      </w:r>
      <w:r>
        <w:rPr>
          <w:rFonts w:ascii="宋体" w:hAnsi="宋体"/>
          <w:sz w:val="24"/>
        </w:rPr>
        <w:t>计图纸</w:t>
      </w:r>
      <w:r>
        <w:rPr>
          <w:rFonts w:hint="eastAsia" w:ascii="宋体" w:hAnsi="宋体"/>
          <w:sz w:val="24"/>
        </w:rPr>
        <w:t>完成高压线路敷设</w:t>
      </w:r>
      <w:r>
        <w:rPr>
          <w:rFonts w:hint="eastAsia" w:ascii="宋体" w:hAnsi="宋体" w:cs="宋体"/>
          <w:kern w:val="0"/>
          <w:sz w:val="24"/>
        </w:rPr>
        <w:t>、变</w:t>
      </w:r>
      <w:r>
        <w:rPr>
          <w:rFonts w:ascii="宋体" w:hAnsi="宋体" w:cs="宋体"/>
          <w:kern w:val="0"/>
          <w:sz w:val="24"/>
        </w:rPr>
        <w:t>压器安装</w:t>
      </w:r>
      <w:r>
        <w:rPr>
          <w:rFonts w:hint="eastAsia" w:ascii="宋体" w:hAnsi="宋体" w:cs="宋体"/>
          <w:kern w:val="0"/>
          <w:sz w:val="24"/>
        </w:rPr>
        <w:t>、低压出线电缆套</w:t>
      </w:r>
      <w:r>
        <w:rPr>
          <w:rFonts w:ascii="宋体" w:hAnsi="宋体" w:cs="宋体"/>
          <w:kern w:val="0"/>
          <w:sz w:val="24"/>
        </w:rPr>
        <w:t>管的</w:t>
      </w:r>
      <w:r>
        <w:rPr>
          <w:rFonts w:hint="eastAsia" w:ascii="宋体" w:hAnsi="宋体" w:cs="宋体"/>
          <w:kern w:val="0"/>
          <w:sz w:val="24"/>
        </w:rPr>
        <w:t>预</w:t>
      </w:r>
      <w:r>
        <w:rPr>
          <w:rFonts w:ascii="宋体" w:hAnsi="宋体" w:cs="宋体"/>
          <w:kern w:val="0"/>
          <w:sz w:val="24"/>
        </w:rPr>
        <w:t>留</w:t>
      </w:r>
      <w:r>
        <w:rPr>
          <w:rFonts w:hint="eastAsia" w:ascii="宋体" w:hAnsi="宋体" w:cs="宋体"/>
          <w:kern w:val="0"/>
          <w:sz w:val="24"/>
        </w:rPr>
        <w:t>等，所有配电设备设施6S标识标注等</w:t>
      </w:r>
      <w:r>
        <w:rPr>
          <w:rFonts w:hint="eastAsia" w:ascii="宋体" w:hAnsi="宋体"/>
          <w:sz w:val="24"/>
        </w:rPr>
        <w:t>的安装、调试、验收、送电</w:t>
      </w:r>
      <w:r>
        <w:rPr>
          <w:rFonts w:hint="eastAsia" w:ascii="宋体" w:hAnsi="宋体" w:cs="宋体"/>
          <w:kern w:val="0"/>
          <w:sz w:val="24"/>
        </w:rPr>
        <w:t>，电子化移交，设备完成安装后同周边环境的恢复等。</w:t>
      </w:r>
    </w:p>
    <w:p w14:paraId="7A08674C">
      <w:pPr>
        <w:spacing w:line="560" w:lineRule="exact"/>
        <w:ind w:firstLine="480" w:firstLineChars="200"/>
        <w:rPr>
          <w:rFonts w:hint="eastAsia" w:ascii="宋体" w:hAnsi="宋体" w:cs="宋体"/>
          <w:kern w:val="0"/>
          <w:sz w:val="24"/>
        </w:rPr>
      </w:pPr>
      <w:r>
        <w:rPr>
          <w:rFonts w:hint="eastAsia" w:ascii="宋体" w:hAnsi="宋体" w:cs="宋体"/>
          <w:kern w:val="0"/>
          <w:sz w:val="24"/>
        </w:rPr>
        <w:t>5.3</w:t>
      </w:r>
      <w:r>
        <w:rPr>
          <w:rFonts w:hint="eastAsia" w:ascii="宋体" w:hAnsi="宋体"/>
          <w:sz w:val="24"/>
        </w:rPr>
        <w:t>高压电缆、低压电缆敷设，线路施工开挖及恢复需要和政府相</w:t>
      </w:r>
      <w:r>
        <w:rPr>
          <w:rFonts w:ascii="宋体" w:hAnsi="宋体"/>
          <w:sz w:val="24"/>
        </w:rPr>
        <w:t>关</w:t>
      </w:r>
      <w:r>
        <w:rPr>
          <w:rFonts w:hint="eastAsia" w:ascii="宋体" w:hAnsi="宋体"/>
          <w:sz w:val="24"/>
        </w:rPr>
        <w:t>部门协调及办理相关手续等，中标方处理及办理相关事宜产生的费用报价时综合考虑。</w:t>
      </w:r>
    </w:p>
    <w:p w14:paraId="7B682291">
      <w:pPr>
        <w:spacing w:line="560" w:lineRule="exact"/>
        <w:ind w:firstLine="480" w:firstLineChars="200"/>
        <w:rPr>
          <w:rFonts w:ascii="宋体" w:hAnsi="宋体" w:cs="宋体"/>
          <w:kern w:val="0"/>
          <w:sz w:val="24"/>
        </w:rPr>
      </w:pPr>
      <w:r>
        <w:rPr>
          <w:rFonts w:hint="eastAsia" w:ascii="宋体" w:hAnsi="宋体" w:cs="宋体"/>
          <w:kern w:val="0"/>
          <w:sz w:val="24"/>
        </w:rPr>
        <w:t>5.4承担设备安装的质量控制、进度控制、安全管理、质量保修期等全过程。负责协调与工程有关的参建单位和政府职能部门（包括但不限于：香洲供电局、</w:t>
      </w:r>
      <w:r>
        <w:rPr>
          <w:rFonts w:hint="eastAsia" w:ascii="宋体" w:hAnsi="宋体" w:cs="宋体"/>
          <w:kern w:val="0"/>
          <w:sz w:val="24"/>
          <w:lang w:val="en-US" w:eastAsia="zh-CN"/>
        </w:rPr>
        <w:t>建设单位</w:t>
      </w:r>
      <w:r>
        <w:rPr>
          <w:rFonts w:hint="eastAsia" w:ascii="宋体" w:hAnsi="宋体" w:cs="宋体"/>
          <w:kern w:val="0"/>
          <w:sz w:val="24"/>
        </w:rPr>
        <w:t>、城</w:t>
      </w:r>
      <w:r>
        <w:rPr>
          <w:rFonts w:ascii="宋体" w:hAnsi="宋体" w:cs="宋体"/>
          <w:kern w:val="0"/>
          <w:sz w:val="24"/>
        </w:rPr>
        <w:t>市管理局、市</w:t>
      </w:r>
      <w:r>
        <w:rPr>
          <w:rFonts w:hint="eastAsia" w:ascii="宋体" w:hAnsi="宋体" w:cs="宋体"/>
          <w:kern w:val="0"/>
          <w:sz w:val="24"/>
        </w:rPr>
        <w:t>政</w:t>
      </w:r>
      <w:r>
        <w:rPr>
          <w:rFonts w:ascii="宋体" w:hAnsi="宋体" w:cs="宋体"/>
          <w:kern w:val="0"/>
          <w:sz w:val="24"/>
        </w:rPr>
        <w:t>公司</w:t>
      </w:r>
      <w:r>
        <w:rPr>
          <w:rFonts w:hint="eastAsia" w:ascii="宋体" w:hAnsi="宋体" w:cs="宋体"/>
          <w:kern w:val="0"/>
          <w:sz w:val="24"/>
        </w:rPr>
        <w:t>等相关单位）。</w:t>
      </w:r>
    </w:p>
    <w:p w14:paraId="7B4761F5">
      <w:pPr>
        <w:spacing w:line="560" w:lineRule="exact"/>
        <w:ind w:firstLine="480" w:firstLineChars="200"/>
        <w:rPr>
          <w:rFonts w:ascii="宋体" w:hAnsi="宋体"/>
          <w:sz w:val="24"/>
        </w:rPr>
      </w:pPr>
      <w:r>
        <w:rPr>
          <w:rFonts w:hint="eastAsia" w:ascii="宋体" w:hAnsi="宋体" w:cs="宋体"/>
          <w:kern w:val="0"/>
          <w:sz w:val="24"/>
        </w:rPr>
        <w:t>5.6施工</w:t>
      </w:r>
      <w:r>
        <w:rPr>
          <w:rFonts w:ascii="宋体" w:hAnsi="宋体" w:cs="宋体"/>
          <w:kern w:val="0"/>
          <w:sz w:val="24"/>
        </w:rPr>
        <w:t>中的</w:t>
      </w:r>
      <w:r>
        <w:rPr>
          <w:rFonts w:hint="eastAsia" w:ascii="宋体" w:hAnsi="宋体" w:cs="宋体"/>
          <w:kern w:val="0"/>
          <w:sz w:val="24"/>
        </w:rPr>
        <w:t>临时</w:t>
      </w:r>
      <w:r>
        <w:rPr>
          <w:rFonts w:ascii="宋体" w:hAnsi="宋体" w:cs="宋体"/>
          <w:kern w:val="0"/>
          <w:sz w:val="24"/>
        </w:rPr>
        <w:t>用水</w:t>
      </w:r>
      <w:r>
        <w:rPr>
          <w:rFonts w:hint="eastAsia" w:ascii="宋体" w:hAnsi="宋体" w:cs="宋体"/>
          <w:kern w:val="0"/>
          <w:sz w:val="24"/>
        </w:rPr>
        <w:t>、</w:t>
      </w:r>
      <w:r>
        <w:rPr>
          <w:rFonts w:ascii="宋体" w:hAnsi="宋体" w:cs="宋体"/>
          <w:kern w:val="0"/>
          <w:sz w:val="24"/>
        </w:rPr>
        <w:t>用电</w:t>
      </w:r>
      <w:r>
        <w:rPr>
          <w:rFonts w:hint="eastAsia" w:ascii="宋体" w:hAnsi="宋体" w:cs="宋体"/>
          <w:kern w:val="0"/>
          <w:sz w:val="24"/>
        </w:rPr>
        <w:t>由</w:t>
      </w:r>
      <w:r>
        <w:rPr>
          <w:rFonts w:ascii="宋体" w:hAnsi="宋体" w:cs="宋体"/>
          <w:kern w:val="0"/>
          <w:sz w:val="24"/>
        </w:rPr>
        <w:t>承包单位自行</w:t>
      </w:r>
      <w:r>
        <w:rPr>
          <w:rFonts w:hint="eastAsia" w:ascii="宋体" w:hAnsi="宋体" w:cs="宋体"/>
          <w:kern w:val="0"/>
          <w:sz w:val="24"/>
        </w:rPr>
        <w:t>解决</w:t>
      </w:r>
      <w:r>
        <w:rPr>
          <w:rFonts w:ascii="宋体" w:hAnsi="宋体" w:cs="宋体"/>
          <w:kern w:val="0"/>
          <w:sz w:val="24"/>
        </w:rPr>
        <w:t>，</w:t>
      </w:r>
      <w:r>
        <w:rPr>
          <w:rFonts w:hint="eastAsia" w:ascii="宋体" w:hAnsi="宋体"/>
          <w:sz w:val="24"/>
        </w:rPr>
        <w:t>产生的费用报价时综合考虑。</w:t>
      </w:r>
    </w:p>
    <w:p w14:paraId="5553E476">
      <w:pPr>
        <w:spacing w:line="560" w:lineRule="exact"/>
        <w:ind w:firstLine="480" w:firstLineChars="200"/>
        <w:rPr>
          <w:rFonts w:hint="eastAsia" w:ascii="宋体" w:hAnsi="宋体" w:cs="宋体"/>
          <w:kern w:val="0"/>
          <w:sz w:val="24"/>
        </w:rPr>
      </w:pPr>
      <w:r>
        <w:rPr>
          <w:rFonts w:hint="eastAsia" w:ascii="宋体" w:hAnsi="宋体"/>
          <w:sz w:val="24"/>
        </w:rPr>
        <w:t>5．7</w:t>
      </w:r>
      <w:r>
        <w:rPr>
          <w:rFonts w:hint="eastAsia" w:hAnsi="宋体"/>
          <w:sz w:val="24"/>
        </w:rPr>
        <w:t>预</w:t>
      </w:r>
      <w:r>
        <w:rPr>
          <w:rFonts w:hAnsi="宋体"/>
          <w:sz w:val="24"/>
        </w:rPr>
        <w:t>装</w:t>
      </w:r>
      <w:r>
        <w:rPr>
          <w:rFonts w:hint="eastAsia" w:hAnsi="宋体"/>
          <w:sz w:val="24"/>
        </w:rPr>
        <w:t>式箱变工</w:t>
      </w:r>
      <w:r>
        <w:rPr>
          <w:rFonts w:hAnsi="宋体"/>
          <w:sz w:val="24"/>
        </w:rPr>
        <w:t>程</w:t>
      </w:r>
      <w:r>
        <w:rPr>
          <w:rFonts w:hint="eastAsia" w:hAnsi="宋体"/>
          <w:sz w:val="24"/>
        </w:rPr>
        <w:t>的</w:t>
      </w:r>
      <w:r>
        <w:rPr>
          <w:rFonts w:hAnsi="宋体"/>
          <w:sz w:val="24"/>
        </w:rPr>
        <w:t>围闭</w:t>
      </w:r>
      <w:r>
        <w:rPr>
          <w:rFonts w:hint="eastAsia" w:hAnsi="宋体"/>
          <w:sz w:val="24"/>
        </w:rPr>
        <w:t>，围</w:t>
      </w:r>
      <w:r>
        <w:rPr>
          <w:rFonts w:hAnsi="宋体"/>
          <w:sz w:val="24"/>
        </w:rPr>
        <w:t>闭需满足</w:t>
      </w:r>
      <w:r>
        <w:rPr>
          <w:rFonts w:hint="eastAsia" w:hAnsi="宋体"/>
          <w:sz w:val="24"/>
        </w:rPr>
        <w:t>供</w:t>
      </w:r>
      <w:r>
        <w:rPr>
          <w:rFonts w:hAnsi="宋体"/>
          <w:sz w:val="24"/>
        </w:rPr>
        <w:t>电规范要求</w:t>
      </w:r>
      <w:r>
        <w:rPr>
          <w:rFonts w:hint="eastAsia" w:hAnsi="宋体"/>
          <w:sz w:val="24"/>
        </w:rPr>
        <w:t>，</w:t>
      </w:r>
      <w:r>
        <w:rPr>
          <w:rFonts w:hAnsi="宋体"/>
          <w:sz w:val="24"/>
        </w:rPr>
        <w:t>并留</w:t>
      </w:r>
      <w:r>
        <w:rPr>
          <w:rFonts w:hint="eastAsia" w:hAnsi="宋体"/>
          <w:sz w:val="24"/>
        </w:rPr>
        <w:t>有</w:t>
      </w:r>
      <w:r>
        <w:rPr>
          <w:rFonts w:hAnsi="宋体"/>
          <w:sz w:val="24"/>
        </w:rPr>
        <w:t>一出入门，围闭深化方案需在技术规格书中体现。</w:t>
      </w:r>
    </w:p>
    <w:bookmarkEnd w:id="2"/>
    <w:p w14:paraId="4199593F">
      <w:pPr>
        <w:spacing w:line="560" w:lineRule="exact"/>
        <w:rPr>
          <w:rFonts w:hint="eastAsia" w:ascii="宋体" w:hAnsi="宋体" w:cs="宋体"/>
          <w:b/>
          <w:bCs/>
          <w:kern w:val="0"/>
          <w:sz w:val="24"/>
        </w:rPr>
      </w:pPr>
      <w:r>
        <w:rPr>
          <w:rFonts w:hint="eastAsia" w:ascii="宋体" w:hAnsi="宋体" w:cs="宋体"/>
          <w:b/>
          <w:bCs/>
          <w:kern w:val="0"/>
          <w:sz w:val="24"/>
        </w:rPr>
        <w:t>六、主要技术要求：</w:t>
      </w:r>
      <w:bookmarkStart w:id="3" w:name="OLE_LINK12"/>
    </w:p>
    <w:p w14:paraId="6BB94787">
      <w:pPr>
        <w:spacing w:line="560" w:lineRule="exact"/>
        <w:ind w:firstLine="465"/>
        <w:rPr>
          <w:rFonts w:hint="eastAsia" w:ascii="宋体" w:hAnsi="宋体" w:cs="宋体"/>
          <w:kern w:val="0"/>
          <w:sz w:val="24"/>
        </w:rPr>
      </w:pPr>
      <w:r>
        <w:rPr>
          <w:rFonts w:hint="eastAsia" w:ascii="宋体" w:hAnsi="宋体" w:cs="宋体"/>
          <w:kern w:val="0"/>
          <w:sz w:val="24"/>
        </w:rPr>
        <w:t>6.1．高压柜技术要求：</w:t>
      </w:r>
    </w:p>
    <w:p w14:paraId="6FFDCE9D">
      <w:pPr>
        <w:spacing w:line="560" w:lineRule="exact"/>
        <w:ind w:firstLine="465"/>
        <w:rPr>
          <w:rFonts w:hint="eastAsia" w:ascii="宋体" w:hAnsi="宋体" w:cs="宋体"/>
          <w:kern w:val="0"/>
          <w:sz w:val="24"/>
        </w:rPr>
      </w:pPr>
      <w:r>
        <w:rPr>
          <w:rFonts w:hint="eastAsia" w:ascii="宋体" w:hAnsi="宋体" w:cs="宋体"/>
          <w:kern w:val="0"/>
          <w:sz w:val="24"/>
        </w:rPr>
        <w:t>6.1.1计量柜配闭锁电磁铁，计量CT采用0.2S级，计量PT采用0.2级。计量门、计量CT及PT二级接线端子盒应配供电部门的铅封装置口。计量装置及负荷控制装置由供电部门提供，计量柜应预留足够位置安装计量装置；计量仪表面板装观察孔。</w:t>
      </w:r>
    </w:p>
    <w:p w14:paraId="25B7B9AE">
      <w:pPr>
        <w:spacing w:line="560" w:lineRule="exact"/>
        <w:ind w:firstLine="465"/>
        <w:rPr>
          <w:rFonts w:hint="eastAsia" w:ascii="宋体" w:hAnsi="宋体" w:cs="宋体"/>
          <w:kern w:val="0"/>
          <w:sz w:val="24"/>
        </w:rPr>
      </w:pPr>
      <w:r>
        <w:rPr>
          <w:rFonts w:hint="eastAsia" w:ascii="宋体" w:hAnsi="宋体" w:cs="宋体"/>
          <w:kern w:val="0"/>
          <w:sz w:val="24"/>
        </w:rPr>
        <w:t>6.1.2高压柜须满足“五防要求”，A防止误分、误合开关，B防止带负荷分、合隔离开关，C防止带电挂（合）接地线（接地开关），D防止带地线送电，E防止误入带电间隔。</w:t>
      </w:r>
    </w:p>
    <w:p w14:paraId="674C503C">
      <w:pPr>
        <w:spacing w:line="560" w:lineRule="exact"/>
        <w:ind w:firstLine="465"/>
        <w:rPr>
          <w:rFonts w:hint="eastAsia" w:ascii="宋体" w:hAnsi="宋体" w:cs="宋体"/>
          <w:kern w:val="0"/>
          <w:sz w:val="24"/>
        </w:rPr>
      </w:pPr>
      <w:r>
        <w:rPr>
          <w:rFonts w:hint="eastAsia" w:ascii="宋体" w:hAnsi="宋体" w:cs="宋体"/>
          <w:kern w:val="0"/>
          <w:sz w:val="24"/>
        </w:rPr>
        <w:t>6.1.3开关分合操作孔及接地操作孔均可以分别明锁锁住，防止非法操作和误操作。</w:t>
      </w:r>
    </w:p>
    <w:p w14:paraId="54353327">
      <w:pPr>
        <w:spacing w:line="560" w:lineRule="exact"/>
        <w:ind w:firstLine="465"/>
        <w:rPr>
          <w:rFonts w:hint="eastAsia" w:ascii="宋体" w:hAnsi="宋体" w:cs="宋体"/>
          <w:kern w:val="0"/>
          <w:sz w:val="24"/>
        </w:rPr>
      </w:pPr>
      <w:r>
        <w:rPr>
          <w:rFonts w:hint="eastAsia" w:ascii="宋体" w:hAnsi="宋体" w:cs="宋体"/>
          <w:kern w:val="0"/>
          <w:sz w:val="24"/>
        </w:rPr>
        <w:t>6.1.4每台高压开关柜加装手动及自动控制专用梳状铝合金电加热器，其内部采用优质镍铬合金电阻丝或金属PTC发热芯；用于防潮防凝露，加热器安装在开关柜电缆室。为防止湿气因加热后上升至母线室，电缆室应有透气孔，散发潮气。</w:t>
      </w:r>
    </w:p>
    <w:p w14:paraId="662F6467">
      <w:pPr>
        <w:spacing w:line="360" w:lineRule="auto"/>
        <w:ind w:firstLine="465"/>
        <w:rPr>
          <w:rFonts w:hint="eastAsia" w:ascii="宋体" w:hAnsi="宋体" w:cs="宋体"/>
          <w:kern w:val="0"/>
          <w:sz w:val="24"/>
        </w:rPr>
      </w:pPr>
      <w:r>
        <w:rPr>
          <w:rFonts w:hint="eastAsia" w:ascii="宋体" w:hAnsi="宋体" w:cs="宋体"/>
          <w:kern w:val="0"/>
          <w:sz w:val="24"/>
        </w:rPr>
        <w:t>6.1.5高压负荷开关操作机构采用手动（预留电动部分）</w:t>
      </w:r>
    </w:p>
    <w:p w14:paraId="04C1B1CD">
      <w:pPr>
        <w:autoSpaceDE w:val="0"/>
        <w:autoSpaceDN w:val="0"/>
        <w:adjustRightInd w:val="0"/>
        <w:spacing w:line="360" w:lineRule="auto"/>
        <w:jc w:val="left"/>
        <w:rPr>
          <w:rFonts w:hint="eastAsia" w:ascii="宋体" w:hAnsi="宋体" w:cs="宋体"/>
          <w:kern w:val="0"/>
          <w:sz w:val="24"/>
        </w:rPr>
      </w:pPr>
      <w:r>
        <w:rPr>
          <w:rFonts w:hint="eastAsia" w:ascii="宋体" w:hAnsi="宋体" w:cs="宋体"/>
          <w:kern w:val="0"/>
          <w:sz w:val="24"/>
        </w:rPr>
        <w:t xml:space="preserve">    6.2．</w:t>
      </w:r>
      <w:r>
        <w:rPr>
          <w:rFonts w:hint="eastAsia" w:hAnsi="宋体"/>
          <w:sz w:val="24"/>
        </w:rPr>
        <w:t>组合型成套箱式变电站</w:t>
      </w:r>
      <w:r>
        <w:rPr>
          <w:rFonts w:hint="eastAsia" w:ascii="宋体" w:hAnsi="宋体" w:cs="宋体"/>
          <w:kern w:val="0"/>
          <w:sz w:val="24"/>
        </w:rPr>
        <w:t>的技术要求：</w:t>
      </w:r>
    </w:p>
    <w:p w14:paraId="4F628EDC">
      <w:pPr>
        <w:autoSpaceDE w:val="0"/>
        <w:autoSpaceDN w:val="0"/>
        <w:adjustRightInd w:val="0"/>
        <w:spacing w:line="360" w:lineRule="auto"/>
        <w:ind w:firstLine="480"/>
        <w:jc w:val="left"/>
        <w:rPr>
          <w:rFonts w:hint="eastAsia" w:ascii="宋体" w:hAnsi="宋体" w:cs="宋体"/>
          <w:kern w:val="0"/>
          <w:sz w:val="24"/>
          <w:lang w:val="zh-CN"/>
        </w:rPr>
      </w:pPr>
      <w:r>
        <w:rPr>
          <w:rFonts w:hint="eastAsia" w:ascii="宋体" w:hAnsi="宋体" w:cs="宋体"/>
          <w:kern w:val="0"/>
          <w:sz w:val="24"/>
        </w:rPr>
        <w:t xml:space="preserve">6.2.1 </w:t>
      </w:r>
      <w:r>
        <w:rPr>
          <w:rFonts w:hint="eastAsia" w:ascii="宋体" w:hAnsi="宋体" w:cs="宋体"/>
          <w:kern w:val="0"/>
          <w:sz w:val="24"/>
          <w:lang w:val="zh-CN"/>
        </w:rPr>
        <w:t>箱变主要配置要求：高压柜装可手动及自动控制的专用梳状铝合金加热器，其内部采用优质镍铬合金电阻丝或金属PTC发热芯，电压为220V，加热功率：50W，加热器安装在开关柜电缆室。为防止湿气因加热后上升至母线室，电缆室及母线室应有透气孔散发潮气；</w:t>
      </w:r>
    </w:p>
    <w:p w14:paraId="11D4BD9C">
      <w:pPr>
        <w:autoSpaceDE w:val="0"/>
        <w:autoSpaceDN w:val="0"/>
        <w:adjustRightInd w:val="0"/>
        <w:spacing w:line="360" w:lineRule="auto"/>
        <w:ind w:firstLine="480"/>
        <w:jc w:val="left"/>
        <w:rPr>
          <w:rFonts w:hint="eastAsia" w:ascii="宋体" w:hAnsi="宋体" w:cs="宋体"/>
          <w:kern w:val="0"/>
          <w:sz w:val="24"/>
        </w:rPr>
      </w:pPr>
      <w:r>
        <w:rPr>
          <w:rFonts w:hint="eastAsia" w:ascii="宋体" w:hAnsi="宋体" w:cs="宋体"/>
          <w:kern w:val="0"/>
          <w:sz w:val="24"/>
        </w:rPr>
        <w:t>6.2.3</w:t>
      </w:r>
      <w:r>
        <w:rPr>
          <w:rFonts w:ascii="宋体" w:hAnsi="宋体" w:cs="宋体"/>
          <w:kern w:val="0"/>
          <w:sz w:val="24"/>
        </w:rPr>
        <w:t xml:space="preserve"> </w:t>
      </w:r>
      <w:r>
        <w:rPr>
          <w:rFonts w:hint="eastAsia" w:ascii="宋体" w:hAnsi="宋体" w:cs="宋体"/>
          <w:kern w:val="0"/>
          <w:sz w:val="24"/>
        </w:rPr>
        <w:t>无功补偿装置，功率补偿后因数需达到0.92，电容器需分组配手、自动投切。变压器中性点及所有电气设备金属外壳均可靠接地，接地电阻不大于4欧姆。</w:t>
      </w:r>
    </w:p>
    <w:p w14:paraId="0CAE6ACA">
      <w:pPr>
        <w:autoSpaceDE w:val="0"/>
        <w:autoSpaceDN w:val="0"/>
        <w:adjustRightInd w:val="0"/>
        <w:spacing w:line="360" w:lineRule="auto"/>
        <w:ind w:firstLine="480"/>
        <w:jc w:val="left"/>
        <w:rPr>
          <w:rFonts w:hint="eastAsia" w:ascii="宋体" w:hAnsi="宋体" w:cs="宋体"/>
          <w:kern w:val="0"/>
          <w:sz w:val="24"/>
        </w:rPr>
      </w:pPr>
      <w:r>
        <w:rPr>
          <w:rFonts w:hint="eastAsia" w:ascii="宋体" w:hAnsi="宋体" w:cs="宋体"/>
          <w:kern w:val="0"/>
          <w:sz w:val="24"/>
        </w:rPr>
        <w:t>6.2.</w:t>
      </w:r>
      <w:r>
        <w:rPr>
          <w:rFonts w:hint="eastAsia" w:ascii="宋体" w:hAnsi="宋体" w:cs="宋体"/>
          <w:kern w:val="0"/>
          <w:sz w:val="24"/>
          <w:lang w:val="en-US" w:eastAsia="zh-CN"/>
        </w:rPr>
        <w:t>4</w:t>
      </w:r>
      <w:r>
        <w:rPr>
          <w:rFonts w:hint="eastAsia" w:ascii="宋体" w:hAnsi="宋体" w:cs="宋体"/>
          <w:kern w:val="0"/>
          <w:sz w:val="24"/>
        </w:rPr>
        <w:t>箱变外壳采用复合防腐材料，箱体防护等级：IP33。</w:t>
      </w:r>
    </w:p>
    <w:p w14:paraId="089E9B7E">
      <w:pPr>
        <w:autoSpaceDE w:val="0"/>
        <w:autoSpaceDN w:val="0"/>
        <w:adjustRightInd w:val="0"/>
        <w:spacing w:line="360" w:lineRule="auto"/>
        <w:ind w:firstLine="480"/>
        <w:jc w:val="left"/>
        <w:rPr>
          <w:rFonts w:hint="eastAsia" w:ascii="宋体" w:hAnsi="宋体" w:cs="宋体"/>
          <w:kern w:val="0"/>
          <w:sz w:val="24"/>
        </w:rPr>
      </w:pPr>
      <w:r>
        <w:rPr>
          <w:rFonts w:hint="eastAsia" w:ascii="宋体" w:hAnsi="宋体" w:cs="宋体"/>
          <w:kern w:val="0"/>
          <w:sz w:val="24"/>
        </w:rPr>
        <w:t>6.2.</w:t>
      </w:r>
      <w:r>
        <w:rPr>
          <w:rFonts w:hint="eastAsia" w:ascii="宋体" w:hAnsi="宋体" w:cs="宋体"/>
          <w:kern w:val="0"/>
          <w:sz w:val="24"/>
          <w:lang w:val="en-US" w:eastAsia="zh-CN"/>
        </w:rPr>
        <w:t>5</w:t>
      </w:r>
      <w:r>
        <w:rPr>
          <w:rFonts w:hint="eastAsia" w:ascii="宋体" w:hAnsi="宋体" w:cs="宋体"/>
          <w:kern w:val="0"/>
          <w:sz w:val="24"/>
        </w:rPr>
        <w:t>箱变外壳要求采用自然对流通风散热。并内置排风系统散热，当环境温度过高或变压器过负荷运行情况下自动启动风机散热。</w:t>
      </w:r>
    </w:p>
    <w:p w14:paraId="546FE9B3">
      <w:pPr>
        <w:autoSpaceDE w:val="0"/>
        <w:autoSpaceDN w:val="0"/>
        <w:adjustRightInd w:val="0"/>
        <w:spacing w:line="360" w:lineRule="auto"/>
        <w:ind w:firstLine="480"/>
        <w:jc w:val="left"/>
        <w:rPr>
          <w:rFonts w:hint="eastAsia" w:ascii="宋体" w:hAnsi="宋体" w:cs="宋体"/>
          <w:kern w:val="0"/>
          <w:sz w:val="24"/>
        </w:rPr>
      </w:pPr>
      <w:r>
        <w:rPr>
          <w:rFonts w:hint="eastAsia" w:ascii="宋体" w:hAnsi="宋体" w:cs="宋体"/>
          <w:kern w:val="0"/>
          <w:sz w:val="24"/>
        </w:rPr>
        <w:t>6.2.</w:t>
      </w:r>
      <w:r>
        <w:rPr>
          <w:rFonts w:hint="eastAsia" w:ascii="宋体" w:hAnsi="宋体" w:cs="宋体"/>
          <w:kern w:val="0"/>
          <w:sz w:val="24"/>
          <w:lang w:val="en-US" w:eastAsia="zh-CN"/>
        </w:rPr>
        <w:t>6</w:t>
      </w:r>
      <w:r>
        <w:rPr>
          <w:rFonts w:hint="eastAsia" w:ascii="宋体" w:hAnsi="宋体" w:cs="宋体"/>
          <w:kern w:val="0"/>
          <w:sz w:val="24"/>
        </w:rPr>
        <w:t>进线柜断路器要求可以实现就地/远方电动操控。配备就地操作按钮，预留远方控制端子，并带远方、就地控制转换开关，带操作次数计数器；就地控制时，所有框架断路器均带预储能，远方控制时，要求直接合闸自保持。</w:t>
      </w:r>
    </w:p>
    <w:p w14:paraId="1F7ABBE7">
      <w:pPr>
        <w:autoSpaceDE w:val="0"/>
        <w:autoSpaceDN w:val="0"/>
        <w:adjustRightInd w:val="0"/>
        <w:spacing w:line="360" w:lineRule="auto"/>
        <w:ind w:firstLine="480"/>
        <w:jc w:val="left"/>
        <w:rPr>
          <w:rFonts w:hint="eastAsia" w:ascii="宋体" w:hAnsi="宋体" w:cs="宋体"/>
          <w:kern w:val="0"/>
          <w:sz w:val="24"/>
        </w:rPr>
      </w:pPr>
      <w:r>
        <w:rPr>
          <w:rFonts w:hint="eastAsia" w:ascii="宋体" w:hAnsi="宋体" w:cs="宋体"/>
          <w:kern w:val="0"/>
          <w:sz w:val="24"/>
        </w:rPr>
        <w:t>6.2.</w:t>
      </w:r>
      <w:r>
        <w:rPr>
          <w:rFonts w:hint="eastAsia" w:ascii="宋体" w:hAnsi="宋体" w:cs="宋体"/>
          <w:kern w:val="0"/>
          <w:sz w:val="24"/>
          <w:lang w:val="en-US" w:eastAsia="zh-CN"/>
        </w:rPr>
        <w:t>7</w:t>
      </w:r>
      <w:r>
        <w:rPr>
          <w:rFonts w:hint="eastAsia" w:ascii="宋体" w:hAnsi="宋体" w:cs="宋体"/>
          <w:kern w:val="0"/>
          <w:sz w:val="24"/>
        </w:rPr>
        <w:t>低压开关柜及其内部电器元件的技术参数除了应满足国家规范及相关行业标准外，还应满足《10KV及以下业扩受电工程典型设计技术导则》要求。</w:t>
      </w:r>
    </w:p>
    <w:p w14:paraId="7DC832E3">
      <w:pPr>
        <w:autoSpaceDE w:val="0"/>
        <w:autoSpaceDN w:val="0"/>
        <w:adjustRightInd w:val="0"/>
        <w:spacing w:line="360" w:lineRule="auto"/>
        <w:ind w:firstLine="480"/>
        <w:jc w:val="left"/>
        <w:rPr>
          <w:rFonts w:hint="eastAsia" w:ascii="宋体" w:hAnsi="宋体" w:cs="宋体"/>
          <w:kern w:val="0"/>
          <w:sz w:val="24"/>
          <w:lang w:val="zh-CN"/>
        </w:rPr>
      </w:pPr>
      <w:r>
        <w:rPr>
          <w:rFonts w:hint="eastAsia" w:ascii="宋体" w:hAnsi="宋体" w:cs="宋体"/>
          <w:kern w:val="0"/>
          <w:sz w:val="24"/>
        </w:rPr>
        <w:t>6.2.</w:t>
      </w:r>
      <w:r>
        <w:rPr>
          <w:rFonts w:hint="eastAsia" w:ascii="宋体" w:hAnsi="宋体" w:cs="宋体"/>
          <w:kern w:val="0"/>
          <w:sz w:val="24"/>
          <w:lang w:val="en-US" w:eastAsia="zh-CN"/>
        </w:rPr>
        <w:t>8</w:t>
      </w:r>
      <w:r>
        <w:rPr>
          <w:rFonts w:hint="eastAsia" w:ascii="宋体" w:hAnsi="宋体" w:cs="宋体"/>
          <w:kern w:val="0"/>
          <w:sz w:val="24"/>
          <w:lang w:val="zh-CN"/>
        </w:rPr>
        <w:t>低压开关柜所选用的电器元件，其技术性能应不低于相关的国家标准，并且是通过正式鉴定、取得3C认证的定型产品；</w:t>
      </w:r>
    </w:p>
    <w:p w14:paraId="05B54344">
      <w:pPr>
        <w:autoSpaceDE w:val="0"/>
        <w:autoSpaceDN w:val="0"/>
        <w:adjustRightInd w:val="0"/>
        <w:spacing w:line="360" w:lineRule="auto"/>
        <w:ind w:firstLine="480"/>
        <w:jc w:val="left"/>
        <w:rPr>
          <w:rFonts w:hint="eastAsia" w:ascii="宋体" w:hAnsi="宋体" w:cs="宋体"/>
          <w:kern w:val="0"/>
          <w:sz w:val="24"/>
        </w:rPr>
      </w:pPr>
      <w:r>
        <w:rPr>
          <w:rFonts w:hint="eastAsia" w:ascii="宋体" w:hAnsi="宋体" w:cs="宋体"/>
          <w:kern w:val="0"/>
          <w:sz w:val="24"/>
          <w:lang w:val="zh-CN"/>
        </w:rPr>
        <w:t>6.3.箱变外壳应外观美观，并与周边建</w:t>
      </w:r>
      <w:r>
        <w:rPr>
          <w:rFonts w:hint="eastAsia" w:ascii="宋体" w:hAnsi="宋体" w:cs="宋体"/>
          <w:kern w:val="0"/>
          <w:sz w:val="24"/>
        </w:rPr>
        <w:t>筑群及环境色调相协调。箱变金属框架应有良好的接地装置，并标明接地标识及符号。</w:t>
      </w:r>
    </w:p>
    <w:p w14:paraId="01A00999">
      <w:pPr>
        <w:autoSpaceDE w:val="0"/>
        <w:autoSpaceDN w:val="0"/>
        <w:adjustRightInd w:val="0"/>
        <w:spacing w:line="360" w:lineRule="auto"/>
        <w:jc w:val="left"/>
        <w:rPr>
          <w:rFonts w:hint="eastAsia" w:ascii="宋体" w:hAnsi="宋体" w:cs="宋体"/>
          <w:kern w:val="0"/>
          <w:sz w:val="24"/>
        </w:rPr>
      </w:pPr>
      <w:r>
        <w:rPr>
          <w:rFonts w:hint="eastAsia" w:ascii="宋体" w:hAnsi="宋体" w:cs="宋体"/>
          <w:kern w:val="0"/>
          <w:sz w:val="24"/>
        </w:rPr>
        <w:t xml:space="preserve">   6.4.箱变基础要求</w:t>
      </w:r>
    </w:p>
    <w:p w14:paraId="56966FC2">
      <w:pPr>
        <w:autoSpaceDE w:val="0"/>
        <w:autoSpaceDN w:val="0"/>
        <w:adjustRightInd w:val="0"/>
        <w:spacing w:line="360" w:lineRule="auto"/>
        <w:jc w:val="left"/>
        <w:rPr>
          <w:rFonts w:hint="eastAsia" w:ascii="宋体" w:hAnsi="宋体" w:cs="宋体"/>
          <w:kern w:val="0"/>
          <w:sz w:val="24"/>
        </w:rPr>
      </w:pPr>
      <w:r>
        <w:rPr>
          <w:rFonts w:hint="eastAsia" w:ascii="宋体" w:hAnsi="宋体" w:cs="宋体"/>
          <w:kern w:val="0"/>
          <w:sz w:val="24"/>
        </w:rPr>
        <w:t xml:space="preserve">   6.4.1</w:t>
      </w:r>
      <w:r>
        <w:rPr>
          <w:rFonts w:hint="eastAsia" w:ascii="宋体" w:hAnsi="宋体" w:cs="宋体"/>
          <w:kern w:val="0"/>
          <w:sz w:val="24"/>
          <w:lang w:val="zh-CN"/>
        </w:rPr>
        <w:t>垫层C15 基础为C25，</w:t>
      </w:r>
      <w:r>
        <w:rPr>
          <w:rFonts w:hint="eastAsia" w:ascii="宋体" w:hAnsi="宋体" w:cs="宋体"/>
          <w:kern w:val="0"/>
          <w:sz w:val="24"/>
          <w:lang w:val="en-US" w:eastAsia="zh-CN"/>
        </w:rPr>
        <w:t>钢筋：HPB300</w:t>
      </w:r>
      <w:r>
        <w:rPr>
          <w:rFonts w:hint="eastAsia" w:ascii="宋体" w:hAnsi="宋体" w:cs="宋体"/>
          <w:kern w:val="0"/>
          <w:sz w:val="24"/>
          <w:lang w:val="zh-CN"/>
        </w:rPr>
        <w:t xml:space="preserve"> f =2</w:t>
      </w:r>
      <w:r>
        <w:rPr>
          <w:rFonts w:hint="eastAsia" w:ascii="宋体" w:hAnsi="宋体" w:cs="宋体"/>
          <w:kern w:val="0"/>
          <w:sz w:val="24"/>
          <w:lang w:val="en-US" w:eastAsia="zh-CN"/>
        </w:rPr>
        <w:t>7</w:t>
      </w:r>
      <w:r>
        <w:rPr>
          <w:rFonts w:hint="eastAsia" w:ascii="宋体" w:hAnsi="宋体" w:cs="宋体"/>
          <w:kern w:val="0"/>
          <w:sz w:val="24"/>
          <w:lang w:val="zh-CN"/>
        </w:rPr>
        <w:t>0N/mm ，</w:t>
      </w:r>
      <w:r>
        <w:rPr>
          <w:rFonts w:hint="eastAsia" w:ascii="宋体" w:hAnsi="宋体" w:cs="宋体"/>
          <w:kern w:val="0"/>
          <w:sz w:val="24"/>
          <w:lang w:val="en-US" w:eastAsia="zh-CN"/>
        </w:rPr>
        <w:t>HRB335</w:t>
      </w:r>
      <w:r>
        <w:rPr>
          <w:rFonts w:hint="eastAsia" w:ascii="宋体" w:hAnsi="宋体" w:cs="宋体"/>
          <w:kern w:val="0"/>
          <w:sz w:val="24"/>
          <w:lang w:val="zh-CN"/>
        </w:rPr>
        <w:t xml:space="preserve"> f =3</w:t>
      </w:r>
      <w:r>
        <w:rPr>
          <w:rFonts w:hint="eastAsia" w:ascii="宋体" w:hAnsi="宋体" w:cs="宋体"/>
          <w:kern w:val="0"/>
          <w:sz w:val="24"/>
          <w:lang w:val="en-US" w:eastAsia="zh-CN"/>
        </w:rPr>
        <w:t>0</w:t>
      </w:r>
      <w:r>
        <w:rPr>
          <w:rFonts w:hint="eastAsia" w:ascii="宋体" w:hAnsi="宋体" w:cs="宋体"/>
          <w:kern w:val="0"/>
          <w:sz w:val="24"/>
          <w:lang w:val="zh-CN"/>
        </w:rPr>
        <w:t>0N/mm。</w:t>
      </w:r>
    </w:p>
    <w:p w14:paraId="73E96802">
      <w:pPr>
        <w:autoSpaceDE w:val="0"/>
        <w:autoSpaceDN w:val="0"/>
        <w:adjustRightInd w:val="0"/>
        <w:spacing w:line="360" w:lineRule="auto"/>
        <w:jc w:val="left"/>
        <w:rPr>
          <w:rFonts w:hint="eastAsia" w:ascii="宋体" w:hAnsi="宋体" w:cs="宋体"/>
          <w:kern w:val="0"/>
          <w:sz w:val="24"/>
        </w:rPr>
      </w:pPr>
      <w:r>
        <w:rPr>
          <w:rFonts w:hint="eastAsia" w:ascii="宋体" w:hAnsi="宋体" w:cs="宋体"/>
          <w:kern w:val="0"/>
          <w:sz w:val="24"/>
        </w:rPr>
        <w:t xml:space="preserve">   6.4.2基础施工应符合JGJ16-83《建筑电气设计技术规程》的有关规定。</w:t>
      </w:r>
    </w:p>
    <w:p w14:paraId="4A71D670">
      <w:pPr>
        <w:autoSpaceDE w:val="0"/>
        <w:autoSpaceDN w:val="0"/>
        <w:adjustRightInd w:val="0"/>
        <w:spacing w:line="360" w:lineRule="auto"/>
        <w:jc w:val="left"/>
        <w:rPr>
          <w:rFonts w:hint="eastAsia" w:ascii="宋体" w:hAnsi="宋体" w:cs="宋体"/>
          <w:kern w:val="0"/>
          <w:sz w:val="24"/>
        </w:rPr>
      </w:pPr>
      <w:r>
        <w:rPr>
          <w:rFonts w:hint="eastAsia" w:ascii="宋体" w:hAnsi="宋体" w:cs="宋体"/>
          <w:kern w:val="0"/>
          <w:sz w:val="24"/>
        </w:rPr>
        <w:t xml:space="preserve">   6.4.3接地干线及接地极的作法按常规，接地干线沿箱变四周布置，接地电阻要求小于等于4欧姆，户外箱与地基槽钢焊接牢固，焊后必须做防腐防锈处理。</w:t>
      </w:r>
    </w:p>
    <w:p w14:paraId="39A87553">
      <w:pPr>
        <w:autoSpaceDE w:val="0"/>
        <w:autoSpaceDN w:val="0"/>
        <w:adjustRightInd w:val="0"/>
        <w:spacing w:line="360" w:lineRule="auto"/>
        <w:jc w:val="left"/>
        <w:rPr>
          <w:rFonts w:hint="eastAsia" w:ascii="宋体" w:hAnsi="宋体" w:cs="宋体"/>
          <w:kern w:val="0"/>
          <w:sz w:val="24"/>
        </w:rPr>
      </w:pPr>
      <w:r>
        <w:rPr>
          <w:rFonts w:hint="eastAsia" w:ascii="宋体" w:hAnsi="宋体" w:cs="宋体"/>
          <w:kern w:val="0"/>
          <w:sz w:val="24"/>
        </w:rPr>
        <w:t xml:space="preserve">   6.4.4电缆固定架根据设计文件要求采用的镀锌角钢，按实际电缆使用的抱箍打好孔。</w:t>
      </w:r>
    </w:p>
    <w:p w14:paraId="121AB4BB">
      <w:pPr>
        <w:autoSpaceDE w:val="0"/>
        <w:autoSpaceDN w:val="0"/>
        <w:adjustRightInd w:val="0"/>
        <w:spacing w:line="360" w:lineRule="auto"/>
        <w:jc w:val="left"/>
        <w:rPr>
          <w:rFonts w:hint="eastAsia" w:ascii="宋体" w:hAnsi="宋体" w:cs="宋体"/>
          <w:kern w:val="0"/>
          <w:sz w:val="24"/>
        </w:rPr>
      </w:pPr>
      <w:r>
        <w:rPr>
          <w:rFonts w:hint="eastAsia" w:ascii="宋体" w:hAnsi="宋体" w:cs="宋体"/>
          <w:kern w:val="0"/>
          <w:sz w:val="24"/>
        </w:rPr>
        <w:t xml:space="preserve">   6.4.5电缆井及盖板的尺寸可以根据不同地方的实际情况施工，需考虑防水及</w:t>
      </w:r>
      <w:r>
        <w:rPr>
          <w:rFonts w:ascii="宋体" w:hAnsi="宋体" w:cs="宋体"/>
          <w:kern w:val="0"/>
          <w:sz w:val="24"/>
        </w:rPr>
        <w:t>排水</w:t>
      </w:r>
      <w:r>
        <w:rPr>
          <w:rFonts w:hint="eastAsia" w:ascii="宋体" w:hAnsi="宋体" w:cs="宋体"/>
          <w:kern w:val="0"/>
          <w:sz w:val="24"/>
        </w:rPr>
        <w:t>。</w:t>
      </w:r>
    </w:p>
    <w:p w14:paraId="00067CB4">
      <w:pPr>
        <w:autoSpaceDE w:val="0"/>
        <w:autoSpaceDN w:val="0"/>
        <w:adjustRightInd w:val="0"/>
        <w:spacing w:line="360" w:lineRule="auto"/>
        <w:jc w:val="left"/>
        <w:rPr>
          <w:rFonts w:hint="eastAsia" w:ascii="宋体" w:hAnsi="宋体" w:cs="宋体"/>
          <w:kern w:val="0"/>
          <w:sz w:val="24"/>
        </w:rPr>
      </w:pPr>
      <w:r>
        <w:rPr>
          <w:rFonts w:hint="eastAsia" w:ascii="宋体" w:hAnsi="宋体" w:cs="宋体"/>
          <w:kern w:val="0"/>
          <w:sz w:val="24"/>
        </w:rPr>
        <w:t xml:space="preserve">   6.4.6箱变四周需留有1.5米以上的操作通道。</w:t>
      </w:r>
    </w:p>
    <w:p w14:paraId="5649B0B0">
      <w:pPr>
        <w:autoSpaceDE w:val="0"/>
        <w:autoSpaceDN w:val="0"/>
        <w:adjustRightInd w:val="0"/>
        <w:spacing w:line="360" w:lineRule="auto"/>
        <w:jc w:val="left"/>
        <w:rPr>
          <w:rFonts w:hint="eastAsia" w:ascii="宋体" w:hAnsi="宋体" w:cs="宋体"/>
          <w:kern w:val="0"/>
          <w:sz w:val="24"/>
        </w:rPr>
      </w:pPr>
      <w:r>
        <w:rPr>
          <w:rFonts w:hint="eastAsia" w:ascii="宋体" w:hAnsi="宋体" w:cs="宋体"/>
          <w:kern w:val="0"/>
          <w:sz w:val="24"/>
        </w:rPr>
        <w:t xml:space="preserve">   6.5.工程质量标准</w:t>
      </w:r>
    </w:p>
    <w:p w14:paraId="7CC237EA">
      <w:pPr>
        <w:pStyle w:val="39"/>
        <w:ind w:firstLine="360" w:firstLineChars="150"/>
        <w:rPr>
          <w:rFonts w:ascii="宋体" w:hAnsi="宋体" w:eastAsia="宋体"/>
          <w:sz w:val="24"/>
          <w:szCs w:val="24"/>
        </w:rPr>
      </w:pPr>
      <w:r>
        <w:rPr>
          <w:rFonts w:hint="eastAsia" w:ascii="宋体" w:hAnsi="宋体" w:eastAsia="宋体"/>
          <w:sz w:val="24"/>
          <w:szCs w:val="24"/>
        </w:rPr>
        <w:t>本工程参照以下标准规范</w:t>
      </w:r>
      <w:bookmarkStart w:id="4" w:name="_GoBack"/>
      <w:bookmarkEnd w:id="4"/>
      <w:r>
        <w:rPr>
          <w:rFonts w:hint="eastAsia" w:ascii="宋体" w:hAnsi="宋体" w:eastAsia="宋体"/>
          <w:sz w:val="24"/>
          <w:szCs w:val="24"/>
        </w:rPr>
        <w:t>施工及验收</w:t>
      </w:r>
    </w:p>
    <w:p w14:paraId="0A3D25B6">
      <w:pPr>
        <w:pStyle w:val="39"/>
        <w:ind w:firstLine="240" w:firstLineChars="100"/>
        <w:rPr>
          <w:rFonts w:hint="eastAsia" w:ascii="宋体" w:hAnsi="宋体" w:eastAsia="宋体"/>
          <w:sz w:val="24"/>
          <w:szCs w:val="24"/>
          <w:lang w:val="en-US" w:eastAsia="zh-CN"/>
        </w:rPr>
      </w:pPr>
      <w:r>
        <w:rPr>
          <w:rFonts w:hint="eastAsia" w:ascii="宋体" w:hAnsi="宋体" w:eastAsia="宋体"/>
          <w:sz w:val="24"/>
          <w:szCs w:val="24"/>
        </w:rPr>
        <w:t>《建筑电气工程施工质量验收规范》GB50303-201</w:t>
      </w:r>
      <w:r>
        <w:rPr>
          <w:rFonts w:hint="eastAsia" w:ascii="宋体" w:hAnsi="宋体" w:eastAsia="宋体"/>
          <w:sz w:val="24"/>
          <w:szCs w:val="24"/>
          <w:lang w:val="en-US" w:eastAsia="zh-CN"/>
        </w:rPr>
        <w:t>5</w:t>
      </w:r>
    </w:p>
    <w:p w14:paraId="57CFF7E2">
      <w:pPr>
        <w:pStyle w:val="39"/>
        <w:ind w:firstLine="240" w:firstLineChars="100"/>
        <w:rPr>
          <w:rFonts w:ascii="宋体" w:hAnsi="宋体" w:eastAsia="宋体"/>
          <w:sz w:val="24"/>
          <w:szCs w:val="24"/>
        </w:rPr>
      </w:pPr>
      <w:r>
        <w:rPr>
          <w:rFonts w:hint="eastAsia" w:ascii="宋体" w:hAnsi="宋体" w:eastAsia="宋体"/>
          <w:sz w:val="24"/>
          <w:szCs w:val="24"/>
        </w:rPr>
        <w:t>《电气装置安装工程：电力变压器、油浸电抗器、互感器施工及施工及验收规范》GB50148-2010</w:t>
      </w:r>
    </w:p>
    <w:p w14:paraId="00DD4C11">
      <w:pPr>
        <w:pStyle w:val="39"/>
        <w:ind w:firstLine="240" w:firstLineChars="100"/>
        <w:rPr>
          <w:rFonts w:hint="eastAsia" w:ascii="宋体" w:hAnsi="宋体" w:eastAsia="宋体"/>
          <w:sz w:val="24"/>
          <w:szCs w:val="24"/>
          <w:lang w:val="en-US" w:eastAsia="zh-CN"/>
        </w:rPr>
      </w:pPr>
      <w:r>
        <w:rPr>
          <w:rFonts w:hint="eastAsia" w:ascii="宋体" w:hAnsi="宋体" w:eastAsia="宋体"/>
          <w:sz w:val="24"/>
          <w:szCs w:val="24"/>
        </w:rPr>
        <w:t>《电气装置安装工程电气设备交接试验标准》GB50150-20</w:t>
      </w:r>
      <w:r>
        <w:rPr>
          <w:rFonts w:hint="eastAsia" w:ascii="宋体" w:hAnsi="宋体" w:eastAsia="宋体"/>
          <w:sz w:val="24"/>
          <w:szCs w:val="24"/>
          <w:lang w:val="en-US" w:eastAsia="zh-CN"/>
        </w:rPr>
        <w:t>16</w:t>
      </w:r>
    </w:p>
    <w:p w14:paraId="729875E9">
      <w:pPr>
        <w:pStyle w:val="39"/>
        <w:ind w:firstLine="240" w:firstLineChars="100"/>
        <w:rPr>
          <w:rFonts w:ascii="宋体" w:hAnsi="宋体" w:eastAsia="宋体"/>
          <w:sz w:val="24"/>
          <w:szCs w:val="24"/>
        </w:rPr>
      </w:pPr>
      <w:r>
        <w:rPr>
          <w:rFonts w:hint="eastAsia" w:ascii="宋体" w:hAnsi="宋体" w:eastAsia="宋体"/>
          <w:sz w:val="24"/>
          <w:szCs w:val="24"/>
        </w:rPr>
        <w:t>《高压/低压预装式变压站》GB17467-2010</w:t>
      </w:r>
    </w:p>
    <w:p w14:paraId="500612A5">
      <w:pPr>
        <w:pStyle w:val="39"/>
        <w:ind w:firstLine="240" w:firstLineChars="100"/>
        <w:rPr>
          <w:rFonts w:hint="default" w:ascii="宋体" w:hAnsi="宋体" w:eastAsia="宋体"/>
          <w:sz w:val="24"/>
          <w:szCs w:val="24"/>
          <w:lang w:val="en-US" w:eastAsia="zh-CN"/>
        </w:rPr>
      </w:pPr>
      <w:r>
        <w:rPr>
          <w:rFonts w:hint="eastAsia" w:ascii="宋体" w:hAnsi="宋体" w:eastAsia="宋体"/>
          <w:sz w:val="24"/>
          <w:szCs w:val="24"/>
        </w:rPr>
        <w:t>《低压抽出式成套开关设备和控制设备》GB/T24274-20</w:t>
      </w:r>
      <w:r>
        <w:rPr>
          <w:rFonts w:hint="eastAsia" w:ascii="宋体" w:hAnsi="宋体" w:eastAsia="宋体"/>
          <w:sz w:val="24"/>
          <w:szCs w:val="24"/>
          <w:lang w:val="en-US" w:eastAsia="zh-CN"/>
        </w:rPr>
        <w:t>19</w:t>
      </w:r>
    </w:p>
    <w:p w14:paraId="15BA3182">
      <w:pPr>
        <w:pStyle w:val="39"/>
        <w:ind w:firstLine="240" w:firstLineChars="100"/>
        <w:rPr>
          <w:rFonts w:ascii="宋体" w:hAnsi="宋体" w:eastAsia="宋体"/>
          <w:sz w:val="24"/>
          <w:szCs w:val="24"/>
        </w:rPr>
      </w:pPr>
      <w:r>
        <w:rPr>
          <w:rFonts w:hint="eastAsia" w:ascii="宋体" w:hAnsi="宋体" w:eastAsia="宋体"/>
          <w:sz w:val="24"/>
          <w:szCs w:val="24"/>
        </w:rPr>
        <w:t>《高压开关设备和控制设备标准的共用技术要求》GB/T11022-2011</w:t>
      </w:r>
    </w:p>
    <w:p w14:paraId="2EAD1CFB">
      <w:pPr>
        <w:pStyle w:val="39"/>
        <w:ind w:firstLine="240" w:firstLineChars="100"/>
        <w:rPr>
          <w:rFonts w:hint="eastAsia" w:ascii="宋体" w:hAnsi="宋体" w:eastAsia="宋体"/>
          <w:sz w:val="24"/>
          <w:szCs w:val="24"/>
        </w:rPr>
      </w:pPr>
      <w:r>
        <w:rPr>
          <w:rFonts w:hint="eastAsia" w:ascii="宋体" w:hAnsi="宋体" w:eastAsia="宋体"/>
          <w:sz w:val="24"/>
          <w:szCs w:val="24"/>
        </w:rPr>
        <w:t>《城市区域环境噪声标准》GB3096-2008</w:t>
      </w:r>
    </w:p>
    <w:p w14:paraId="22280A0C">
      <w:pPr>
        <w:pStyle w:val="39"/>
        <w:ind w:firstLine="0" w:firstLineChars="0"/>
        <w:rPr>
          <w:rFonts w:hint="eastAsia" w:ascii="宋体" w:hAnsi="宋体" w:eastAsia="宋体"/>
          <w:b/>
          <w:sz w:val="24"/>
          <w:szCs w:val="24"/>
        </w:rPr>
      </w:pPr>
      <w:r>
        <w:rPr>
          <w:rFonts w:hint="eastAsia" w:ascii="宋体" w:hAnsi="宋体" w:eastAsia="宋体"/>
          <w:b/>
          <w:sz w:val="24"/>
          <w:szCs w:val="24"/>
        </w:rPr>
        <w:t>七、现场管理要求：</w:t>
      </w:r>
    </w:p>
    <w:p w14:paraId="7286DDD1">
      <w:pPr>
        <w:pStyle w:val="39"/>
        <w:spacing w:line="360" w:lineRule="auto"/>
        <w:ind w:firstLine="480"/>
        <w:rPr>
          <w:rFonts w:ascii="宋体" w:hAnsi="宋体" w:eastAsia="宋体"/>
          <w:sz w:val="24"/>
          <w:szCs w:val="24"/>
        </w:rPr>
      </w:pPr>
      <w:r>
        <w:rPr>
          <w:rFonts w:hint="eastAsia" w:ascii="宋体" w:hAnsi="宋体" w:eastAsia="宋体"/>
          <w:sz w:val="24"/>
          <w:szCs w:val="24"/>
        </w:rPr>
        <w:t>7.1 中标单位必须按招标方或监理工程师的指令、经批准的施工组织方案和安全技术规范以及现场实际情况组织施工，并达到招标方及供电局的验收标准。如有违反，招标方及监理工程师有权提出停工或责令中标单位返工并处以罚款。工程质量、工期发生严重问题或中标单位多次不执行监理工程师及招标方指令时，招标方有权终止合同，另行委托其他单位进行施工，由此造成的损失由中标单位负责。</w:t>
      </w:r>
    </w:p>
    <w:p w14:paraId="0041662A">
      <w:pPr>
        <w:pStyle w:val="39"/>
        <w:spacing w:line="360" w:lineRule="auto"/>
        <w:ind w:firstLine="480"/>
        <w:rPr>
          <w:rFonts w:ascii="宋体" w:hAnsi="宋体" w:eastAsia="宋体"/>
          <w:sz w:val="24"/>
          <w:szCs w:val="24"/>
        </w:rPr>
      </w:pPr>
      <w:r>
        <w:rPr>
          <w:rFonts w:hint="eastAsia" w:ascii="宋体" w:hAnsi="宋体" w:eastAsia="宋体"/>
          <w:sz w:val="24"/>
          <w:szCs w:val="24"/>
        </w:rPr>
        <w:t>7.2 中标单位指派代表负责与监理工程师及招标方互相联络，参加监理工程师组织的工程例会，服从监理工程师的指示和管理，执行招标方及监理在施工质量、安全生产、文明施工方面的规章制度，以及服从招标方与监理工程师对施工质量、安全生产、文明施工及执行各规章制度的检查及罚款。</w:t>
      </w:r>
    </w:p>
    <w:p w14:paraId="2E753245">
      <w:pPr>
        <w:pStyle w:val="39"/>
        <w:spacing w:line="360" w:lineRule="auto"/>
        <w:ind w:firstLine="480"/>
        <w:rPr>
          <w:rFonts w:ascii="宋体" w:hAnsi="宋体" w:eastAsia="宋体"/>
          <w:sz w:val="24"/>
          <w:szCs w:val="24"/>
        </w:rPr>
      </w:pPr>
      <w:r>
        <w:rPr>
          <w:rFonts w:hint="eastAsia" w:ascii="宋体" w:hAnsi="宋体" w:eastAsia="宋体"/>
          <w:sz w:val="24"/>
          <w:szCs w:val="24"/>
        </w:rPr>
        <w:t>7.3 材料进场前，中标单位需提供招标方、监理要求提供的技术资料并进行申报，在征得审批同意进场后，经见证送检合格后方可安装，否则该部分工程量不予计量。如果在合同条款规定的保证期内，根据招标方或有关部门的检验结果，发现材料的质量或规格与合同要求不符，或被证实有缺陷，包括潜在的缺陷或使用不合适的材料，招标方可向中标单位提出索赔。</w:t>
      </w:r>
    </w:p>
    <w:p w14:paraId="4E9727D5">
      <w:pPr>
        <w:pStyle w:val="39"/>
        <w:spacing w:line="360" w:lineRule="auto"/>
        <w:ind w:firstLine="480"/>
        <w:rPr>
          <w:rFonts w:hint="eastAsia" w:ascii="宋体" w:hAnsi="宋体" w:eastAsia="宋体"/>
          <w:sz w:val="24"/>
          <w:szCs w:val="24"/>
        </w:rPr>
      </w:pPr>
      <w:r>
        <w:rPr>
          <w:rFonts w:hint="eastAsia" w:ascii="宋体" w:hAnsi="宋体" w:eastAsia="宋体"/>
          <w:sz w:val="24"/>
          <w:szCs w:val="24"/>
        </w:rPr>
        <w:t>7.4 中标单位项目经理必须持有相关资质证书，必须常驻现场，离开现场2天（含2天）以上需经招标方同意。中途更换项目经理，需提前7天以书面形式通知招标方。招标方有权就不称职的项目经理向中标单位提出更换。</w:t>
      </w:r>
    </w:p>
    <w:p w14:paraId="75A555A7">
      <w:pPr>
        <w:spacing w:line="360" w:lineRule="auto"/>
        <w:rPr>
          <w:rFonts w:ascii="宋体" w:hAnsi="宋体"/>
          <w:b/>
          <w:sz w:val="24"/>
        </w:rPr>
      </w:pPr>
      <w:r>
        <w:rPr>
          <w:rFonts w:hint="eastAsia" w:ascii="宋体" w:hAnsi="宋体"/>
          <w:b/>
          <w:sz w:val="24"/>
        </w:rPr>
        <w:t>八、安全、文明施工</w:t>
      </w:r>
    </w:p>
    <w:p w14:paraId="566C8B98">
      <w:pPr>
        <w:spacing w:line="360" w:lineRule="auto"/>
        <w:ind w:firstLine="480" w:firstLineChars="200"/>
        <w:rPr>
          <w:rFonts w:ascii="宋体" w:hAnsi="宋体"/>
          <w:sz w:val="24"/>
        </w:rPr>
      </w:pPr>
      <w:r>
        <w:rPr>
          <w:rFonts w:hint="eastAsia" w:ascii="宋体" w:hAnsi="宋体"/>
          <w:sz w:val="24"/>
        </w:rPr>
        <w:t>8.1中标单位应按我</w:t>
      </w:r>
      <w:r>
        <w:rPr>
          <w:rFonts w:ascii="宋体" w:hAnsi="宋体"/>
          <w:sz w:val="24"/>
        </w:rPr>
        <w:t>司</w:t>
      </w:r>
      <w:r>
        <w:rPr>
          <w:rFonts w:hint="eastAsia" w:ascii="宋体" w:hAnsi="宋体"/>
          <w:sz w:val="24"/>
        </w:rPr>
        <w:t>安全施工、</w:t>
      </w:r>
      <w:r>
        <w:rPr>
          <w:rFonts w:ascii="宋体" w:hAnsi="宋体"/>
          <w:sz w:val="24"/>
        </w:rPr>
        <w:t>用电要求</w:t>
      </w:r>
      <w:r>
        <w:rPr>
          <w:rFonts w:hint="eastAsia" w:ascii="宋体" w:hAnsi="宋体"/>
          <w:sz w:val="24"/>
        </w:rPr>
        <w:t>（详见</w:t>
      </w:r>
      <w:r>
        <w:rPr>
          <w:rFonts w:ascii="宋体" w:hAnsi="宋体"/>
          <w:sz w:val="24"/>
        </w:rPr>
        <w:t>附件</w:t>
      </w:r>
      <w:r>
        <w:rPr>
          <w:rFonts w:hint="eastAsia" w:ascii="宋体" w:hAnsi="宋体"/>
          <w:sz w:val="24"/>
        </w:rPr>
        <w:t>）</w:t>
      </w:r>
      <w:r>
        <w:rPr>
          <w:rFonts w:ascii="宋体" w:hAnsi="宋体"/>
          <w:sz w:val="24"/>
        </w:rPr>
        <w:t>等</w:t>
      </w:r>
      <w:r>
        <w:rPr>
          <w:rFonts w:hint="eastAsia" w:ascii="宋体" w:hAnsi="宋体"/>
          <w:sz w:val="24"/>
        </w:rPr>
        <w:t>有关规定，采取严格、科学的安全防护措施，确保施工安全；施工现场按工程需要提供和维护必要的照明、看守、围栏等，如乙方未履行上述义务，造成工程、财产损失和人身伤害，由中标单位承担责任及其发生的费用。</w:t>
      </w:r>
    </w:p>
    <w:p w14:paraId="3240D90E">
      <w:pPr>
        <w:spacing w:line="360" w:lineRule="auto"/>
        <w:ind w:firstLine="480" w:firstLineChars="200"/>
        <w:rPr>
          <w:rFonts w:ascii="宋体" w:hAnsi="宋体"/>
          <w:sz w:val="24"/>
        </w:rPr>
      </w:pPr>
      <w:r>
        <w:rPr>
          <w:rFonts w:hint="eastAsia" w:ascii="宋体" w:hAnsi="宋体"/>
          <w:sz w:val="24"/>
        </w:rPr>
        <w:t>8.2施工中因中标单位原因发生的一切安全事故由中标单位承担全部责任，并立即书面报告甲方和监理工程师。</w:t>
      </w:r>
    </w:p>
    <w:p w14:paraId="357C8083">
      <w:pPr>
        <w:spacing w:line="360" w:lineRule="auto"/>
        <w:ind w:firstLine="480" w:firstLineChars="200"/>
        <w:rPr>
          <w:rFonts w:ascii="宋体" w:hAnsi="宋体"/>
          <w:sz w:val="24"/>
        </w:rPr>
      </w:pPr>
      <w:r>
        <w:rPr>
          <w:rFonts w:hint="eastAsia" w:ascii="宋体" w:hAnsi="宋体"/>
          <w:sz w:val="24"/>
        </w:rPr>
        <w:t>8.3中标单位应对施工现场的工作人员进行安全教育，并对他们的安全负责。</w:t>
      </w:r>
    </w:p>
    <w:p w14:paraId="0B1AE7A3">
      <w:pPr>
        <w:spacing w:line="360" w:lineRule="auto"/>
        <w:ind w:firstLine="480" w:firstLineChars="200"/>
        <w:rPr>
          <w:rFonts w:ascii="宋体" w:hAnsi="宋体"/>
          <w:sz w:val="24"/>
        </w:rPr>
      </w:pPr>
      <w:r>
        <w:rPr>
          <w:rFonts w:hint="eastAsia" w:ascii="宋体" w:hAnsi="宋体"/>
          <w:sz w:val="24"/>
        </w:rPr>
        <w:t>8.4中标单位应遵守当地有关部门对施工场地交通、施工噪声、施工现场环境卫生和场外污染等的管理规定。否则，造成的处罚由中标单位负责。</w:t>
      </w:r>
    </w:p>
    <w:p w14:paraId="3D581243">
      <w:pPr>
        <w:spacing w:line="360" w:lineRule="auto"/>
        <w:ind w:firstLine="600" w:firstLineChars="250"/>
        <w:rPr>
          <w:rFonts w:ascii="宋体" w:hAnsi="宋体"/>
          <w:sz w:val="24"/>
        </w:rPr>
      </w:pPr>
      <w:r>
        <w:rPr>
          <w:rFonts w:hint="eastAsia" w:ascii="宋体" w:hAnsi="宋体"/>
          <w:sz w:val="24"/>
        </w:rPr>
        <w:t>8.5施工开展前，中标单位应主动了解熟悉施工区域及敷设线路路径区域、周边的市政管线、地下建筑、设备等情况。提前修改施工计划或图纸，避免施工中造成破坏。否则，造成的后果或处罚由中标单位承担。</w:t>
      </w:r>
    </w:p>
    <w:p w14:paraId="62F28EEB">
      <w:pPr>
        <w:tabs>
          <w:tab w:val="left" w:pos="0"/>
        </w:tabs>
        <w:spacing w:line="360" w:lineRule="auto"/>
        <w:ind w:firstLine="600" w:firstLineChars="250"/>
        <w:rPr>
          <w:rFonts w:ascii="宋体" w:hAnsi="宋体"/>
          <w:sz w:val="24"/>
        </w:rPr>
      </w:pPr>
      <w:r>
        <w:rPr>
          <w:rFonts w:hint="eastAsia" w:ascii="宋体" w:hAnsi="宋体"/>
          <w:sz w:val="24"/>
        </w:rPr>
        <w:t>8.6施工期间，中标单位应保持现场没有一切必要的障碍物，妥善存放和处理材料、设备安放。及时从现场清除并运走任何残留物、垃圾和不再需要的临时工程。现场不提供住宿条件。中标单位现场工作人员必须着装统一。</w:t>
      </w:r>
    </w:p>
    <w:p w14:paraId="4B73CDD7">
      <w:pPr>
        <w:spacing w:line="360" w:lineRule="auto"/>
        <w:ind w:firstLine="480" w:firstLineChars="200"/>
        <w:rPr>
          <w:rFonts w:ascii="宋体" w:hAnsi="宋体"/>
          <w:sz w:val="24"/>
        </w:rPr>
      </w:pPr>
      <w:r>
        <w:rPr>
          <w:rFonts w:hint="eastAsia" w:ascii="宋体" w:hAnsi="宋体"/>
          <w:sz w:val="24"/>
        </w:rPr>
        <w:t>8.7现场临时施工用水用电由中标方自行解决，费用报价时综合考虑。</w:t>
      </w:r>
    </w:p>
    <w:p w14:paraId="5FD15D82">
      <w:pPr>
        <w:spacing w:line="360" w:lineRule="auto"/>
        <w:rPr>
          <w:rFonts w:ascii="宋体" w:hAnsi="宋体"/>
          <w:b/>
          <w:sz w:val="24"/>
        </w:rPr>
      </w:pPr>
      <w:r>
        <w:rPr>
          <w:rFonts w:hint="eastAsia" w:ascii="宋体" w:hAnsi="宋体"/>
          <w:b/>
          <w:sz w:val="24"/>
        </w:rPr>
        <w:t>九、 产品保修及维保要求</w:t>
      </w:r>
    </w:p>
    <w:p w14:paraId="7DEE214F">
      <w:pPr>
        <w:spacing w:line="360" w:lineRule="auto"/>
        <w:ind w:firstLine="360" w:firstLineChars="150"/>
        <w:rPr>
          <w:rFonts w:ascii="宋体" w:hAnsi="宋体"/>
          <w:sz w:val="24"/>
        </w:rPr>
      </w:pPr>
      <w:r>
        <w:rPr>
          <w:rFonts w:hint="eastAsia" w:ascii="宋体" w:hAnsi="宋体"/>
          <w:sz w:val="24"/>
        </w:rPr>
        <w:t>9.1质量保修期为两年，从供电公司验收合格正式通电之日开始。</w:t>
      </w:r>
      <w:r>
        <w:rPr>
          <w:rFonts w:hint="eastAsia" w:ascii="宋体" w:hAnsi="宋体"/>
          <w:sz w:val="24"/>
          <w:lang w:eastAsia="zh-CN"/>
        </w:rPr>
        <w:t>其间</w:t>
      </w:r>
      <w:r>
        <w:rPr>
          <w:rFonts w:hint="eastAsia" w:ascii="宋体" w:hAnsi="宋体"/>
          <w:sz w:val="24"/>
        </w:rPr>
        <w:t>若有质量问题并确认中标单位责任，中标单位须及时处理，所发生的费用</w:t>
      </w:r>
      <w:r>
        <w:rPr>
          <w:rFonts w:hint="eastAsia" w:ascii="宋体" w:hAnsi="宋体"/>
          <w:sz w:val="24"/>
          <w:lang w:eastAsia="zh-CN"/>
        </w:rPr>
        <w:t>由</w:t>
      </w:r>
      <w:r>
        <w:rPr>
          <w:rFonts w:hint="eastAsia" w:ascii="宋体" w:hAnsi="宋体"/>
          <w:sz w:val="24"/>
        </w:rPr>
        <w:t>乙方承担。</w:t>
      </w:r>
    </w:p>
    <w:p w14:paraId="7DA66E64">
      <w:pPr>
        <w:spacing w:line="360" w:lineRule="auto"/>
        <w:ind w:firstLine="480" w:firstLineChars="200"/>
        <w:rPr>
          <w:rFonts w:ascii="宋体" w:hAnsi="宋体"/>
          <w:sz w:val="24"/>
        </w:rPr>
      </w:pPr>
      <w:r>
        <w:rPr>
          <w:rFonts w:hint="eastAsia" w:ascii="宋体" w:hAnsi="宋体"/>
          <w:sz w:val="24"/>
        </w:rPr>
        <w:t>9.2 当现场出现问题时厂家必须8小时内到场，并在24小时内提出甲方认可的处理意见。</w:t>
      </w:r>
    </w:p>
    <w:bookmarkEnd w:id="3"/>
    <w:p w14:paraId="6534D3CD">
      <w:pPr>
        <w:pStyle w:val="3"/>
        <w:spacing w:before="60" w:after="60" w:line="415" w:lineRule="auto"/>
        <w:rPr>
          <w:rFonts w:hint="eastAsia" w:ascii="Arial" w:hAnsi="Arial" w:cs="Times New Roman"/>
          <w:sz w:val="28"/>
          <w:szCs w:val="28"/>
          <w:lang w:val="en-US" w:eastAsia="zh-CN"/>
        </w:rPr>
      </w:pPr>
      <w:r>
        <w:rPr>
          <w:rFonts w:hint="eastAsia" w:ascii="Arial" w:hAnsi="Arial" w:cs="Times New Roman"/>
          <w:sz w:val="28"/>
          <w:szCs w:val="28"/>
          <w:lang w:val="en-US" w:eastAsia="zh-CN"/>
        </w:rPr>
        <w:t>十、施工工期要求</w:t>
      </w:r>
    </w:p>
    <w:p w14:paraId="1700C899">
      <w:pPr>
        <w:pStyle w:val="48"/>
        <w:keepNext w:val="0"/>
        <w:keepLines w:val="0"/>
        <w:widowControl w:val="0"/>
        <w:shd w:val="clear" w:color="auto" w:fill="auto"/>
        <w:bidi w:val="0"/>
        <w:spacing w:before="0" w:after="100" w:line="360" w:lineRule="auto"/>
        <w:ind w:left="0" w:right="0" w:firstLine="480"/>
        <w:jc w:val="both"/>
        <w:rPr>
          <w:rStyle w:val="31"/>
          <w:rFonts w:hint="eastAsia" w:ascii="宋体" w:hAnsi="宋体" w:eastAsia="宋体" w:cs="宋体"/>
          <w:b w:val="0"/>
          <w:bCs w:val="0"/>
          <w:kern w:val="2"/>
          <w:sz w:val="24"/>
          <w:szCs w:val="24"/>
          <w:lang w:val="en-US" w:eastAsia="zh-CN" w:bidi="ar-SA"/>
        </w:rPr>
      </w:pPr>
      <w:r>
        <w:rPr>
          <w:rStyle w:val="31"/>
          <w:rFonts w:hint="eastAsia" w:ascii="宋体" w:hAnsi="宋体" w:eastAsia="宋体" w:cs="宋体"/>
          <w:b w:val="0"/>
          <w:bCs w:val="0"/>
          <w:kern w:val="2"/>
          <w:sz w:val="24"/>
          <w:szCs w:val="24"/>
          <w:lang w:val="en-US" w:eastAsia="zh-CN" w:bidi="ar-SA"/>
        </w:rPr>
        <w:t>工期要求：自合同签订之日起45日历天内完成</w:t>
      </w:r>
      <w:r>
        <w:rPr>
          <w:rStyle w:val="31"/>
          <w:rFonts w:hint="eastAsia" w:cs="宋体"/>
          <w:b w:val="0"/>
          <w:bCs w:val="0"/>
          <w:kern w:val="2"/>
          <w:sz w:val="24"/>
          <w:szCs w:val="24"/>
          <w:lang w:val="en-US" w:eastAsia="zh-CN" w:bidi="ar-SA"/>
        </w:rPr>
        <w:t>现场设备安装</w:t>
      </w:r>
      <w:r>
        <w:rPr>
          <w:rStyle w:val="31"/>
          <w:rFonts w:hint="eastAsia" w:ascii="宋体" w:hAnsi="宋体" w:eastAsia="宋体" w:cs="宋体"/>
          <w:b w:val="0"/>
          <w:bCs w:val="0"/>
          <w:kern w:val="2"/>
          <w:sz w:val="24"/>
          <w:szCs w:val="24"/>
          <w:lang w:val="en-US" w:eastAsia="zh-CN" w:bidi="ar-SA"/>
        </w:rPr>
        <w:t>施工，如工期发生延误，甲方将根据延误具体情况可给予每天500元或1000元的处罚。</w:t>
      </w:r>
    </w:p>
    <w:sectPr>
      <w:footerReference r:id="rId7" w:type="first"/>
      <w:headerReference r:id="rId5" w:type="default"/>
      <w:footerReference r:id="rId6" w:type="default"/>
      <w:pgSz w:w="11906" w:h="16838"/>
      <w:pgMar w:top="1440" w:right="1134" w:bottom="1440" w:left="1134" w:header="709" w:footer="709" w:gutter="0"/>
      <w:pgNumType w:start="1"/>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Calibri Light">
    <w:panose1 w:val="020F03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A831C">
    <w:pPr>
      <w:pStyle w:val="14"/>
      <w:jc w:val="center"/>
    </w:pPr>
    <w:r>
      <mc:AlternateContent>
        <mc:Choice Requires="wps">
          <w:drawing>
            <wp:anchor distT="0" distB="0" distL="114300" distR="114300" simplePos="0" relativeHeight="251659264" behindDoc="0" locked="0" layoutInCell="1" allowOverlap="1">
              <wp:simplePos x="0" y="0"/>
              <wp:positionH relativeFrom="margin">
                <wp:posOffset>2602865</wp:posOffset>
              </wp:positionH>
              <wp:positionV relativeFrom="paragraph">
                <wp:posOffset>0</wp:posOffset>
              </wp:positionV>
              <wp:extent cx="998220" cy="211455"/>
              <wp:effectExtent l="0" t="0" r="0" b="0"/>
              <wp:wrapNone/>
              <wp:docPr id="2" name="文本框 3"/>
              <wp:cNvGraphicFramePr/>
              <a:graphic xmlns:a="http://schemas.openxmlformats.org/drawingml/2006/main">
                <a:graphicData uri="http://schemas.microsoft.com/office/word/2010/wordprocessingShape">
                  <wps:wsp>
                    <wps:cNvSpPr txBox="1"/>
                    <wps:spPr>
                      <a:xfrm>
                        <a:off x="0" y="0"/>
                        <a:ext cx="998220" cy="211455"/>
                      </a:xfrm>
                      <a:prstGeom prst="rect">
                        <a:avLst/>
                      </a:prstGeom>
                      <a:noFill/>
                      <a:ln>
                        <a:noFill/>
                      </a:ln>
                    </wps:spPr>
                    <wps:txbx>
                      <w:txbxContent>
                        <w:p w14:paraId="0DDDC39C">
                          <w:pPr>
                            <w:pStyle w:val="1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r>
                            <w:rPr>
                              <w:rFonts w:hint="eastAsia"/>
                            </w:rPr>
                            <w:t xml:space="preserve"> 页 共 </w:t>
                          </w:r>
                          <w:r>
                            <w:rPr>
                              <w:rFonts w:hint="eastAsia"/>
                              <w:lang w:val="en-US" w:eastAsia="zh-CN"/>
                            </w:rPr>
                            <w:t>4</w:t>
                          </w:r>
                          <w:r>
                            <w:rPr>
                              <w:rFonts w:hint="eastAsia"/>
                            </w:rPr>
                            <w:t xml:space="preserve"> 页</w:t>
                          </w:r>
                        </w:p>
                      </w:txbxContent>
                    </wps:txbx>
                    <wps:bodyPr wrap="square" lIns="0" tIns="0" rIns="0" bIns="0" upright="0"/>
                  </wps:wsp>
                </a:graphicData>
              </a:graphic>
            </wp:anchor>
          </w:drawing>
        </mc:Choice>
        <mc:Fallback>
          <w:pict>
            <v:shape id="文本框 3" o:spid="_x0000_s1026" o:spt="202" type="#_x0000_t202" style="position:absolute;left:0pt;margin-left:204.95pt;margin-top:0pt;height:16.65pt;width:78.6pt;mso-position-horizontal-relative:margin;z-index:251659264;mso-width-relative:page;mso-height-relative:page;" filled="f" stroked="f" coordsize="21600,21600" o:gfxdata="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qVInItYAAAAHAQAADwAAAAAAAAABACAAAAAiAAAAZHJzL2Rvd25yZXYu&#10;eG1sUEsBAhQAFAAAAAgAh07iQAE5+S7EAQAAfwMAAA4AAAAAAAAAAQAgAAAAJQEAAGRycy9lMm9E&#10;b2MueG1sUEsFBgAAAAAGAAYAWQEAAFsFAAAAAA==&#10;">
              <v:fill on="f" focussize="0,0"/>
              <v:stroke on="f"/>
              <v:imagedata o:title=""/>
              <o:lock v:ext="edit" aspectratio="f"/>
              <v:textbox inset="0mm,0mm,0mm,0mm">
                <w:txbxContent>
                  <w:p w14:paraId="0DDDC39C">
                    <w:pPr>
                      <w:pStyle w:val="1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r>
                      <w:rPr>
                        <w:rFonts w:hint="eastAsia"/>
                      </w:rPr>
                      <w:t xml:space="preserve"> 页 共 </w:t>
                    </w:r>
                    <w:r>
                      <w:rPr>
                        <w:rFonts w:hint="eastAsia"/>
                        <w:lang w:val="en-US" w:eastAsia="zh-CN"/>
                      </w:rPr>
                      <w:t>4</w:t>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DD9ED">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3F3FF3">
                          <w:pPr>
                            <w:pStyle w:val="1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12页</w:t>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7Qo4MkBAACZAwAADgAAAGRycy9lMm9Eb2MueG1srVPNjtMwEL4j8Q6W&#10;79TZg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eUOG5x4OefP86//px/fydv&#10;sj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DtCjgyQEAAJkDAAAOAAAAAAAAAAEAIAAAAB4BAABkcnMvZTJvRG9j&#10;LnhtbFBLBQYAAAAABgAGAFkBAABZBQAAAAA=&#10;">
              <v:fill on="f" focussize="0,0"/>
              <v:stroke on="f"/>
              <v:imagedata o:title=""/>
              <o:lock v:ext="edit" aspectratio="f"/>
              <v:textbox inset="0mm,0mm,0mm,0mm" style="mso-fit-shape-to-text:t;">
                <w:txbxContent>
                  <w:p w14:paraId="2C3F3FF3">
                    <w:pPr>
                      <w:pStyle w:val="1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12页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58E13">
    <w:pPr>
      <w:pStyle w:val="15"/>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B5CC9"/>
    <w:multiLevelType w:val="multilevel"/>
    <w:tmpl w:val="173B5CC9"/>
    <w:lvl w:ilvl="0" w:tentative="0">
      <w:start w:val="4"/>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1C6124F"/>
    <w:multiLevelType w:val="multilevel"/>
    <w:tmpl w:val="71C6124F"/>
    <w:lvl w:ilvl="0" w:tentative="0">
      <w:start w:val="1"/>
      <w:numFmt w:val="decimal"/>
      <w:pStyle w:val="17"/>
      <w:lvlText w:val="%1."/>
      <w:lvlJc w:val="left"/>
      <w:pPr>
        <w:ind w:left="851" w:hanging="420"/>
      </w:pPr>
      <w:rPr>
        <w:rFonts w:cs="Times New Roman"/>
        <w:b/>
        <w:bCs w:val="0"/>
        <w:i w:val="0"/>
        <w:iCs w:val="0"/>
        <w:caps w:val="0"/>
        <w:smallCaps w:val="0"/>
        <w:strike w:val="0"/>
        <w:dstrike w:val="0"/>
        <w:color w:val="000000"/>
        <w:spacing w:val="0"/>
        <w:position w:val="0"/>
        <w:u w:val="none"/>
      </w:rPr>
    </w:lvl>
    <w:lvl w:ilvl="1" w:tentative="0">
      <w:start w:val="1"/>
      <w:numFmt w:val="decimal"/>
      <w:lvlText w:val="%2."/>
      <w:lvlJc w:val="left"/>
      <w:pPr>
        <w:ind w:left="1406" w:hanging="555"/>
      </w:pPr>
      <w:rPr>
        <w:rFonts w:hint="default" w:cs="Times New Roman"/>
      </w:rPr>
    </w:lvl>
    <w:lvl w:ilvl="2" w:tentative="0">
      <w:start w:val="1"/>
      <w:numFmt w:val="lowerRoman"/>
      <w:lvlText w:val="%3."/>
      <w:lvlJc w:val="right"/>
      <w:pPr>
        <w:ind w:left="1691" w:hanging="420"/>
      </w:pPr>
      <w:rPr>
        <w:rFonts w:cs="Times New Roman"/>
      </w:rPr>
    </w:lvl>
    <w:lvl w:ilvl="3" w:tentative="0">
      <w:start w:val="1"/>
      <w:numFmt w:val="decimal"/>
      <w:lvlText w:val="%4."/>
      <w:lvlJc w:val="left"/>
      <w:pPr>
        <w:ind w:left="2111" w:hanging="420"/>
      </w:pPr>
      <w:rPr>
        <w:rFonts w:cs="Times New Roman"/>
      </w:rPr>
    </w:lvl>
    <w:lvl w:ilvl="4" w:tentative="0">
      <w:start w:val="1"/>
      <w:numFmt w:val="lowerLetter"/>
      <w:lvlText w:val="%5)"/>
      <w:lvlJc w:val="left"/>
      <w:pPr>
        <w:ind w:left="2531" w:hanging="420"/>
      </w:pPr>
      <w:rPr>
        <w:rFonts w:cs="Times New Roman"/>
      </w:rPr>
    </w:lvl>
    <w:lvl w:ilvl="5" w:tentative="0">
      <w:start w:val="1"/>
      <w:numFmt w:val="lowerRoman"/>
      <w:lvlText w:val="%6."/>
      <w:lvlJc w:val="right"/>
      <w:pPr>
        <w:ind w:left="2951" w:hanging="420"/>
      </w:pPr>
      <w:rPr>
        <w:rFonts w:cs="Times New Roman"/>
      </w:rPr>
    </w:lvl>
    <w:lvl w:ilvl="6" w:tentative="0">
      <w:start w:val="1"/>
      <w:numFmt w:val="decimal"/>
      <w:lvlText w:val="%7."/>
      <w:lvlJc w:val="left"/>
      <w:pPr>
        <w:ind w:left="3371" w:hanging="420"/>
      </w:pPr>
      <w:rPr>
        <w:rFonts w:cs="Times New Roman"/>
      </w:rPr>
    </w:lvl>
    <w:lvl w:ilvl="7" w:tentative="0">
      <w:start w:val="1"/>
      <w:numFmt w:val="lowerLetter"/>
      <w:lvlText w:val="%8)"/>
      <w:lvlJc w:val="left"/>
      <w:pPr>
        <w:ind w:left="3791" w:hanging="420"/>
      </w:pPr>
      <w:rPr>
        <w:rFonts w:cs="Times New Roman"/>
      </w:rPr>
    </w:lvl>
    <w:lvl w:ilvl="8" w:tentative="0">
      <w:start w:val="1"/>
      <w:numFmt w:val="lowerRoman"/>
      <w:lvlText w:val="%9."/>
      <w:lvlJc w:val="right"/>
      <w:pPr>
        <w:ind w:left="4211"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A96"/>
    <w:rsid w:val="000017D7"/>
    <w:rsid w:val="00007F1D"/>
    <w:rsid w:val="0003236C"/>
    <w:rsid w:val="00036A8D"/>
    <w:rsid w:val="0006641F"/>
    <w:rsid w:val="00066FBD"/>
    <w:rsid w:val="00076C69"/>
    <w:rsid w:val="00081D61"/>
    <w:rsid w:val="000B5496"/>
    <w:rsid w:val="000C7868"/>
    <w:rsid w:val="000E5912"/>
    <w:rsid w:val="0010392C"/>
    <w:rsid w:val="00105D81"/>
    <w:rsid w:val="00113A02"/>
    <w:rsid w:val="001429C1"/>
    <w:rsid w:val="0015242D"/>
    <w:rsid w:val="001641A9"/>
    <w:rsid w:val="001725DE"/>
    <w:rsid w:val="001775F5"/>
    <w:rsid w:val="00186C3E"/>
    <w:rsid w:val="00187811"/>
    <w:rsid w:val="001934CF"/>
    <w:rsid w:val="00193C20"/>
    <w:rsid w:val="00194868"/>
    <w:rsid w:val="001A00CB"/>
    <w:rsid w:val="001B1344"/>
    <w:rsid w:val="001B1A41"/>
    <w:rsid w:val="001B6208"/>
    <w:rsid w:val="001C2D14"/>
    <w:rsid w:val="001E07FD"/>
    <w:rsid w:val="001E652A"/>
    <w:rsid w:val="001F0B43"/>
    <w:rsid w:val="00201C38"/>
    <w:rsid w:val="00201DDC"/>
    <w:rsid w:val="002101C0"/>
    <w:rsid w:val="00222D0C"/>
    <w:rsid w:val="002447DA"/>
    <w:rsid w:val="00262BEF"/>
    <w:rsid w:val="00264DD4"/>
    <w:rsid w:val="00270035"/>
    <w:rsid w:val="00271D3D"/>
    <w:rsid w:val="00294C2C"/>
    <w:rsid w:val="002B58ED"/>
    <w:rsid w:val="002B6885"/>
    <w:rsid w:val="002B7085"/>
    <w:rsid w:val="002C043A"/>
    <w:rsid w:val="002D0873"/>
    <w:rsid w:val="002F51B8"/>
    <w:rsid w:val="002F5591"/>
    <w:rsid w:val="00300985"/>
    <w:rsid w:val="0030541A"/>
    <w:rsid w:val="00310E68"/>
    <w:rsid w:val="003142FE"/>
    <w:rsid w:val="00316EED"/>
    <w:rsid w:val="00351B58"/>
    <w:rsid w:val="0036131F"/>
    <w:rsid w:val="00362A27"/>
    <w:rsid w:val="00362BB9"/>
    <w:rsid w:val="00363033"/>
    <w:rsid w:val="003737E5"/>
    <w:rsid w:val="00383931"/>
    <w:rsid w:val="003841CE"/>
    <w:rsid w:val="00385916"/>
    <w:rsid w:val="00390AB6"/>
    <w:rsid w:val="003946F9"/>
    <w:rsid w:val="0039529B"/>
    <w:rsid w:val="003B2091"/>
    <w:rsid w:val="003B2C60"/>
    <w:rsid w:val="003B41D9"/>
    <w:rsid w:val="003C6AD4"/>
    <w:rsid w:val="003D2D78"/>
    <w:rsid w:val="003D3A26"/>
    <w:rsid w:val="003F22DE"/>
    <w:rsid w:val="0040734D"/>
    <w:rsid w:val="00430620"/>
    <w:rsid w:val="004316A5"/>
    <w:rsid w:val="0043265E"/>
    <w:rsid w:val="00435B60"/>
    <w:rsid w:val="004560F5"/>
    <w:rsid w:val="004608AE"/>
    <w:rsid w:val="0046677E"/>
    <w:rsid w:val="00481898"/>
    <w:rsid w:val="00483D33"/>
    <w:rsid w:val="00497E77"/>
    <w:rsid w:val="004B0E08"/>
    <w:rsid w:val="004B27B6"/>
    <w:rsid w:val="004D6398"/>
    <w:rsid w:val="004F3A2E"/>
    <w:rsid w:val="0051767E"/>
    <w:rsid w:val="005225B1"/>
    <w:rsid w:val="00537AF4"/>
    <w:rsid w:val="00545D51"/>
    <w:rsid w:val="00545DCF"/>
    <w:rsid w:val="005607AB"/>
    <w:rsid w:val="005661A0"/>
    <w:rsid w:val="00571498"/>
    <w:rsid w:val="00574403"/>
    <w:rsid w:val="00575F05"/>
    <w:rsid w:val="00587E59"/>
    <w:rsid w:val="00590F75"/>
    <w:rsid w:val="005B06FA"/>
    <w:rsid w:val="005B50B7"/>
    <w:rsid w:val="005C4C80"/>
    <w:rsid w:val="005D7654"/>
    <w:rsid w:val="005E5F40"/>
    <w:rsid w:val="005E79F1"/>
    <w:rsid w:val="005F497D"/>
    <w:rsid w:val="005F728D"/>
    <w:rsid w:val="0060166D"/>
    <w:rsid w:val="00616789"/>
    <w:rsid w:val="00621368"/>
    <w:rsid w:val="00626514"/>
    <w:rsid w:val="00655224"/>
    <w:rsid w:val="00662BEE"/>
    <w:rsid w:val="00667134"/>
    <w:rsid w:val="00671F69"/>
    <w:rsid w:val="00680F91"/>
    <w:rsid w:val="006907CE"/>
    <w:rsid w:val="00690D96"/>
    <w:rsid w:val="006A1BE9"/>
    <w:rsid w:val="006A6A0C"/>
    <w:rsid w:val="006B33E5"/>
    <w:rsid w:val="006D3938"/>
    <w:rsid w:val="006D6EAB"/>
    <w:rsid w:val="006E5352"/>
    <w:rsid w:val="00737D22"/>
    <w:rsid w:val="007469FB"/>
    <w:rsid w:val="007643B1"/>
    <w:rsid w:val="00791A49"/>
    <w:rsid w:val="007A138F"/>
    <w:rsid w:val="007A5BBC"/>
    <w:rsid w:val="007B7F64"/>
    <w:rsid w:val="007D264F"/>
    <w:rsid w:val="007D6D1C"/>
    <w:rsid w:val="007E5A53"/>
    <w:rsid w:val="007F6642"/>
    <w:rsid w:val="008062E2"/>
    <w:rsid w:val="0081093F"/>
    <w:rsid w:val="00810C78"/>
    <w:rsid w:val="00815199"/>
    <w:rsid w:val="00831189"/>
    <w:rsid w:val="0083177A"/>
    <w:rsid w:val="00832AAD"/>
    <w:rsid w:val="00832ADF"/>
    <w:rsid w:val="008656F4"/>
    <w:rsid w:val="00870E07"/>
    <w:rsid w:val="008755AB"/>
    <w:rsid w:val="00875698"/>
    <w:rsid w:val="00886A3E"/>
    <w:rsid w:val="00895CCF"/>
    <w:rsid w:val="008B0D3A"/>
    <w:rsid w:val="008B5EA2"/>
    <w:rsid w:val="008D1A6D"/>
    <w:rsid w:val="008D400B"/>
    <w:rsid w:val="008F1D51"/>
    <w:rsid w:val="008F286A"/>
    <w:rsid w:val="008F3541"/>
    <w:rsid w:val="008F7484"/>
    <w:rsid w:val="0090071A"/>
    <w:rsid w:val="0090527B"/>
    <w:rsid w:val="0091500D"/>
    <w:rsid w:val="00924D28"/>
    <w:rsid w:val="009417F7"/>
    <w:rsid w:val="009418AF"/>
    <w:rsid w:val="00941A45"/>
    <w:rsid w:val="00942140"/>
    <w:rsid w:val="0094423F"/>
    <w:rsid w:val="00954B47"/>
    <w:rsid w:val="00954CC6"/>
    <w:rsid w:val="0096184A"/>
    <w:rsid w:val="009718FE"/>
    <w:rsid w:val="00973A9B"/>
    <w:rsid w:val="0098458D"/>
    <w:rsid w:val="00991A14"/>
    <w:rsid w:val="0099309B"/>
    <w:rsid w:val="00995AE5"/>
    <w:rsid w:val="009A0021"/>
    <w:rsid w:val="009B3CEC"/>
    <w:rsid w:val="009B6031"/>
    <w:rsid w:val="009D4F28"/>
    <w:rsid w:val="00A00037"/>
    <w:rsid w:val="00A15907"/>
    <w:rsid w:val="00A34B95"/>
    <w:rsid w:val="00A35766"/>
    <w:rsid w:val="00A7760C"/>
    <w:rsid w:val="00A81517"/>
    <w:rsid w:val="00A954F8"/>
    <w:rsid w:val="00AA4F29"/>
    <w:rsid w:val="00AB531E"/>
    <w:rsid w:val="00AB6343"/>
    <w:rsid w:val="00AC3EFD"/>
    <w:rsid w:val="00AD1DDE"/>
    <w:rsid w:val="00AD7A0C"/>
    <w:rsid w:val="00AE397B"/>
    <w:rsid w:val="00AF0EC7"/>
    <w:rsid w:val="00B04FBE"/>
    <w:rsid w:val="00B059F8"/>
    <w:rsid w:val="00B23362"/>
    <w:rsid w:val="00B35F14"/>
    <w:rsid w:val="00B64EEC"/>
    <w:rsid w:val="00B72100"/>
    <w:rsid w:val="00B91095"/>
    <w:rsid w:val="00B9375F"/>
    <w:rsid w:val="00B93D19"/>
    <w:rsid w:val="00B94E81"/>
    <w:rsid w:val="00BA2A45"/>
    <w:rsid w:val="00BB4B9F"/>
    <w:rsid w:val="00BB7855"/>
    <w:rsid w:val="00BC1674"/>
    <w:rsid w:val="00BD7048"/>
    <w:rsid w:val="00BE317A"/>
    <w:rsid w:val="00C30ACF"/>
    <w:rsid w:val="00C338CB"/>
    <w:rsid w:val="00C3593A"/>
    <w:rsid w:val="00C405EF"/>
    <w:rsid w:val="00C40C8B"/>
    <w:rsid w:val="00C42046"/>
    <w:rsid w:val="00C44FDF"/>
    <w:rsid w:val="00C457F0"/>
    <w:rsid w:val="00C45EF8"/>
    <w:rsid w:val="00C550ED"/>
    <w:rsid w:val="00C6033A"/>
    <w:rsid w:val="00C70884"/>
    <w:rsid w:val="00C82802"/>
    <w:rsid w:val="00C8455A"/>
    <w:rsid w:val="00C93680"/>
    <w:rsid w:val="00CA4101"/>
    <w:rsid w:val="00CA5A9B"/>
    <w:rsid w:val="00CB088E"/>
    <w:rsid w:val="00CC2B1A"/>
    <w:rsid w:val="00CC30F8"/>
    <w:rsid w:val="00CD439C"/>
    <w:rsid w:val="00CD584D"/>
    <w:rsid w:val="00CE77FC"/>
    <w:rsid w:val="00CF5A4D"/>
    <w:rsid w:val="00CF5BB6"/>
    <w:rsid w:val="00D03AED"/>
    <w:rsid w:val="00D06CA0"/>
    <w:rsid w:val="00D11FDC"/>
    <w:rsid w:val="00D1505B"/>
    <w:rsid w:val="00D27D73"/>
    <w:rsid w:val="00D35879"/>
    <w:rsid w:val="00D44D49"/>
    <w:rsid w:val="00D45A37"/>
    <w:rsid w:val="00D5055B"/>
    <w:rsid w:val="00D5722E"/>
    <w:rsid w:val="00D7589C"/>
    <w:rsid w:val="00D860B5"/>
    <w:rsid w:val="00D94361"/>
    <w:rsid w:val="00DB7F20"/>
    <w:rsid w:val="00DC23A0"/>
    <w:rsid w:val="00E058C8"/>
    <w:rsid w:val="00E274D7"/>
    <w:rsid w:val="00E32909"/>
    <w:rsid w:val="00E33460"/>
    <w:rsid w:val="00E458CA"/>
    <w:rsid w:val="00E50832"/>
    <w:rsid w:val="00E564D5"/>
    <w:rsid w:val="00E64AD1"/>
    <w:rsid w:val="00E73995"/>
    <w:rsid w:val="00E94D58"/>
    <w:rsid w:val="00EA1B2D"/>
    <w:rsid w:val="00EA2A96"/>
    <w:rsid w:val="00EB7AE1"/>
    <w:rsid w:val="00ED14A1"/>
    <w:rsid w:val="00EE490D"/>
    <w:rsid w:val="00EE5F48"/>
    <w:rsid w:val="00EF258E"/>
    <w:rsid w:val="00EF6D50"/>
    <w:rsid w:val="00F2606C"/>
    <w:rsid w:val="00F33A8E"/>
    <w:rsid w:val="00F404F3"/>
    <w:rsid w:val="00F41D25"/>
    <w:rsid w:val="00F563BF"/>
    <w:rsid w:val="00F70B36"/>
    <w:rsid w:val="00F73C40"/>
    <w:rsid w:val="00F76777"/>
    <w:rsid w:val="00F941D9"/>
    <w:rsid w:val="00F94D3F"/>
    <w:rsid w:val="00F95C45"/>
    <w:rsid w:val="00F9602C"/>
    <w:rsid w:val="00FB0BF6"/>
    <w:rsid w:val="00FB2E75"/>
    <w:rsid w:val="00FB5C03"/>
    <w:rsid w:val="00FC0EF7"/>
    <w:rsid w:val="00FC421C"/>
    <w:rsid w:val="00FE4614"/>
    <w:rsid w:val="00FE6B6E"/>
    <w:rsid w:val="01B57E7A"/>
    <w:rsid w:val="021A0F84"/>
    <w:rsid w:val="02D23E4C"/>
    <w:rsid w:val="03660F46"/>
    <w:rsid w:val="03811C43"/>
    <w:rsid w:val="04AE68AA"/>
    <w:rsid w:val="053422B9"/>
    <w:rsid w:val="05703E25"/>
    <w:rsid w:val="05F44668"/>
    <w:rsid w:val="06C439C8"/>
    <w:rsid w:val="06CD4D72"/>
    <w:rsid w:val="07705EF6"/>
    <w:rsid w:val="07DB7FC6"/>
    <w:rsid w:val="087B336A"/>
    <w:rsid w:val="08A16CE8"/>
    <w:rsid w:val="09331AA2"/>
    <w:rsid w:val="09A66327"/>
    <w:rsid w:val="09BA332F"/>
    <w:rsid w:val="09E21AA8"/>
    <w:rsid w:val="09E25E0A"/>
    <w:rsid w:val="09FD0FB7"/>
    <w:rsid w:val="0B883B0A"/>
    <w:rsid w:val="0B9F2B67"/>
    <w:rsid w:val="0D486352"/>
    <w:rsid w:val="0D8E5296"/>
    <w:rsid w:val="0DA04EA6"/>
    <w:rsid w:val="0DCE70EF"/>
    <w:rsid w:val="0DF17057"/>
    <w:rsid w:val="0F927D67"/>
    <w:rsid w:val="0F9C51D2"/>
    <w:rsid w:val="101809C0"/>
    <w:rsid w:val="104559F9"/>
    <w:rsid w:val="105D442A"/>
    <w:rsid w:val="10944E84"/>
    <w:rsid w:val="109529CB"/>
    <w:rsid w:val="10DB2B1C"/>
    <w:rsid w:val="11276DD5"/>
    <w:rsid w:val="11646E26"/>
    <w:rsid w:val="11A872DD"/>
    <w:rsid w:val="120B4289"/>
    <w:rsid w:val="146574E8"/>
    <w:rsid w:val="14FB6711"/>
    <w:rsid w:val="15CF45F1"/>
    <w:rsid w:val="161F2E9E"/>
    <w:rsid w:val="17A843A4"/>
    <w:rsid w:val="18D665D0"/>
    <w:rsid w:val="19466D10"/>
    <w:rsid w:val="19485E88"/>
    <w:rsid w:val="19554A71"/>
    <w:rsid w:val="19797C6F"/>
    <w:rsid w:val="19904145"/>
    <w:rsid w:val="19A93B67"/>
    <w:rsid w:val="19AD54E1"/>
    <w:rsid w:val="19FE5A9F"/>
    <w:rsid w:val="1A0E7B73"/>
    <w:rsid w:val="1A6C6BE1"/>
    <w:rsid w:val="1AC100AC"/>
    <w:rsid w:val="1B1D65F9"/>
    <w:rsid w:val="1D0A4283"/>
    <w:rsid w:val="1DEC2797"/>
    <w:rsid w:val="1DFB369A"/>
    <w:rsid w:val="1F084E4D"/>
    <w:rsid w:val="1F116292"/>
    <w:rsid w:val="1F1E69F5"/>
    <w:rsid w:val="1F281D37"/>
    <w:rsid w:val="1F814EC7"/>
    <w:rsid w:val="1FCF5F1E"/>
    <w:rsid w:val="203F1FDB"/>
    <w:rsid w:val="2088701C"/>
    <w:rsid w:val="20A4579F"/>
    <w:rsid w:val="21725E0A"/>
    <w:rsid w:val="21F55CA3"/>
    <w:rsid w:val="22A11701"/>
    <w:rsid w:val="22C82C84"/>
    <w:rsid w:val="233E5F0D"/>
    <w:rsid w:val="23DE556A"/>
    <w:rsid w:val="24DF7697"/>
    <w:rsid w:val="24E13148"/>
    <w:rsid w:val="24E220E4"/>
    <w:rsid w:val="2543299C"/>
    <w:rsid w:val="260A2EB5"/>
    <w:rsid w:val="277F5A06"/>
    <w:rsid w:val="27B94674"/>
    <w:rsid w:val="27BA5191"/>
    <w:rsid w:val="281E2B1C"/>
    <w:rsid w:val="2839325F"/>
    <w:rsid w:val="286918F0"/>
    <w:rsid w:val="293D4CB9"/>
    <w:rsid w:val="29A61F38"/>
    <w:rsid w:val="29AE6E61"/>
    <w:rsid w:val="29D601CC"/>
    <w:rsid w:val="2A0F5A6D"/>
    <w:rsid w:val="2AA4334E"/>
    <w:rsid w:val="2B180931"/>
    <w:rsid w:val="2BA47A0F"/>
    <w:rsid w:val="2CE211EB"/>
    <w:rsid w:val="2D7A0D55"/>
    <w:rsid w:val="2D7E5930"/>
    <w:rsid w:val="2DAC5A2E"/>
    <w:rsid w:val="2DD2456D"/>
    <w:rsid w:val="2EA02C5F"/>
    <w:rsid w:val="2F5F79E6"/>
    <w:rsid w:val="2F875DF0"/>
    <w:rsid w:val="2FA00E82"/>
    <w:rsid w:val="30442521"/>
    <w:rsid w:val="3060074B"/>
    <w:rsid w:val="30BA2A53"/>
    <w:rsid w:val="3119484B"/>
    <w:rsid w:val="313E7BD4"/>
    <w:rsid w:val="31791813"/>
    <w:rsid w:val="33580152"/>
    <w:rsid w:val="34C94A5F"/>
    <w:rsid w:val="34FF23A1"/>
    <w:rsid w:val="350342F1"/>
    <w:rsid w:val="3506756C"/>
    <w:rsid w:val="35350EAC"/>
    <w:rsid w:val="35417330"/>
    <w:rsid w:val="354A752E"/>
    <w:rsid w:val="35BC499B"/>
    <w:rsid w:val="360421BC"/>
    <w:rsid w:val="364F3BE9"/>
    <w:rsid w:val="36B352AC"/>
    <w:rsid w:val="37526B07"/>
    <w:rsid w:val="37DE0AC9"/>
    <w:rsid w:val="381E51CB"/>
    <w:rsid w:val="38CF3EB4"/>
    <w:rsid w:val="39C54A38"/>
    <w:rsid w:val="39F00EC6"/>
    <w:rsid w:val="3A866AC6"/>
    <w:rsid w:val="3C184324"/>
    <w:rsid w:val="3C944226"/>
    <w:rsid w:val="3CFC14E7"/>
    <w:rsid w:val="3D4F6A8D"/>
    <w:rsid w:val="3D9E34BE"/>
    <w:rsid w:val="3DEE365F"/>
    <w:rsid w:val="3E0B3668"/>
    <w:rsid w:val="3E1F0745"/>
    <w:rsid w:val="3E7537A3"/>
    <w:rsid w:val="3F6629E3"/>
    <w:rsid w:val="3F7601FD"/>
    <w:rsid w:val="3F8825E8"/>
    <w:rsid w:val="3FF06B2A"/>
    <w:rsid w:val="3FF13CDD"/>
    <w:rsid w:val="400B57E1"/>
    <w:rsid w:val="40A52254"/>
    <w:rsid w:val="40C1083B"/>
    <w:rsid w:val="418237EF"/>
    <w:rsid w:val="41B0601D"/>
    <w:rsid w:val="4296484B"/>
    <w:rsid w:val="43987968"/>
    <w:rsid w:val="44040F25"/>
    <w:rsid w:val="441643D6"/>
    <w:rsid w:val="45F860ED"/>
    <w:rsid w:val="46122988"/>
    <w:rsid w:val="46646D2E"/>
    <w:rsid w:val="46A9356E"/>
    <w:rsid w:val="46CB693B"/>
    <w:rsid w:val="473131DB"/>
    <w:rsid w:val="479B4468"/>
    <w:rsid w:val="47EC3A51"/>
    <w:rsid w:val="489F34D3"/>
    <w:rsid w:val="48AF6364"/>
    <w:rsid w:val="48F33F7C"/>
    <w:rsid w:val="492E4583"/>
    <w:rsid w:val="496C2AC1"/>
    <w:rsid w:val="49F72D16"/>
    <w:rsid w:val="4A367C1F"/>
    <w:rsid w:val="4A897EAE"/>
    <w:rsid w:val="4B47689C"/>
    <w:rsid w:val="4B4F46F4"/>
    <w:rsid w:val="4C391CD2"/>
    <w:rsid w:val="4D415B57"/>
    <w:rsid w:val="4DA14048"/>
    <w:rsid w:val="4DA671A1"/>
    <w:rsid w:val="4E416161"/>
    <w:rsid w:val="4EB23D43"/>
    <w:rsid w:val="4F220C55"/>
    <w:rsid w:val="4F536320"/>
    <w:rsid w:val="50A17E2C"/>
    <w:rsid w:val="50A95510"/>
    <w:rsid w:val="514E3AC8"/>
    <w:rsid w:val="528F0547"/>
    <w:rsid w:val="52B214F5"/>
    <w:rsid w:val="536C3206"/>
    <w:rsid w:val="54564F4D"/>
    <w:rsid w:val="552A37A7"/>
    <w:rsid w:val="557D1972"/>
    <w:rsid w:val="558D70FB"/>
    <w:rsid w:val="55900D21"/>
    <w:rsid w:val="56CC0D9D"/>
    <w:rsid w:val="57B54E58"/>
    <w:rsid w:val="57CE1281"/>
    <w:rsid w:val="59026AFE"/>
    <w:rsid w:val="592B14AF"/>
    <w:rsid w:val="59353265"/>
    <w:rsid w:val="593F6CB1"/>
    <w:rsid w:val="5AD74730"/>
    <w:rsid w:val="5AF36250"/>
    <w:rsid w:val="5B526DAD"/>
    <w:rsid w:val="5B663B3C"/>
    <w:rsid w:val="5BA2353E"/>
    <w:rsid w:val="5C4E3332"/>
    <w:rsid w:val="5C546046"/>
    <w:rsid w:val="5CD90D3E"/>
    <w:rsid w:val="5D3B49FA"/>
    <w:rsid w:val="5DAC22C9"/>
    <w:rsid w:val="5DAE7457"/>
    <w:rsid w:val="5DC73BA4"/>
    <w:rsid w:val="5EAB5AC1"/>
    <w:rsid w:val="5EE81EB8"/>
    <w:rsid w:val="61EF06B8"/>
    <w:rsid w:val="628035CA"/>
    <w:rsid w:val="62952978"/>
    <w:rsid w:val="62B07641"/>
    <w:rsid w:val="63DE12DE"/>
    <w:rsid w:val="646F1164"/>
    <w:rsid w:val="64915066"/>
    <w:rsid w:val="657B736B"/>
    <w:rsid w:val="66313422"/>
    <w:rsid w:val="67814B80"/>
    <w:rsid w:val="67E324EB"/>
    <w:rsid w:val="682A3F69"/>
    <w:rsid w:val="68956D7E"/>
    <w:rsid w:val="68C52BBA"/>
    <w:rsid w:val="69B84F80"/>
    <w:rsid w:val="6B0012A7"/>
    <w:rsid w:val="6B636EEA"/>
    <w:rsid w:val="6C0F1E87"/>
    <w:rsid w:val="6C1E6791"/>
    <w:rsid w:val="6C81126A"/>
    <w:rsid w:val="6CA6317E"/>
    <w:rsid w:val="6CBB4702"/>
    <w:rsid w:val="6CCE2C04"/>
    <w:rsid w:val="6DC25554"/>
    <w:rsid w:val="6E5C0764"/>
    <w:rsid w:val="6FBF4D01"/>
    <w:rsid w:val="702B09B1"/>
    <w:rsid w:val="708758CC"/>
    <w:rsid w:val="719A1B6A"/>
    <w:rsid w:val="71E17CAA"/>
    <w:rsid w:val="71EC6E0D"/>
    <w:rsid w:val="71F54914"/>
    <w:rsid w:val="72131E14"/>
    <w:rsid w:val="72A1609A"/>
    <w:rsid w:val="732E6AE9"/>
    <w:rsid w:val="734E6706"/>
    <w:rsid w:val="73C22AC4"/>
    <w:rsid w:val="74B65392"/>
    <w:rsid w:val="754D4C10"/>
    <w:rsid w:val="7641659E"/>
    <w:rsid w:val="77BC06A5"/>
    <w:rsid w:val="77D04E3B"/>
    <w:rsid w:val="784C4549"/>
    <w:rsid w:val="790C2B0B"/>
    <w:rsid w:val="790D2BC9"/>
    <w:rsid w:val="79512BE4"/>
    <w:rsid w:val="79A753BC"/>
    <w:rsid w:val="7A944547"/>
    <w:rsid w:val="7AE30818"/>
    <w:rsid w:val="7BBE19CF"/>
    <w:rsid w:val="7C2354D1"/>
    <w:rsid w:val="7D514710"/>
    <w:rsid w:val="7D8D70DC"/>
    <w:rsid w:val="7DCB3A66"/>
    <w:rsid w:val="7E2F21A1"/>
    <w:rsid w:val="7EDE5909"/>
    <w:rsid w:val="7F0076EC"/>
    <w:rsid w:val="7F162714"/>
    <w:rsid w:val="7F4A1598"/>
    <w:rsid w:val="7F557B45"/>
    <w:rsid w:val="7F8F262C"/>
    <w:rsid w:val="7FEB6F52"/>
    <w:rsid w:val="7FF46B6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keepNext/>
      <w:spacing w:before="200" w:beforeLines="200" w:after="50" w:afterLines="50" w:line="480" w:lineRule="auto"/>
      <w:ind w:left="480" w:leftChars="200" w:right="480" w:rightChars="200"/>
      <w:jc w:val="center"/>
      <w:outlineLvl w:val="0"/>
    </w:pPr>
    <w:rPr>
      <w:b/>
      <w:spacing w:val="-10"/>
      <w:sz w:val="36"/>
    </w:rPr>
  </w:style>
  <w:style w:type="paragraph" w:styleId="3">
    <w:name w:val="heading 2"/>
    <w:basedOn w:val="1"/>
    <w:next w:val="1"/>
    <w:link w:val="36"/>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5"/>
    <w:qFormat/>
    <w:uiPriority w:val="0"/>
    <w:pPr>
      <w:keepNext/>
      <w:keepLines/>
      <w:spacing w:before="260" w:after="260" w:line="416" w:lineRule="auto"/>
      <w:outlineLvl w:val="2"/>
    </w:pPr>
    <w:rPr>
      <w:b/>
      <w:bCs/>
      <w:sz w:val="28"/>
      <w:szCs w:val="32"/>
    </w:rPr>
  </w:style>
  <w:style w:type="paragraph" w:styleId="5">
    <w:name w:val="heading 4"/>
    <w:basedOn w:val="1"/>
    <w:next w:val="1"/>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6">
    <w:name w:val="Document Map"/>
    <w:basedOn w:val="1"/>
    <w:qFormat/>
    <w:uiPriority w:val="0"/>
    <w:pPr>
      <w:shd w:val="clear" w:color="auto" w:fill="000080"/>
    </w:pPr>
  </w:style>
  <w:style w:type="paragraph" w:styleId="7">
    <w:name w:val="annotation text"/>
    <w:basedOn w:val="1"/>
    <w:link w:val="37"/>
    <w:unhideWhenUsed/>
    <w:qFormat/>
    <w:uiPriority w:val="99"/>
    <w:pPr>
      <w:jc w:val="left"/>
    </w:pPr>
  </w:style>
  <w:style w:type="paragraph" w:styleId="8">
    <w:name w:val="Body Text"/>
    <w:basedOn w:val="1"/>
    <w:qFormat/>
    <w:uiPriority w:val="0"/>
    <w:pPr>
      <w:spacing w:after="120"/>
    </w:pPr>
  </w:style>
  <w:style w:type="paragraph" w:styleId="9">
    <w:name w:val="Body Text Indent"/>
    <w:basedOn w:val="1"/>
    <w:qFormat/>
    <w:uiPriority w:val="0"/>
    <w:pPr>
      <w:spacing w:after="120"/>
      <w:ind w:left="420" w:leftChars="200"/>
    </w:pPr>
  </w:style>
  <w:style w:type="paragraph" w:styleId="10">
    <w:name w:val="toc 3"/>
    <w:basedOn w:val="1"/>
    <w:next w:val="1"/>
    <w:unhideWhenUsed/>
    <w:qFormat/>
    <w:uiPriority w:val="39"/>
    <w:pPr>
      <w:ind w:left="840" w:leftChars="400"/>
    </w:pPr>
  </w:style>
  <w:style w:type="paragraph" w:styleId="11">
    <w:name w:val="Plain Text"/>
    <w:basedOn w:val="1"/>
    <w:semiHidden/>
    <w:qFormat/>
    <w:uiPriority w:val="0"/>
    <w:rPr>
      <w:rFonts w:ascii="宋体" w:hAnsi="Courier New"/>
      <w:szCs w:val="20"/>
    </w:rPr>
  </w:style>
  <w:style w:type="paragraph" w:styleId="12">
    <w:name w:val="Date"/>
    <w:basedOn w:val="1"/>
    <w:next w:val="1"/>
    <w:qFormat/>
    <w:uiPriority w:val="0"/>
    <w:pPr>
      <w:widowControl/>
      <w:ind w:left="100" w:leftChars="2500"/>
      <w:jc w:val="left"/>
    </w:pPr>
    <w:rPr>
      <w:rFonts w:ascii="Times" w:hAnsi="Times" w:eastAsia="Times"/>
      <w:kern w:val="0"/>
      <w:sz w:val="24"/>
      <w:szCs w:val="20"/>
      <w:lang w:eastAsia="en-US"/>
    </w:rPr>
  </w:style>
  <w:style w:type="paragraph" w:styleId="13">
    <w:name w:val="Balloon Text"/>
    <w:basedOn w:val="1"/>
    <w:qFormat/>
    <w:uiPriority w:val="0"/>
    <w:rPr>
      <w:sz w:val="18"/>
      <w:szCs w:val="18"/>
    </w:rPr>
  </w:style>
  <w:style w:type="paragraph" w:styleId="14">
    <w:name w:val="footer"/>
    <w:basedOn w:val="1"/>
    <w:link w:val="34"/>
    <w:qFormat/>
    <w:uiPriority w:val="99"/>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style>
  <w:style w:type="paragraph" w:styleId="17">
    <w:name w:val="Subtitle"/>
    <w:basedOn w:val="1"/>
    <w:next w:val="1"/>
    <w:qFormat/>
    <w:uiPriority w:val="0"/>
    <w:pPr>
      <w:numPr>
        <w:ilvl w:val="0"/>
        <w:numId w:val="1"/>
      </w:numPr>
      <w:tabs>
        <w:tab w:val="left" w:pos="851"/>
      </w:tabs>
      <w:snapToGrid w:val="0"/>
      <w:spacing w:line="312" w:lineRule="auto"/>
      <w:ind w:firstLine="0" w:firstLineChars="0"/>
      <w:jc w:val="left"/>
      <w:outlineLvl w:val="1"/>
    </w:pPr>
    <w:rPr>
      <w:rFonts w:ascii="Calibri Light" w:hAnsi="Calibri Light" w:eastAsia="宋体" w:cs="黑体"/>
      <w:b/>
      <w:kern w:val="28"/>
      <w:szCs w:val="32"/>
    </w:rPr>
  </w:style>
  <w:style w:type="paragraph" w:styleId="18">
    <w:name w:val="toc 2"/>
    <w:basedOn w:val="1"/>
    <w:next w:val="1"/>
    <w:unhideWhenUsed/>
    <w:qFormat/>
    <w:uiPriority w:val="39"/>
    <w:pPr>
      <w:ind w:left="420" w:leftChars="200"/>
    </w:pPr>
  </w:style>
  <w:style w:type="paragraph" w:styleId="19">
    <w:name w:val="Message Header"/>
    <w:basedOn w:val="8"/>
    <w:qFormat/>
    <w:uiPriority w:val="0"/>
    <w:pPr>
      <w:keepLines/>
      <w:widowControl/>
      <w:tabs>
        <w:tab w:val="left" w:pos="720"/>
        <w:tab w:val="left" w:pos="4320"/>
        <w:tab w:val="left" w:pos="5040"/>
        <w:tab w:val="right" w:pos="8640"/>
      </w:tabs>
      <w:spacing w:after="40" w:line="440" w:lineRule="atLeast"/>
      <w:ind w:left="720" w:hanging="720"/>
      <w:jc w:val="left"/>
    </w:pPr>
    <w:rPr>
      <w:rFonts w:ascii="Arial" w:hAnsi="Arial"/>
      <w:spacing w:val="-5"/>
      <w:kern w:val="0"/>
      <w:sz w:val="20"/>
      <w:szCs w:val="20"/>
    </w:rPr>
  </w:style>
  <w:style w:type="paragraph" w:styleId="20">
    <w:name w:val="Normal (Web)"/>
    <w:basedOn w:val="1"/>
    <w:qFormat/>
    <w:uiPriority w:val="0"/>
    <w:pPr>
      <w:spacing w:before="100" w:beforeAutospacing="1" w:after="100" w:afterAutospacing="1"/>
      <w:jc w:val="left"/>
    </w:pPr>
    <w:rPr>
      <w:rFonts w:cs="Times New Roman"/>
      <w:kern w:val="0"/>
      <w:sz w:val="24"/>
    </w:rPr>
  </w:style>
  <w:style w:type="paragraph" w:styleId="21">
    <w:name w:val="Title"/>
    <w:basedOn w:val="1"/>
    <w:next w:val="1"/>
    <w:qFormat/>
    <w:uiPriority w:val="10"/>
    <w:pPr>
      <w:spacing w:before="240" w:after="60"/>
      <w:jc w:val="center"/>
      <w:outlineLvl w:val="0"/>
    </w:pPr>
    <w:rPr>
      <w:b/>
      <w:bCs/>
      <w:sz w:val="32"/>
      <w:szCs w:val="32"/>
    </w:rPr>
  </w:style>
  <w:style w:type="paragraph" w:styleId="22">
    <w:name w:val="annotation subject"/>
    <w:basedOn w:val="7"/>
    <w:next w:val="7"/>
    <w:link w:val="30"/>
    <w:unhideWhenUsed/>
    <w:qFormat/>
    <w:uiPriority w:val="99"/>
    <w:rPr>
      <w:b/>
      <w:bCs/>
    </w:rPr>
  </w:style>
  <w:style w:type="table" w:styleId="24">
    <w:name w:val="Table Grid"/>
    <w:basedOn w:val="23"/>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6">
    <w:name w:val="page number"/>
    <w:qFormat/>
    <w:uiPriority w:val="0"/>
  </w:style>
  <w:style w:type="character" w:styleId="27">
    <w:name w:val="Emphasis"/>
    <w:qFormat/>
    <w:uiPriority w:val="0"/>
    <w:rPr>
      <w:rFonts w:ascii="Arial Black" w:hAnsi="Arial Black" w:eastAsia="黑体"/>
      <w:b/>
      <w:spacing w:val="0"/>
      <w:sz w:val="21"/>
      <w:lang w:eastAsia="zh-CN"/>
    </w:rPr>
  </w:style>
  <w:style w:type="character" w:styleId="28">
    <w:name w:val="annotation reference"/>
    <w:unhideWhenUsed/>
    <w:qFormat/>
    <w:uiPriority w:val="99"/>
    <w:rPr>
      <w:sz w:val="21"/>
      <w:szCs w:val="21"/>
    </w:rPr>
  </w:style>
  <w:style w:type="character" w:customStyle="1" w:styleId="29">
    <w:name w:val="消息标题标签"/>
    <w:qFormat/>
    <w:uiPriority w:val="0"/>
    <w:rPr>
      <w:rFonts w:ascii="Arial Black" w:hAnsi="Arial Black" w:eastAsia="黑体"/>
      <w:b/>
      <w:sz w:val="18"/>
      <w:lang w:eastAsia="zh-CN"/>
    </w:rPr>
  </w:style>
  <w:style w:type="character" w:customStyle="1" w:styleId="30">
    <w:name w:val="批注主题 字符"/>
    <w:link w:val="22"/>
    <w:semiHidden/>
    <w:qFormat/>
    <w:uiPriority w:val="99"/>
    <w:rPr>
      <w:b/>
      <w:bCs/>
      <w:kern w:val="2"/>
      <w:sz w:val="21"/>
      <w:szCs w:val="24"/>
    </w:rPr>
  </w:style>
  <w:style w:type="character" w:customStyle="1" w:styleId="31">
    <w:name w:val="NormalCharacter"/>
    <w:qFormat/>
    <w:uiPriority w:val="0"/>
  </w:style>
  <w:style w:type="character" w:customStyle="1" w:styleId="32">
    <w:name w:val="font31"/>
    <w:qFormat/>
    <w:uiPriority w:val="0"/>
    <w:rPr>
      <w:rFonts w:hint="eastAsia" w:ascii="宋体" w:hAnsi="宋体" w:eastAsia="宋体" w:cs="宋体"/>
      <w:color w:val="000000"/>
      <w:sz w:val="21"/>
      <w:szCs w:val="21"/>
      <w:u w:val="none"/>
    </w:rPr>
  </w:style>
  <w:style w:type="character" w:customStyle="1" w:styleId="33">
    <w:name w:val="font11"/>
    <w:qFormat/>
    <w:uiPriority w:val="0"/>
    <w:rPr>
      <w:rFonts w:hint="eastAsia" w:ascii="宋体" w:hAnsi="宋体" w:eastAsia="宋体" w:cs="宋体"/>
      <w:b/>
      <w:color w:val="000000"/>
      <w:sz w:val="21"/>
      <w:szCs w:val="21"/>
      <w:u w:val="none"/>
    </w:rPr>
  </w:style>
  <w:style w:type="character" w:customStyle="1" w:styleId="34">
    <w:name w:val="页脚 字符"/>
    <w:link w:val="14"/>
    <w:qFormat/>
    <w:uiPriority w:val="99"/>
    <w:rPr>
      <w:kern w:val="2"/>
      <w:sz w:val="18"/>
      <w:szCs w:val="18"/>
    </w:rPr>
  </w:style>
  <w:style w:type="character" w:customStyle="1" w:styleId="35">
    <w:name w:val="标题 3 字符"/>
    <w:link w:val="4"/>
    <w:qFormat/>
    <w:uiPriority w:val="0"/>
    <w:rPr>
      <w:rFonts w:eastAsia="宋体"/>
      <w:b/>
      <w:bCs/>
      <w:kern w:val="2"/>
      <w:sz w:val="28"/>
      <w:szCs w:val="32"/>
    </w:rPr>
  </w:style>
  <w:style w:type="character" w:customStyle="1" w:styleId="36">
    <w:name w:val="标题 2 字符"/>
    <w:link w:val="3"/>
    <w:qFormat/>
    <w:uiPriority w:val="9"/>
    <w:rPr>
      <w:rFonts w:ascii="Arial" w:hAnsi="Arial" w:eastAsia="黑体"/>
      <w:b/>
      <w:bCs/>
      <w:kern w:val="2"/>
      <w:sz w:val="32"/>
      <w:szCs w:val="32"/>
    </w:rPr>
  </w:style>
  <w:style w:type="character" w:customStyle="1" w:styleId="37">
    <w:name w:val="批注文字 字符"/>
    <w:link w:val="7"/>
    <w:semiHidden/>
    <w:qFormat/>
    <w:uiPriority w:val="99"/>
    <w:rPr>
      <w:kern w:val="2"/>
      <w:sz w:val="21"/>
      <w:szCs w:val="24"/>
    </w:rPr>
  </w:style>
  <w:style w:type="paragraph" w:customStyle="1" w:styleId="38">
    <w:name w:val="2级标题"/>
    <w:basedOn w:val="17"/>
    <w:qFormat/>
    <w:uiPriority w:val="0"/>
    <w:rPr>
      <w:rFonts w:cs="Times New Roman"/>
      <w:sz w:val="32"/>
      <w:szCs w:val="20"/>
    </w:rPr>
  </w:style>
  <w:style w:type="paragraph" w:customStyle="1" w:styleId="39">
    <w:name w:val="列出段落1"/>
    <w:basedOn w:val="1"/>
    <w:qFormat/>
    <w:uiPriority w:val="34"/>
    <w:pPr>
      <w:ind w:firstLine="420" w:firstLineChars="200"/>
    </w:pPr>
  </w:style>
  <w:style w:type="paragraph" w:customStyle="1" w:styleId="40">
    <w:name w:val="Other|1"/>
    <w:basedOn w:val="1"/>
    <w:qFormat/>
    <w:uiPriority w:val="0"/>
    <w:pPr>
      <w:widowControl w:val="0"/>
      <w:shd w:val="clear" w:color="auto" w:fill="auto"/>
      <w:spacing w:after="180" w:line="437" w:lineRule="auto"/>
      <w:ind w:firstLine="400"/>
    </w:pPr>
    <w:rPr>
      <w:rFonts w:ascii="宋体" w:hAnsi="宋体" w:eastAsia="宋体" w:cs="宋体"/>
      <w:sz w:val="22"/>
      <w:szCs w:val="22"/>
      <w:u w:val="none"/>
      <w:shd w:val="clear" w:color="auto" w:fill="auto"/>
      <w:lang w:val="zh-TW" w:eastAsia="zh-TW" w:bidi="zh-TW"/>
    </w:rPr>
  </w:style>
  <w:style w:type="paragraph" w:customStyle="1" w:styleId="41">
    <w:name w:val="列出段落2"/>
    <w:basedOn w:val="1"/>
    <w:qFormat/>
    <w:uiPriority w:val="0"/>
    <w:pPr>
      <w:ind w:firstLine="420" w:firstLineChars="200"/>
    </w:pPr>
    <w:rPr>
      <w:rFonts w:ascii="Calibri" w:hAnsi="Calibri"/>
      <w:szCs w:val="22"/>
    </w:rPr>
  </w:style>
  <w:style w:type="paragraph" w:customStyle="1" w:styleId="42">
    <w:name w:val="WPSOffice手动目录 2"/>
    <w:qFormat/>
    <w:uiPriority w:val="0"/>
    <w:pPr>
      <w:ind w:leftChars="200"/>
    </w:pPr>
    <w:rPr>
      <w:rFonts w:ascii="Times New Roman" w:hAnsi="Times New Roman" w:eastAsia="宋体" w:cs="Times New Roman"/>
      <w:lang w:val="en-US" w:eastAsia="zh-CN" w:bidi="ar-SA"/>
    </w:rPr>
  </w:style>
  <w:style w:type="paragraph" w:customStyle="1" w:styleId="43">
    <w:name w:val="Heading #1|1"/>
    <w:basedOn w:val="1"/>
    <w:qFormat/>
    <w:uiPriority w:val="0"/>
    <w:pPr>
      <w:widowControl w:val="0"/>
      <w:shd w:val="clear" w:color="auto" w:fill="auto"/>
      <w:spacing w:after="320"/>
      <w:ind w:firstLine="110"/>
      <w:outlineLvl w:val="0"/>
    </w:pPr>
    <w:rPr>
      <w:rFonts w:ascii="宋体" w:hAnsi="宋体" w:eastAsia="宋体" w:cs="宋体"/>
      <w:sz w:val="30"/>
      <w:szCs w:val="30"/>
      <w:u w:val="none"/>
      <w:shd w:val="clear" w:color="auto" w:fill="auto"/>
      <w:lang w:val="zh-TW" w:eastAsia="zh-TW" w:bidi="zh-TW"/>
    </w:rPr>
  </w:style>
  <w:style w:type="paragraph" w:customStyle="1" w:styleId="44">
    <w:name w:val="Body text|2"/>
    <w:basedOn w:val="1"/>
    <w:qFormat/>
    <w:uiPriority w:val="0"/>
    <w:pPr>
      <w:widowControl w:val="0"/>
      <w:shd w:val="clear" w:color="auto" w:fill="auto"/>
      <w:spacing w:after="140"/>
      <w:ind w:firstLine="620"/>
    </w:pPr>
    <w:rPr>
      <w:b/>
      <w:bCs/>
      <w:sz w:val="14"/>
      <w:szCs w:val="14"/>
      <w:u w:val="single"/>
      <w:shd w:val="clear" w:color="auto" w:fill="auto"/>
    </w:rPr>
  </w:style>
  <w:style w:type="paragraph" w:customStyle="1" w:styleId="45">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46">
    <w:name w:val="Char"/>
    <w:basedOn w:val="1"/>
    <w:qFormat/>
    <w:uiPriority w:val="0"/>
    <w:rPr>
      <w:rFonts w:ascii="Arial" w:hAnsi="Arial" w:cs="Arial"/>
      <w:sz w:val="20"/>
      <w:szCs w:val="20"/>
    </w:rPr>
  </w:style>
  <w:style w:type="paragraph" w:customStyle="1" w:styleId="47">
    <w:name w:val="首消息标题"/>
    <w:basedOn w:val="19"/>
    <w:next w:val="19"/>
    <w:qFormat/>
    <w:uiPriority w:val="0"/>
  </w:style>
  <w:style w:type="paragraph" w:customStyle="1" w:styleId="48">
    <w:name w:val="Body text|1"/>
    <w:basedOn w:val="1"/>
    <w:qFormat/>
    <w:uiPriority w:val="0"/>
    <w:pPr>
      <w:widowControl w:val="0"/>
      <w:shd w:val="clear" w:color="auto" w:fill="auto"/>
      <w:spacing w:after="180" w:line="437" w:lineRule="auto"/>
      <w:ind w:firstLine="400"/>
    </w:pPr>
    <w:rPr>
      <w:rFonts w:ascii="宋体" w:hAnsi="宋体" w:eastAsia="宋体" w:cs="宋体"/>
      <w:sz w:val="22"/>
      <w:szCs w:val="22"/>
      <w:u w:val="none"/>
      <w:shd w:val="clear" w:color="auto" w:fill="auto"/>
      <w:lang w:val="zh-TW" w:eastAsia="zh-TW" w:bidi="zh-TW"/>
    </w:rPr>
  </w:style>
  <w:style w:type="paragraph" w:customStyle="1" w:styleId="49">
    <w:name w:val="1级标题"/>
    <w:basedOn w:val="2"/>
    <w:next w:val="1"/>
    <w:qFormat/>
    <w:uiPriority w:val="0"/>
    <w:pPr>
      <w:pageBreakBefore/>
      <w:numPr>
        <w:ilvl w:val="0"/>
        <w:numId w:val="0"/>
      </w:numPr>
      <w:spacing w:before="240" w:beforeLines="0" w:after="240" w:line="360" w:lineRule="auto"/>
      <w:ind w:firstLine="200" w:firstLineChars="200"/>
      <w:jc w:val="both"/>
    </w:pPr>
    <w:rPr>
      <w:rFonts w:ascii="宋体" w:hAnsi="宋体" w:eastAsia="宋体" w:cs="Times New Roman"/>
      <w:b w:val="0"/>
      <w:sz w:val="30"/>
    </w:rPr>
  </w:style>
  <w:style w:type="paragraph" w:customStyle="1" w:styleId="50">
    <w:name w:val="WPSOffice手动目录 3"/>
    <w:qFormat/>
    <w:uiPriority w:val="0"/>
    <w:pPr>
      <w:ind w:leftChars="400"/>
    </w:pPr>
    <w:rPr>
      <w:rFonts w:ascii="Times New Roman" w:hAnsi="Times New Roman" w:eastAsia="宋体" w:cs="Times New Roman"/>
      <w:lang w:val="en-US" w:eastAsia="zh-CN" w:bidi="ar-SA"/>
    </w:rPr>
  </w:style>
  <w:style w:type="paragraph" w:styleId="51">
    <w:name w:val="List Paragraph"/>
    <w:basedOn w:val="1"/>
    <w:qFormat/>
    <w:uiPriority w:val="34"/>
    <w:pPr>
      <w:ind w:firstLine="420" w:firstLineChars="200"/>
    </w:pPr>
  </w:style>
  <w:style w:type="paragraph" w:customStyle="1" w:styleId="52">
    <w:name w:val="_Style 24"/>
    <w:basedOn w:val="1"/>
    <w:next w:val="51"/>
    <w:qFormat/>
    <w:uiPriority w:val="99"/>
    <w:pPr>
      <w:ind w:firstLine="420" w:firstLineChars="200"/>
    </w:pPr>
  </w:style>
  <w:style w:type="paragraph" w:customStyle="1" w:styleId="53">
    <w:name w:val="List Paragraph1"/>
    <w:basedOn w:val="1"/>
    <w:qFormat/>
    <w:uiPriority w:val="99"/>
    <w:pPr>
      <w:ind w:firstLine="420" w:firstLineChars="200"/>
    </w:pPr>
    <w:rPr>
      <w:rFonts w:ascii="Calibri" w:hAnsi="Calibri"/>
      <w:szCs w:val="22"/>
    </w:rPr>
  </w:style>
  <w:style w:type="paragraph" w:customStyle="1" w:styleId="54">
    <w:name w:val="WPSOffice手动目录 1"/>
    <w:qFormat/>
    <w:uiPriority w:val="0"/>
    <w:rPr>
      <w:rFonts w:ascii="Times New Roman" w:hAnsi="Times New Roman" w:eastAsia="宋体" w:cs="Times New Roman"/>
      <w:lang w:val="en-US" w:eastAsia="zh-CN" w:bidi="ar-SA"/>
    </w:rPr>
  </w:style>
  <w:style w:type="paragraph" w:customStyle="1" w:styleId="55">
    <w:name w:val="_Style 3"/>
    <w:basedOn w:val="1"/>
    <w:qFormat/>
    <w:uiPriority w:val="34"/>
    <w:pPr>
      <w:spacing w:line="240" w:lineRule="auto"/>
      <w:ind w:firstLine="420" w:firstLineChars="200"/>
    </w:pPr>
    <w:rPr>
      <w:rFonts w:ascii="宋体" w:hAnsi="宋体" w:cs="宋体"/>
      <w:sz w:val="24"/>
      <w:szCs w:val="24"/>
      <w:lang w:eastAsia="zh-CN" w:bidi="ar-SA"/>
    </w:rPr>
  </w:style>
  <w:style w:type="paragraph" w:customStyle="1" w:styleId="56">
    <w:name w:val="1"/>
    <w:basedOn w:val="1"/>
    <w:qFormat/>
    <w:uiPriority w:val="0"/>
    <w:pPr>
      <w:adjustRightInd w:val="0"/>
      <w:spacing w:before="100" w:beforeAutospacing="1" w:afterLines="50" w:line="360" w:lineRule="auto"/>
      <w:jc w:val="left"/>
    </w:pPr>
    <w:rPr>
      <w:rFonts w:ascii="宋体" w:hAnsi="宋体"/>
      <w:b/>
      <w:sz w:val="24"/>
      <w:szCs w:val="3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COMMONORG</Company>
  <Pages>6</Pages>
  <Words>3342</Words>
  <Characters>3685</Characters>
  <Lines>49</Lines>
  <Paragraphs>13</Paragraphs>
  <TotalTime>23</TotalTime>
  <ScaleCrop>false</ScaleCrop>
  <LinksUpToDate>false</LinksUpToDate>
  <CharactersWithSpaces>3779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2021-05-24T15:03:00Z</dcterms:created>
  <dc:creator>COMMON</dc:creator>
  <cp:lastModifiedBy>余汝兴</cp:lastModifiedBy>
  <cp:lastPrinted>2022-03-04T08:24:00Z</cp:lastPrinted>
  <dcterms:modified xsi:type="dcterms:W3CDTF">2026-07-06T09:17:35Z</dcterms:modified>
  <dc:title>收件人 To:                    发件人 From：菲 腊 设 计</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E74212DDEE1E4ACFA59EE411C8C138D3_13</vt:lpwstr>
  </property>
  <property fmtid="{D5CDD505-2E9C-101B-9397-08002B2CF9AE}" pid="4" name="KSOTemplateDocerSaveRecord">
    <vt:lpwstr>eyJoZGlkIjoiZTY5Y2M3Y2JiZGEwNDQwNTcwNDVkOGE4OTYwNWIwOTMiLCJ1c2VySWQiOiIyOTM0NjU1OTEifQ==</vt:lpwstr>
  </property>
</Properties>
</file>