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ordWrap w:val="0"/>
        <w:autoSpaceDE w:val="0"/>
        <w:autoSpaceDN w:val="0"/>
        <w:spacing w:before="12" w:after="12" w:line="240" w:lineRule="atLeast"/>
        <w:ind w:right="633"/>
        <w:jc w:val="right"/>
        <w:rPr>
          <w:rFonts w:ascii="宋体" w:hAnsi="宋体"/>
          <w:sz w:val="52"/>
          <w:szCs w:val="52"/>
        </w:rPr>
      </w:pPr>
      <w:bookmarkStart w:id="0" w:name="_Toc127377399"/>
      <w:bookmarkStart w:id="1" w:name="_Toc127676640"/>
      <w:bookmarkStart w:id="2" w:name="_Toc127352784"/>
      <w:bookmarkStart w:id="3" w:name="_Toc286839478"/>
      <w:bookmarkStart w:id="4" w:name="_Toc54585762"/>
      <w:bookmarkStart w:id="5" w:name="_Toc193549262"/>
      <w:bookmarkStart w:id="65" w:name="_GoBack"/>
      <w:bookmarkEnd w:id="65"/>
      <w:r>
        <w:rPr>
          <w:rFonts w:hint="eastAsia" w:ascii="宋体" w:hAnsi="宋体"/>
          <w:sz w:val="52"/>
          <w:szCs w:val="52"/>
        </w:rPr>
        <w:t xml:space="preserve">    </w:t>
      </w:r>
    </w:p>
    <w:bookmarkEnd w:id="0"/>
    <w:bookmarkEnd w:id="1"/>
    <w:bookmarkEnd w:id="2"/>
    <w:p>
      <w:pPr>
        <w:widowControl w:val="0"/>
        <w:spacing w:line="312" w:lineRule="auto"/>
        <w:jc w:val="center"/>
        <w:rPr>
          <w:rFonts w:hint="eastAsia" w:ascii="宋体" w:hAnsi="宋体"/>
          <w:b/>
          <w:kern w:val="2"/>
          <w:sz w:val="56"/>
          <w:szCs w:val="56"/>
          <w:lang w:val="en-US" w:eastAsia="zh-CN" w:bidi="ar-SA"/>
        </w:rPr>
      </w:pPr>
      <w:r>
        <w:rPr>
          <w:rFonts w:hint="eastAsia" w:ascii="宋体" w:hAnsi="宋体" w:eastAsia="宋体"/>
          <w:b/>
          <w:kern w:val="2"/>
          <w:sz w:val="48"/>
          <w:szCs w:val="48"/>
          <w:lang w:val="en-US" w:eastAsia="zh-CN" w:bidi="ar-SA"/>
        </w:rPr>
        <w:t>正方深悦湾零星修补工程</w:t>
      </w:r>
    </w:p>
    <w:p>
      <w:pPr>
        <w:widowControl w:val="0"/>
        <w:spacing w:line="312" w:lineRule="auto"/>
        <w:jc w:val="center"/>
        <w:rPr>
          <w:rFonts w:hint="eastAsia" w:ascii="宋体" w:hAnsi="宋体"/>
          <w:b/>
          <w:kern w:val="2"/>
          <w:sz w:val="72"/>
          <w:szCs w:val="72"/>
          <w:lang w:val="en-US" w:eastAsia="zh-CN" w:bidi="ar-SA"/>
        </w:rPr>
      </w:pPr>
    </w:p>
    <w:p>
      <w:pPr>
        <w:widowControl w:val="0"/>
        <w:spacing w:line="312" w:lineRule="auto"/>
        <w:jc w:val="center"/>
        <w:rPr>
          <w:rFonts w:hint="eastAsia" w:ascii="宋体" w:hAnsi="宋体"/>
          <w:b/>
          <w:kern w:val="2"/>
          <w:sz w:val="72"/>
          <w:szCs w:val="72"/>
          <w:lang w:val="en-US" w:eastAsia="zh-CN" w:bidi="ar-SA"/>
        </w:rPr>
      </w:pPr>
    </w:p>
    <w:p>
      <w:pPr>
        <w:widowControl w:val="0"/>
        <w:spacing w:line="312" w:lineRule="auto"/>
        <w:jc w:val="center"/>
        <w:rPr>
          <w:rFonts w:ascii="宋体" w:hAnsi="宋体"/>
          <w:b/>
          <w:kern w:val="2"/>
          <w:sz w:val="72"/>
          <w:szCs w:val="72"/>
          <w:lang w:val="en-US" w:eastAsia="zh-CN" w:bidi="ar-SA"/>
        </w:rPr>
      </w:pPr>
      <w:r>
        <w:rPr>
          <w:rFonts w:hint="eastAsia" w:ascii="宋体" w:hAnsi="宋体"/>
          <w:b/>
          <w:kern w:val="2"/>
          <w:sz w:val="72"/>
          <w:szCs w:val="72"/>
          <w:lang w:val="en-US" w:eastAsia="zh-CN" w:bidi="ar-SA"/>
        </w:rPr>
        <w:t>技</w:t>
      </w:r>
    </w:p>
    <w:p>
      <w:pPr>
        <w:widowControl w:val="0"/>
        <w:spacing w:line="312" w:lineRule="auto"/>
        <w:jc w:val="center"/>
        <w:rPr>
          <w:rFonts w:ascii="宋体" w:hAnsi="宋体"/>
          <w:b/>
          <w:kern w:val="2"/>
          <w:sz w:val="72"/>
          <w:szCs w:val="72"/>
          <w:lang w:val="en-US" w:eastAsia="zh-CN" w:bidi="ar-SA"/>
        </w:rPr>
      </w:pPr>
      <w:r>
        <w:rPr>
          <w:rFonts w:hint="eastAsia" w:ascii="宋体" w:hAnsi="宋体"/>
          <w:b/>
          <w:kern w:val="2"/>
          <w:sz w:val="72"/>
          <w:szCs w:val="72"/>
          <w:lang w:val="en-US" w:eastAsia="zh-CN" w:bidi="ar-SA"/>
        </w:rPr>
        <w:t>术</w:t>
      </w:r>
    </w:p>
    <w:p>
      <w:pPr>
        <w:widowControl w:val="0"/>
        <w:spacing w:line="312" w:lineRule="auto"/>
        <w:jc w:val="center"/>
        <w:rPr>
          <w:rFonts w:ascii="宋体" w:hAnsi="宋体"/>
          <w:b/>
          <w:kern w:val="2"/>
          <w:sz w:val="72"/>
          <w:szCs w:val="72"/>
          <w:lang w:val="en-US" w:eastAsia="zh-CN" w:bidi="ar-SA"/>
        </w:rPr>
      </w:pPr>
      <w:r>
        <w:rPr>
          <w:rFonts w:hint="eastAsia" w:ascii="宋体" w:hAnsi="宋体"/>
          <w:b/>
          <w:kern w:val="2"/>
          <w:sz w:val="72"/>
          <w:szCs w:val="72"/>
          <w:lang w:val="en-US" w:eastAsia="zh-CN" w:bidi="ar-SA"/>
        </w:rPr>
        <w:t>规</w:t>
      </w:r>
    </w:p>
    <w:p>
      <w:pPr>
        <w:widowControl w:val="0"/>
        <w:spacing w:line="312" w:lineRule="auto"/>
        <w:jc w:val="center"/>
        <w:rPr>
          <w:rFonts w:ascii="宋体" w:hAnsi="宋体"/>
          <w:b/>
          <w:kern w:val="2"/>
          <w:sz w:val="72"/>
          <w:szCs w:val="72"/>
          <w:lang w:val="en-US" w:eastAsia="zh-CN" w:bidi="ar-SA"/>
        </w:rPr>
      </w:pPr>
      <w:r>
        <w:rPr>
          <w:rFonts w:hint="eastAsia" w:ascii="宋体" w:hAnsi="宋体"/>
          <w:b/>
          <w:kern w:val="2"/>
          <w:sz w:val="72"/>
          <w:szCs w:val="72"/>
          <w:lang w:val="en-US" w:eastAsia="zh-CN" w:bidi="ar-SA"/>
        </w:rPr>
        <w:t>范</w:t>
      </w:r>
    </w:p>
    <w:p>
      <w:pPr>
        <w:widowControl w:val="0"/>
        <w:spacing w:line="312" w:lineRule="auto"/>
        <w:jc w:val="center"/>
        <w:rPr>
          <w:rFonts w:ascii="宋体" w:hAnsi="宋体"/>
          <w:b/>
          <w:kern w:val="2"/>
          <w:sz w:val="72"/>
          <w:szCs w:val="72"/>
          <w:lang w:val="en-US" w:eastAsia="zh-CN" w:bidi="ar-SA"/>
        </w:rPr>
      </w:pPr>
      <w:r>
        <w:rPr>
          <w:rFonts w:hint="eastAsia" w:ascii="宋体" w:hAnsi="宋体"/>
          <w:b/>
          <w:kern w:val="2"/>
          <w:sz w:val="72"/>
          <w:szCs w:val="72"/>
          <w:lang w:val="en-US" w:eastAsia="zh-CN" w:bidi="ar-SA"/>
        </w:rPr>
        <w:t>书</w:t>
      </w:r>
    </w:p>
    <w:p>
      <w:pPr>
        <w:widowControl w:val="0"/>
        <w:spacing w:line="312" w:lineRule="auto"/>
        <w:jc w:val="center"/>
        <w:rPr>
          <w:rFonts w:hint="eastAsia" w:ascii="仿宋_GB2312" w:eastAsia="仿宋_GB2312"/>
          <w:b/>
          <w:kern w:val="2"/>
          <w:sz w:val="28"/>
          <w:szCs w:val="24"/>
          <w:lang w:val="en-US" w:eastAsia="zh-CN" w:bidi="ar-SA"/>
        </w:rPr>
      </w:pPr>
    </w:p>
    <w:p>
      <w:pPr>
        <w:widowControl w:val="0"/>
        <w:spacing w:line="312" w:lineRule="auto"/>
        <w:jc w:val="center"/>
        <w:rPr>
          <w:rFonts w:hint="eastAsia" w:ascii="仿宋_GB2312" w:eastAsia="仿宋_GB2312"/>
          <w:b/>
          <w:kern w:val="2"/>
          <w:sz w:val="28"/>
          <w:szCs w:val="24"/>
          <w:lang w:val="en-US" w:eastAsia="zh-CN" w:bidi="ar-SA"/>
        </w:rPr>
      </w:pPr>
    </w:p>
    <w:p>
      <w:pPr>
        <w:widowControl w:val="0"/>
        <w:spacing w:line="880" w:lineRule="exact"/>
        <w:jc w:val="center"/>
        <w:rPr>
          <w:rFonts w:hint="eastAsia"/>
          <w:b/>
          <w:kern w:val="2"/>
          <w:sz w:val="36"/>
          <w:lang w:val="en-US" w:eastAsia="zh-CN" w:bidi="ar-SA"/>
        </w:rPr>
      </w:pPr>
      <w:r>
        <w:rPr>
          <w:rFonts w:hint="eastAsia"/>
          <w:b/>
          <w:kern w:val="2"/>
          <w:sz w:val="36"/>
          <w:lang w:val="en-US" w:eastAsia="zh-CN" w:bidi="ar-SA"/>
        </w:rPr>
        <w:t>珠海正方公共资源运营有限公司</w:t>
      </w:r>
    </w:p>
    <w:p>
      <w:pPr>
        <w:widowControl w:val="0"/>
        <w:spacing w:line="880" w:lineRule="exact"/>
        <w:jc w:val="center"/>
        <w:rPr>
          <w:rFonts w:hint="eastAsia" w:ascii="黑体" w:eastAsia="黑体"/>
          <w:snapToGrid w:val="0"/>
          <w:w w:val="80"/>
          <w:kern w:val="18"/>
          <w:sz w:val="44"/>
          <w:szCs w:val="24"/>
          <w:lang w:val="en-US" w:eastAsia="zh-CN" w:bidi="ar-SA"/>
        </w:rPr>
      </w:pPr>
      <w:r>
        <w:rPr>
          <w:rFonts w:hint="eastAsia" w:ascii="黑体" w:eastAsia="黑体"/>
          <w:snapToGrid w:val="0"/>
          <w:w w:val="80"/>
          <w:kern w:val="18"/>
          <w:sz w:val="44"/>
          <w:szCs w:val="24"/>
          <w:lang w:val="en-US" w:eastAsia="zh-CN" w:bidi="ar-SA"/>
        </w:rPr>
        <w:t xml:space="preserve">2026年  月  </w:t>
      </w:r>
      <w:r>
        <w:rPr>
          <w:rFonts w:ascii="黑体" w:eastAsia="黑体"/>
          <w:snapToGrid w:val="0"/>
          <w:w w:val="80"/>
          <w:kern w:val="18"/>
          <w:sz w:val="44"/>
          <w:szCs w:val="24"/>
          <w:lang w:val="en-US" w:eastAsia="zh-CN" w:bidi="ar-SA"/>
        </w:rPr>
        <w:t>日</w:t>
      </w:r>
    </w:p>
    <w:p>
      <w:pPr>
        <w:spacing w:line="880" w:lineRule="exact"/>
        <w:jc w:val="center"/>
        <w:rPr>
          <w:rFonts w:hint="eastAsia" w:ascii="黑体" w:eastAsia="黑体"/>
          <w:snapToGrid w:val="0"/>
          <w:w w:val="80"/>
          <w:kern w:val="18"/>
          <w:sz w:val="44"/>
          <w:szCs w:val="24"/>
        </w:rPr>
      </w:pPr>
    </w:p>
    <w:p>
      <w:pPr>
        <w:spacing w:line="880" w:lineRule="exact"/>
        <w:jc w:val="center"/>
        <w:rPr>
          <w:rFonts w:hint="eastAsia" w:ascii="黑体" w:eastAsia="黑体"/>
          <w:snapToGrid w:val="0"/>
          <w:w w:val="80"/>
          <w:kern w:val="18"/>
          <w:sz w:val="44"/>
          <w:szCs w:val="24"/>
        </w:rPr>
      </w:pPr>
    </w:p>
    <w:p>
      <w:pPr>
        <w:widowControl w:val="0"/>
        <w:adjustRightInd w:val="0"/>
        <w:spacing w:before="320" w:line="300" w:lineRule="auto"/>
        <w:jc w:val="center"/>
        <w:outlineLvl w:val="9"/>
        <w:rPr>
          <w:rFonts w:ascii="Times New Roman" w:hAnsi="Times New Roman" w:eastAsia="黑体" w:cs="Times New Roman"/>
          <w:color w:val="000000"/>
          <w:kern w:val="44"/>
          <w:sz w:val="32"/>
          <w:szCs w:val="44"/>
          <w:lang w:bidi="ar-SA"/>
        </w:rPr>
      </w:pPr>
    </w:p>
    <w:p>
      <w:pPr>
        <w:pStyle w:val="2"/>
        <w:jc w:val="center"/>
      </w:pPr>
      <w:r>
        <w:t>说 明</w:t>
      </w:r>
    </w:p>
    <w:p>
      <w:pPr>
        <w:spacing w:line="480" w:lineRule="auto"/>
        <w:ind w:firstLine="560" w:firstLineChars="200"/>
        <w:rPr>
          <w:rFonts w:hint="eastAsia" w:ascii="宋体" w:hAnsi="宋体"/>
          <w:sz w:val="28"/>
          <w:szCs w:val="28"/>
        </w:rPr>
      </w:pPr>
    </w:p>
    <w:p>
      <w:pPr>
        <w:spacing w:line="480" w:lineRule="auto"/>
        <w:ind w:firstLine="560" w:firstLineChars="200"/>
        <w:rPr>
          <w:rFonts w:hint="eastAsia" w:ascii="宋体" w:hAnsi="宋体"/>
          <w:sz w:val="28"/>
          <w:szCs w:val="28"/>
        </w:rPr>
      </w:pPr>
    </w:p>
    <w:p>
      <w:pPr>
        <w:pStyle w:val="12"/>
        <w:rPr>
          <w:rFonts w:ascii="Times New Roman" w:hAnsi="Times New Roman" w:eastAsia="宋体" w:cs="Times New Roman"/>
          <w:color w:val="FF0000"/>
          <w:sz w:val="24"/>
          <w:szCs w:val="24"/>
        </w:rPr>
      </w:pPr>
      <w:r>
        <w:rPr>
          <w:rFonts w:ascii="Times New Roman" w:hAnsi="Times New Roman" w:eastAsia="宋体" w:cs="Times New Roman"/>
          <w:sz w:val="24"/>
          <w:szCs w:val="24"/>
        </w:rPr>
        <w:t>本技术规范，针对正方深悦湾零星修补工程，未注明事宜，需与珠海正方物业管理有限公司协商确定。</w:t>
      </w:r>
    </w:p>
    <w:p>
      <w:pPr>
        <w:spacing w:line="312" w:lineRule="auto"/>
        <w:jc w:val="center"/>
        <w:rPr>
          <w:rFonts w:hint="eastAsia" w:ascii="仿宋_GB2312" w:eastAsia="仿宋_GB2312"/>
          <w:b/>
          <w:sz w:val="28"/>
          <w:szCs w:val="24"/>
        </w:rPr>
      </w:pPr>
    </w:p>
    <w:p>
      <w:pPr>
        <w:spacing w:line="312" w:lineRule="auto"/>
        <w:jc w:val="center"/>
        <w:rPr>
          <w:rFonts w:hint="eastAsia" w:ascii="仿宋_GB2312" w:eastAsia="仿宋_GB2312"/>
          <w:b/>
          <w:sz w:val="28"/>
          <w:szCs w:val="24"/>
        </w:rPr>
      </w:pPr>
    </w:p>
    <w:p>
      <w:pPr>
        <w:spacing w:line="312" w:lineRule="auto"/>
        <w:jc w:val="center"/>
        <w:rPr>
          <w:rFonts w:hint="eastAsia" w:ascii="仿宋_GB2312" w:eastAsia="仿宋_GB2312"/>
          <w:b/>
          <w:sz w:val="28"/>
          <w:szCs w:val="24"/>
        </w:rPr>
      </w:pPr>
    </w:p>
    <w:p>
      <w:pPr>
        <w:spacing w:line="312" w:lineRule="auto"/>
        <w:jc w:val="center"/>
        <w:rPr>
          <w:rFonts w:hint="eastAsia" w:ascii="仿宋_GB2312" w:eastAsia="仿宋_GB2312"/>
          <w:b/>
          <w:sz w:val="28"/>
          <w:szCs w:val="24"/>
        </w:rPr>
      </w:pPr>
    </w:p>
    <w:p>
      <w:pPr>
        <w:spacing w:line="312" w:lineRule="auto"/>
        <w:jc w:val="center"/>
        <w:rPr>
          <w:rFonts w:hint="eastAsia" w:ascii="仿宋_GB2312" w:eastAsia="仿宋_GB2312"/>
          <w:b/>
          <w:sz w:val="28"/>
          <w:szCs w:val="24"/>
        </w:rPr>
      </w:pPr>
    </w:p>
    <w:p>
      <w:pPr>
        <w:spacing w:line="360" w:lineRule="auto"/>
        <w:ind w:left="1050" w:leftChars="5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编       制：</w:t>
      </w:r>
      <w:r>
        <w:rPr>
          <w:rFonts w:hint="eastAsia" w:ascii="Times New Roman" w:hAnsi="Times New Roman" w:eastAsia="宋体" w:cs="Times New Roman"/>
          <w:i/>
          <w:iCs/>
          <w:color w:val="FF0000"/>
          <w:sz w:val="24"/>
          <w:szCs w:val="24"/>
        </w:rPr>
        <w:t xml:space="preserve">            </w:t>
      </w:r>
      <w:r>
        <w:rPr>
          <w:rFonts w:hint="eastAsia" w:ascii="Times New Roman" w:hAnsi="Times New Roman" w:eastAsia="宋体" w:cs="Times New Roman"/>
          <w:sz w:val="24"/>
          <w:szCs w:val="24"/>
        </w:rPr>
        <w:t>20</w:t>
      </w:r>
      <w:r>
        <w:rPr>
          <w:rFonts w:hint="eastAsia" w:ascii="Times New Roman" w:hAnsi="Times New Roman" w:eastAsia="宋体" w:cs="Times New Roman"/>
          <w:sz w:val="24"/>
          <w:szCs w:val="24"/>
          <w:lang w:val="en-US" w:eastAsia="zh-CN"/>
        </w:rPr>
        <w:t>26</w:t>
      </w:r>
      <w:r>
        <w:rPr>
          <w:rFonts w:hint="eastAsia" w:ascii="Times New Roman" w:hAnsi="Times New Roman" w:eastAsia="宋体" w:cs="Times New Roman"/>
          <w:sz w:val="24"/>
          <w:szCs w:val="24"/>
        </w:rPr>
        <w:t>年    月   日</w:t>
      </w:r>
    </w:p>
    <w:p>
      <w:pPr>
        <w:spacing w:line="360" w:lineRule="auto"/>
        <w:ind w:left="1050" w:leftChars="500"/>
        <w:rPr>
          <w:rFonts w:hint="eastAsia" w:eastAsia="黑体"/>
          <w:sz w:val="28"/>
        </w:rPr>
      </w:pPr>
    </w:p>
    <w:p>
      <w:pPr>
        <w:spacing w:line="360" w:lineRule="auto"/>
        <w:ind w:left="1050" w:leftChars="5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审       核：</w:t>
      </w:r>
      <w:r>
        <w:rPr>
          <w:rFonts w:hint="eastAsia" w:ascii="Times New Roman" w:hAnsi="Times New Roman" w:eastAsia="宋体" w:cs="Times New Roman"/>
          <w:i/>
          <w:iCs/>
          <w:color w:val="FF0000"/>
          <w:sz w:val="24"/>
          <w:szCs w:val="24"/>
        </w:rPr>
        <w:t xml:space="preserve">         </w:t>
      </w:r>
      <w:r>
        <w:rPr>
          <w:rFonts w:hint="eastAsia" w:ascii="Times New Roman" w:hAnsi="Times New Roman" w:eastAsia="宋体" w:cs="Times New Roman"/>
          <w:sz w:val="24"/>
          <w:szCs w:val="24"/>
        </w:rPr>
        <w:t xml:space="preserve">   20</w:t>
      </w:r>
      <w:r>
        <w:rPr>
          <w:rFonts w:hint="eastAsia" w:ascii="Times New Roman" w:hAnsi="Times New Roman" w:eastAsia="宋体" w:cs="Times New Roman"/>
          <w:sz w:val="24"/>
          <w:szCs w:val="24"/>
          <w:lang w:val="en-US" w:eastAsia="zh-CN"/>
        </w:rPr>
        <w:t>26</w:t>
      </w:r>
      <w:r>
        <w:rPr>
          <w:rFonts w:hint="eastAsia" w:ascii="Times New Roman" w:hAnsi="Times New Roman" w:eastAsia="宋体" w:cs="Times New Roman"/>
          <w:sz w:val="24"/>
          <w:szCs w:val="24"/>
        </w:rPr>
        <w:t>年    月   日</w:t>
      </w:r>
    </w:p>
    <w:p>
      <w:pPr>
        <w:spacing w:line="360" w:lineRule="auto"/>
        <w:ind w:left="1050" w:leftChars="500"/>
        <w:rPr>
          <w:rFonts w:hint="eastAsia" w:eastAsia="黑体"/>
          <w:sz w:val="28"/>
        </w:rPr>
      </w:pPr>
      <w:r>
        <w:rPr>
          <w:rFonts w:hint="eastAsia" w:eastAsia="黑体"/>
          <w:sz w:val="28"/>
        </w:rPr>
        <w:t xml:space="preserve"> </w:t>
      </w:r>
    </w:p>
    <w:p>
      <w:pPr>
        <w:spacing w:line="360" w:lineRule="auto"/>
        <w:ind w:left="1050" w:leftChars="500"/>
        <w:rPr>
          <w:rFonts w:hint="eastAsia" w:eastAsia="黑体"/>
          <w:sz w:val="28"/>
        </w:rPr>
      </w:pPr>
    </w:p>
    <w:p>
      <w:pPr>
        <w:spacing w:line="360" w:lineRule="auto"/>
        <w:ind w:left="1050" w:leftChars="5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批       准：</w:t>
      </w:r>
      <w:r>
        <w:rPr>
          <w:rFonts w:hint="eastAsia" w:ascii="Times New Roman" w:hAnsi="Times New Roman" w:eastAsia="宋体" w:cs="Times New Roman"/>
          <w:i/>
          <w:iCs/>
          <w:color w:val="FF0000"/>
          <w:spacing w:val="22"/>
          <w:sz w:val="24"/>
          <w:szCs w:val="24"/>
        </w:rPr>
        <w:t xml:space="preserve">       </w:t>
      </w:r>
      <w:r>
        <w:rPr>
          <w:rFonts w:hint="eastAsia" w:ascii="Times New Roman" w:hAnsi="Times New Roman" w:eastAsia="宋体" w:cs="Times New Roman"/>
          <w:sz w:val="24"/>
          <w:szCs w:val="24"/>
        </w:rPr>
        <w:t xml:space="preserve">   20</w:t>
      </w:r>
      <w:r>
        <w:rPr>
          <w:rFonts w:hint="eastAsia" w:ascii="Times New Roman" w:hAnsi="Times New Roman" w:eastAsia="宋体" w:cs="Times New Roman"/>
          <w:sz w:val="24"/>
          <w:szCs w:val="24"/>
          <w:lang w:val="en-US" w:eastAsia="zh-CN"/>
        </w:rPr>
        <w:t>26</w:t>
      </w:r>
      <w:r>
        <w:rPr>
          <w:rFonts w:hint="eastAsia" w:ascii="Times New Roman" w:hAnsi="Times New Roman" w:eastAsia="宋体" w:cs="Times New Roman"/>
          <w:sz w:val="24"/>
          <w:szCs w:val="24"/>
        </w:rPr>
        <w:t>年    月   日</w:t>
      </w:r>
    </w:p>
    <w:p>
      <w:pPr>
        <w:pStyle w:val="13"/>
        <w:adjustRightInd w:val="0"/>
        <w:snapToGrid w:val="0"/>
        <w:spacing w:after="0" w:line="360" w:lineRule="auto"/>
        <w:jc w:val="center"/>
        <w:rPr>
          <w:rFonts w:hint="eastAsia" w:hAnsi="宋体"/>
          <w:b/>
          <w:szCs w:val="28"/>
        </w:rPr>
      </w:pPr>
    </w:p>
    <w:p>
      <w:pPr>
        <w:pStyle w:val="13"/>
        <w:adjustRightInd w:val="0"/>
        <w:snapToGrid w:val="0"/>
        <w:spacing w:after="0" w:line="360" w:lineRule="auto"/>
        <w:jc w:val="center"/>
        <w:rPr>
          <w:rFonts w:hint="eastAsia" w:hAnsi="宋体"/>
          <w:b/>
          <w:szCs w:val="28"/>
        </w:rPr>
      </w:pPr>
    </w:p>
    <w:p>
      <w:pPr>
        <w:pStyle w:val="13"/>
        <w:adjustRightInd w:val="0"/>
        <w:snapToGrid w:val="0"/>
        <w:spacing w:after="0" w:line="360" w:lineRule="auto"/>
        <w:jc w:val="center"/>
        <w:rPr>
          <w:rFonts w:hint="eastAsia" w:hAnsi="宋体"/>
          <w:b/>
          <w:szCs w:val="28"/>
        </w:rPr>
      </w:pPr>
    </w:p>
    <w:p>
      <w:pPr>
        <w:pStyle w:val="13"/>
        <w:adjustRightInd w:val="0"/>
        <w:snapToGrid w:val="0"/>
        <w:spacing w:after="0" w:line="360" w:lineRule="auto"/>
        <w:jc w:val="center"/>
        <w:rPr>
          <w:rFonts w:hint="eastAsia" w:hAnsi="宋体"/>
          <w:b/>
          <w:szCs w:val="28"/>
        </w:rPr>
      </w:pPr>
    </w:p>
    <w:p>
      <w:pPr>
        <w:pStyle w:val="13"/>
        <w:adjustRightInd w:val="0"/>
        <w:snapToGrid w:val="0"/>
        <w:spacing w:after="0" w:line="360" w:lineRule="auto"/>
        <w:jc w:val="center"/>
        <w:rPr>
          <w:rFonts w:hint="eastAsia" w:hAnsi="宋体"/>
          <w:b/>
          <w:szCs w:val="28"/>
        </w:rPr>
      </w:pPr>
    </w:p>
    <w:p>
      <w:pPr>
        <w:pStyle w:val="13"/>
        <w:adjustRightInd w:val="0"/>
        <w:snapToGrid w:val="0"/>
        <w:spacing w:after="0" w:line="360" w:lineRule="auto"/>
        <w:jc w:val="center"/>
        <w:rPr>
          <w:rFonts w:hint="eastAsia" w:hAnsi="宋体"/>
          <w:b/>
          <w:szCs w:val="28"/>
        </w:rPr>
      </w:pPr>
    </w:p>
    <w:p>
      <w:pPr>
        <w:pStyle w:val="13"/>
        <w:adjustRightInd w:val="0"/>
        <w:snapToGrid w:val="0"/>
        <w:spacing w:after="0" w:line="360" w:lineRule="auto"/>
        <w:jc w:val="center"/>
        <w:rPr>
          <w:rFonts w:hint="eastAsia" w:hAnsi="宋体"/>
          <w:b/>
          <w:szCs w:val="28"/>
        </w:rPr>
      </w:pPr>
    </w:p>
    <w:p>
      <w:pPr>
        <w:pStyle w:val="13"/>
        <w:adjustRightInd w:val="0"/>
        <w:snapToGrid w:val="0"/>
        <w:spacing w:after="0" w:line="360" w:lineRule="auto"/>
        <w:jc w:val="center"/>
        <w:rPr>
          <w:rFonts w:hint="eastAsia" w:hAnsi="宋体"/>
          <w:b/>
          <w:szCs w:val="28"/>
        </w:rPr>
      </w:pPr>
    </w:p>
    <w:p>
      <w:pPr>
        <w:pStyle w:val="2"/>
        <w:numPr>
          <w:ilvl w:val="0"/>
          <w:numId w:val="1"/>
        </w:numPr>
        <w:ind w:left="0" w:leftChars="0" w:firstLine="0" w:firstLineChars="0"/>
        <w:rPr>
          <w:b w:val="0"/>
        </w:rPr>
      </w:pPr>
      <w:r>
        <w:t>一般规定</w:t>
      </w:r>
      <w:bookmarkEnd w:id="3"/>
    </w:p>
    <w:p>
      <w:pPr>
        <w:pStyle w:val="3"/>
        <w:numPr>
          <w:ilvl w:val="0"/>
          <w:numId w:val="2"/>
        </w:numPr>
        <w:ind w:left="0" w:leftChars="0" w:firstLine="0" w:firstLineChars="0"/>
        <w:rPr>
          <w:rFonts w:hint="eastAsia" w:ascii="黑体" w:hAnsi="黑体" w:eastAsia="黑体" w:cs="黑体"/>
          <w:b w:val="0"/>
        </w:rPr>
      </w:pPr>
      <w:bookmarkStart w:id="6" w:name="_Toc286839479"/>
      <w:r>
        <w:t>工程概况</w:t>
      </w:r>
      <w:bookmarkEnd w:id="6"/>
      <w:bookmarkStart w:id="7" w:name="_Toc90030632"/>
      <w:bookmarkStart w:id="8" w:name="_Toc515335449"/>
      <w:bookmarkStart w:id="9" w:name="_Toc206383712"/>
      <w:bookmarkStart w:id="10" w:name="_Toc494871119"/>
      <w:bookmarkStart w:id="11" w:name="_Toc219196541"/>
      <w:bookmarkStart w:id="12" w:name="_Toc518723291"/>
      <w:bookmarkStart w:id="13" w:name="_Toc286839480"/>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本工程涉及正方深悦湾零星修补工程，（详见项目清单）。</w:t>
      </w:r>
    </w:p>
    <w:bookmarkEnd w:id="7"/>
    <w:bookmarkEnd w:id="8"/>
    <w:bookmarkEnd w:id="9"/>
    <w:bookmarkEnd w:id="10"/>
    <w:bookmarkEnd w:id="11"/>
    <w:bookmarkEnd w:id="12"/>
    <w:bookmarkEnd w:id="13"/>
    <w:p>
      <w:pPr>
        <w:pStyle w:val="3"/>
        <w:numPr>
          <w:ilvl w:val="0"/>
          <w:numId w:val="2"/>
        </w:numPr>
        <w:ind w:left="0" w:leftChars="0" w:firstLine="0" w:firstLineChars="0"/>
        <w:rPr>
          <w:rFonts w:hint="eastAsia" w:ascii="黑体" w:hAnsi="黑体" w:eastAsia="黑体" w:cs="黑体"/>
          <w:b w:val="0"/>
        </w:rPr>
      </w:pPr>
      <w:bookmarkStart w:id="14" w:name="_Toc286839482"/>
      <w:r>
        <w:t>承包人提供的设备及材料</w:t>
      </w:r>
      <w:bookmarkEnd w:id="14"/>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承包人必须按合同条款的规定负责采购、验收、运输和保管工程施工中所需的全部材料。材料应具有材质证明或出厂合格证书，并符合国家相关技术规范的要求。</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承包人所有设备均须按合同规定经过检查、验证和运转试验，承包人对其所用的设备负有全部责任。用户一旦发现承包人所用的施工设备影响工程的进度和质量时，承包人应按用户的指示更换设备。</w:t>
      </w:r>
      <w:bookmarkStart w:id="15" w:name="_Toc286839483"/>
    </w:p>
    <w:bookmarkEnd w:id="15"/>
    <w:p>
      <w:pPr>
        <w:pStyle w:val="3"/>
        <w:numPr>
          <w:ilvl w:val="0"/>
          <w:numId w:val="2"/>
        </w:numPr>
        <w:ind w:left="0" w:leftChars="0" w:firstLine="0" w:firstLineChars="0"/>
        <w:rPr>
          <w:rFonts w:hint="eastAsia" w:ascii="黑体" w:hAnsi="黑体" w:eastAsia="黑体" w:cs="黑体"/>
          <w:b w:val="0"/>
        </w:rPr>
      </w:pPr>
      <w:bookmarkStart w:id="16" w:name="_Toc286839484"/>
      <w:r>
        <w:t>由发包人提供的图纸和文件</w:t>
      </w:r>
      <w:bookmarkEnd w:id="16"/>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发包人负责向承包人递交为有效地实施本工程所必需施工样品和必要的文字说明(下文统称图纸和文件)。图纸和文件应一致，达到深度要求，相互无矛盾，以便于承包人进行复核与审批。</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承包人对发包人提供的任何图纸文件应仔细审阅，如发现错误或表达不清楚的地方，必须在2天内正式通知发包人。</w:t>
      </w:r>
    </w:p>
    <w:p>
      <w:pPr>
        <w:pStyle w:val="3"/>
        <w:numPr>
          <w:ilvl w:val="0"/>
          <w:numId w:val="2"/>
        </w:numPr>
        <w:ind w:left="0" w:leftChars="0" w:firstLine="0" w:firstLineChars="0"/>
        <w:rPr>
          <w:rFonts w:hint="eastAsia" w:ascii="黑体" w:hAnsi="黑体" w:eastAsia="黑体" w:cs="黑体"/>
          <w:b w:val="0"/>
        </w:rPr>
      </w:pPr>
      <w:r>
        <w:t>承包人对安全防护的责任</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在工程最终交付使用之前的整个施工期内，承包人必须制订并实施一切必要的措施，保证工程现场施工安全(包括承包人和非承包人的人员安全)，维护工地正常生产、生活秩序。对于用电等危险性作业承包人须设专职监护人员进行监护。承包人必须遵守国家颁布的有关安全规程，对于不符合我国法律、法规、安全规程及合同规定的安全隐患，发包人有权要求承包人限期整改。若发生安全事故，承包人必须在国家相关法规规定时间内向发包人汇报、递交事故报告。</w:t>
      </w:r>
    </w:p>
    <w:p>
      <w:pPr>
        <w:pStyle w:val="3"/>
        <w:numPr>
          <w:ilvl w:val="0"/>
          <w:numId w:val="2"/>
        </w:numPr>
        <w:ind w:left="0" w:leftChars="0" w:firstLine="0" w:firstLineChars="0"/>
        <w:rPr>
          <w:rFonts w:hint="eastAsia" w:ascii="黑体" w:hAnsi="黑体" w:eastAsia="黑体" w:cs="黑体"/>
          <w:b w:val="0"/>
        </w:rPr>
      </w:pPr>
      <w:bookmarkStart w:id="17" w:name="_Toc286839487"/>
      <w:r>
        <w:t>承包人对环境保护</w:t>
      </w:r>
      <w:bookmarkEnd w:id="17"/>
      <w:r>
        <w:t>的责任</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承包人应将工程垃圾按照当地环卫部门规定的要求堆放。由于承包人的施工违反当地城市管理相关规定，造成的人身安全事故、环境破坏和经济损失，由承包人承担全部责任。</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为保持施工区的环境卫生，必须及时清理垃圾，并将其运至当地环卫部门指定的地点。</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承包人应按发包人指令拆除施工临时设施和临时生活设施，拆除后的场地应清理并恢复。清理工作所需费用由承包人承担。</w:t>
      </w:r>
    </w:p>
    <w:p>
      <w:pPr>
        <w:pStyle w:val="3"/>
        <w:numPr>
          <w:ilvl w:val="0"/>
          <w:numId w:val="2"/>
        </w:numPr>
        <w:ind w:left="0" w:leftChars="0" w:firstLine="0" w:firstLineChars="0"/>
        <w:rPr>
          <w:rFonts w:hint="eastAsia" w:ascii="黑体" w:hAnsi="黑体" w:eastAsia="黑体" w:cs="黑体"/>
          <w:b w:val="0"/>
        </w:rPr>
      </w:pPr>
      <w:r>
        <w:t>发包人对工程承担的责任</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提供详细设计图纸及文件的审核、确认；本项目由中标人按发包人材质要求设计图案。对工程施工质量的跟踪、监督；工程竣工后组织对工程的验收。</w:t>
      </w:r>
    </w:p>
    <w:p>
      <w:pPr>
        <w:pStyle w:val="2"/>
        <w:numPr>
          <w:ilvl w:val="0"/>
          <w:numId w:val="1"/>
        </w:numPr>
        <w:ind w:left="0" w:leftChars="0" w:firstLine="0" w:firstLineChars="0"/>
        <w:rPr>
          <w:b w:val="0"/>
        </w:rPr>
      </w:pPr>
      <w:r>
        <w:t xml:space="preserve">适用规范和标准  </w:t>
      </w:r>
    </w:p>
    <w:p>
      <w:pPr>
        <w:pStyle w:val="3"/>
        <w:numPr>
          <w:ilvl w:val="0"/>
          <w:numId w:val="3"/>
        </w:numPr>
        <w:ind w:left="0" w:leftChars="0" w:firstLine="0" w:firstLineChars="0"/>
        <w:rPr>
          <w:rFonts w:hint="eastAsia" w:ascii="黑体" w:hAnsi="黑体" w:eastAsia="黑体" w:cs="黑体"/>
          <w:b w:val="0"/>
        </w:rPr>
      </w:pPr>
      <w:r>
        <w:t xml:space="preserve">适用的规范、标准和规程 </w:t>
      </w:r>
    </w:p>
    <w:p>
      <w:pPr>
        <w:pStyle w:val="12"/>
        <w:numPr>
          <w:ilvl w:val="0"/>
          <w:numId w:val="4"/>
        </w:numPr>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除合同另有约定外，本工程适用现行国家、行业和地方规范、标准和规程。构成合同文件的任何内容与适用的规范、标准和规程之间出现矛盾，承包人应书面要·监理人予以澄清，除监理人有特别指示外，承包人应按照其中要求最严格的标准执行。</w:t>
      </w:r>
    </w:p>
    <w:p>
      <w:pPr>
        <w:pStyle w:val="12"/>
        <w:numPr>
          <w:ilvl w:val="0"/>
          <w:numId w:val="4"/>
        </w:numPr>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除合同另有约定外，材料、施工工艺和本工程都应依照本技术标准和要求以及适用的现行规范、标准和规程的最新版本执行。</w:t>
      </w:r>
    </w:p>
    <w:p>
      <w:pPr>
        <w:pStyle w:val="3"/>
        <w:numPr>
          <w:ilvl w:val="0"/>
          <w:numId w:val="3"/>
        </w:numPr>
        <w:ind w:left="0" w:leftChars="0" w:firstLine="0" w:firstLineChars="0"/>
        <w:rPr>
          <w:rFonts w:hint="eastAsia" w:ascii="黑体" w:hAnsi="黑体" w:eastAsia="黑体" w:cs="黑体"/>
          <w:b w:val="0"/>
        </w:rPr>
      </w:pPr>
      <w:r>
        <w:t>依据标准</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承包人施工所用的材料、设备和工程质量的检验和验收应符合本技术条款中引用的国家标准或行业颁布的技术标准、规程规范。</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当本技术条款的内容与所引用的标准和规程规范的规定有矛盾时，应以本技术条款的规定或发包人指示为准。</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技术条款中有涉及工程安全的规定，必须严格遵守国家和行业的标准，遇有矛盾时应由发包人按国家和行业标准的规定进行修正，涉及变更的应按合同条款的有关规定的办理。</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在施工过程中，发包人为保证工程质量和施工进度要求，有权指示承包人或批准承包人采用新技术，并增补和修改技术条款的内容。其增补的修改的内容涉及变更时，按合同条款的有关规定办理。</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本合同技术条款中引用的标准和规程规范在本合同执行期间，若国家和行业进行重新修订，则按修订后的标准和规程规范为准。</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本工程项目的材料、设备、施工必须达到现行中华人民共和国及省、市、行业的一切有关法规、规范的要求，同时还须结合本项目实际情况，响应招标文件及施工图要求。</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本合同工作内容包括下述规范、标准、规程仅是本工程的最基本依据，并未包括实施中所涉及到的所有规定、标准和规程。</w:t>
      </w:r>
    </w:p>
    <w:tbl>
      <w:tblPr>
        <w:tblStyle w:val="20"/>
        <w:tblW w:w="8147"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
      <w:tblGrid>
        <w:gridCol w:w="558"/>
        <w:gridCol w:w="5547"/>
        <w:gridCol w:w="204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409" w:hRule="atLeast"/>
          <w:tblHeader/>
          <w:jc w:val="center"/>
        </w:trPr>
        <w:tc>
          <w:tcPr>
            <w:tcW w:w="558" w:type="dxa"/>
            <w:tcBorders>
              <w:top w:val="single" w:color="auto" w:sz="8" w:space="0"/>
              <w:left w:val="single" w:color="auto" w:sz="8" w:space="0"/>
              <w:bottom w:val="single" w:color="auto" w:sz="6" w:space="0"/>
              <w:right w:val="single" w:color="auto" w:sz="6" w:space="0"/>
            </w:tcBorders>
            <w:noWrap w:val="0"/>
            <w:vAlign w:val="center"/>
          </w:tcPr>
          <w:p>
            <w:pPr>
              <w:pStyle w:val="27"/>
              <w:spacing w:before="104" w:after="104" w:line="60" w:lineRule="auto"/>
              <w:jc w:val="center"/>
              <w:rPr>
                <w:rFonts w:ascii="Arial" w:hAnsi="宋体"/>
                <w:kern w:val="2"/>
                <w:sz w:val="21"/>
              </w:rPr>
            </w:pPr>
            <w:r>
              <w:rPr>
                <w:rFonts w:hint="eastAsia" w:ascii="Arial" w:hAnsi="宋体"/>
                <w:kern w:val="2"/>
                <w:sz w:val="21"/>
              </w:rPr>
              <w:t>序号</w:t>
            </w:r>
          </w:p>
        </w:tc>
        <w:tc>
          <w:tcPr>
            <w:tcW w:w="5547" w:type="dxa"/>
            <w:tcBorders>
              <w:top w:val="single" w:color="auto" w:sz="8" w:space="0"/>
              <w:left w:val="single" w:color="auto" w:sz="6" w:space="0"/>
              <w:bottom w:val="single" w:color="auto" w:sz="6" w:space="0"/>
              <w:right w:val="single" w:color="auto" w:sz="6" w:space="0"/>
            </w:tcBorders>
            <w:noWrap w:val="0"/>
            <w:vAlign w:val="center"/>
          </w:tcPr>
          <w:p>
            <w:pPr>
              <w:pStyle w:val="27"/>
              <w:spacing w:before="104" w:after="104" w:line="60" w:lineRule="auto"/>
              <w:jc w:val="center"/>
              <w:rPr>
                <w:rFonts w:ascii="Arial" w:hAnsi="宋体"/>
                <w:kern w:val="2"/>
                <w:sz w:val="21"/>
              </w:rPr>
            </w:pPr>
            <w:r>
              <w:rPr>
                <w:rFonts w:hint="eastAsia" w:ascii="Arial" w:hAnsi="宋体"/>
                <w:kern w:val="2"/>
                <w:sz w:val="21"/>
              </w:rPr>
              <w:t>标</w:t>
            </w:r>
            <w:r>
              <w:rPr>
                <w:rFonts w:ascii="Arial" w:hAnsi="宋体"/>
                <w:kern w:val="2"/>
                <w:sz w:val="21"/>
              </w:rPr>
              <w:t xml:space="preserve">  </w:t>
            </w:r>
            <w:r>
              <w:rPr>
                <w:rFonts w:hint="eastAsia" w:ascii="Arial" w:hAnsi="宋体"/>
                <w:kern w:val="2"/>
                <w:sz w:val="21"/>
              </w:rPr>
              <w:t>准</w:t>
            </w:r>
            <w:r>
              <w:rPr>
                <w:rFonts w:ascii="Arial" w:hAnsi="宋体"/>
                <w:kern w:val="2"/>
                <w:sz w:val="21"/>
              </w:rPr>
              <w:t xml:space="preserve">  </w:t>
            </w:r>
            <w:r>
              <w:rPr>
                <w:rFonts w:hint="eastAsia" w:ascii="Arial" w:hAnsi="宋体"/>
                <w:kern w:val="2"/>
                <w:sz w:val="21"/>
              </w:rPr>
              <w:t>名</w:t>
            </w:r>
            <w:r>
              <w:rPr>
                <w:rFonts w:ascii="Arial" w:hAnsi="宋体"/>
                <w:kern w:val="2"/>
                <w:sz w:val="21"/>
              </w:rPr>
              <w:t xml:space="preserve">  </w:t>
            </w:r>
            <w:r>
              <w:rPr>
                <w:rFonts w:hint="eastAsia" w:ascii="Arial" w:hAnsi="宋体"/>
                <w:kern w:val="2"/>
                <w:sz w:val="21"/>
              </w:rPr>
              <w:t>称</w:t>
            </w:r>
          </w:p>
        </w:tc>
        <w:tc>
          <w:tcPr>
            <w:tcW w:w="2042" w:type="dxa"/>
            <w:tcBorders>
              <w:top w:val="single" w:color="auto" w:sz="8" w:space="0"/>
              <w:left w:val="single" w:color="auto" w:sz="6" w:space="0"/>
              <w:bottom w:val="single" w:color="auto" w:sz="6" w:space="0"/>
              <w:right w:val="single" w:color="auto" w:sz="8" w:space="0"/>
            </w:tcBorders>
            <w:noWrap w:val="0"/>
            <w:vAlign w:val="center"/>
          </w:tcPr>
          <w:p>
            <w:pPr>
              <w:spacing w:before="104" w:after="104" w:line="60" w:lineRule="auto"/>
              <w:ind w:left="128" w:firstLine="27" w:firstLineChars="13"/>
              <w:jc w:val="center"/>
              <w:rPr>
                <w:rFonts w:ascii="Arial" w:hAnsi="宋体"/>
              </w:rPr>
            </w:pPr>
            <w:r>
              <w:rPr>
                <w:rFonts w:hint="eastAsia" w:ascii="Arial" w:hAnsi="宋体"/>
              </w:rPr>
              <w:t>标准编号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724" w:hRule="atLeast"/>
          <w:tblHeader/>
          <w:jc w:val="center"/>
        </w:trPr>
        <w:tc>
          <w:tcPr>
            <w:tcW w:w="558" w:type="dxa"/>
            <w:tcBorders>
              <w:top w:val="single" w:color="auto" w:sz="6" w:space="0"/>
              <w:left w:val="single" w:color="auto" w:sz="8" w:space="0"/>
              <w:bottom w:val="single" w:color="auto" w:sz="6" w:space="0"/>
              <w:right w:val="single" w:color="auto" w:sz="6" w:space="0"/>
            </w:tcBorders>
            <w:noWrap w:val="0"/>
            <w:vAlign w:val="center"/>
          </w:tcPr>
          <w:p>
            <w:pPr>
              <w:pStyle w:val="15"/>
              <w:spacing w:before="104" w:after="104" w:line="60" w:lineRule="auto"/>
              <w:ind w:left="8" w:leftChars="-23" w:hanging="56" w:hangingChars="27"/>
              <w:jc w:val="center"/>
              <w:rPr>
                <w:rFonts w:ascii="Arial" w:hAnsi="宋体"/>
                <w:kern w:val="2"/>
                <w:sz w:val="21"/>
                <w:szCs w:val="20"/>
              </w:rPr>
            </w:pPr>
            <w:r>
              <w:rPr>
                <w:rFonts w:hint="eastAsia" w:ascii="Arial" w:hAnsi="宋体"/>
                <w:kern w:val="2"/>
                <w:sz w:val="21"/>
                <w:szCs w:val="20"/>
              </w:rPr>
              <w:t>1</w:t>
            </w:r>
          </w:p>
        </w:tc>
        <w:tc>
          <w:tcPr>
            <w:tcW w:w="5547" w:type="dxa"/>
            <w:tcBorders>
              <w:top w:val="single" w:color="auto" w:sz="6" w:space="0"/>
              <w:left w:val="single" w:color="auto" w:sz="6" w:space="0"/>
              <w:bottom w:val="single" w:color="auto" w:sz="6" w:space="0"/>
              <w:right w:val="single" w:color="auto" w:sz="6" w:space="0"/>
            </w:tcBorders>
            <w:noWrap w:val="0"/>
            <w:vAlign w:val="center"/>
          </w:tcPr>
          <w:p>
            <w:pPr>
              <w:pStyle w:val="2"/>
              <w:shd w:val="clear" w:color="auto" w:fill="FFFFFF"/>
              <w:spacing w:before="0" w:after="0" w:line="60" w:lineRule="auto"/>
              <w:jc w:val="center"/>
              <w:rPr>
                <w:rFonts w:hint="eastAsia" w:ascii="Arial" w:hAnsi="宋体"/>
                <w:b/>
                <w:kern w:val="2"/>
                <w:sz w:val="21"/>
              </w:rPr>
            </w:pPr>
            <w:r>
              <w:rPr>
                <w:rFonts w:ascii="Arial" w:hAnsi="宋体"/>
                <w:b/>
                <w:kern w:val="2"/>
                <w:sz w:val="21"/>
              </w:rPr>
              <w:t>建筑工程施工质量验收统一标准</w:t>
            </w:r>
          </w:p>
        </w:tc>
        <w:tc>
          <w:tcPr>
            <w:tcW w:w="2042" w:type="dxa"/>
            <w:tcBorders>
              <w:top w:val="single" w:color="auto" w:sz="6" w:space="0"/>
              <w:left w:val="single" w:color="auto" w:sz="6" w:space="0"/>
              <w:bottom w:val="single" w:color="auto" w:sz="6" w:space="0"/>
              <w:right w:val="single" w:color="auto" w:sz="8" w:space="0"/>
            </w:tcBorders>
            <w:noWrap w:val="0"/>
            <w:vAlign w:val="center"/>
          </w:tcPr>
          <w:p>
            <w:pPr>
              <w:spacing w:line="60" w:lineRule="auto"/>
              <w:jc w:val="center"/>
              <w:rPr>
                <w:rFonts w:hint="eastAsia" w:ascii="Arial" w:hAnsi="宋体"/>
              </w:rPr>
            </w:pPr>
            <w:r>
              <w:rPr>
                <w:rFonts w:ascii="Arial" w:hAnsi="宋体"/>
              </w:rPr>
              <w:t>(GB50300-</w:t>
            </w:r>
            <w:r>
              <w:rPr>
                <w:rFonts w:hint="eastAsia" w:ascii="Arial" w:hAnsi="宋体"/>
              </w:rPr>
              <w:t>2013</w:t>
            </w:r>
            <w:r>
              <w:rPr>
                <w:rFonts w:ascii="Arial" w:hAnsi="宋体"/>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blHeader/>
          <w:jc w:val="center"/>
        </w:trPr>
        <w:tc>
          <w:tcPr>
            <w:tcW w:w="558" w:type="dxa"/>
            <w:tcBorders>
              <w:top w:val="single" w:color="auto" w:sz="6" w:space="0"/>
              <w:left w:val="single" w:color="auto" w:sz="8" w:space="0"/>
              <w:bottom w:val="single" w:color="auto" w:sz="6" w:space="0"/>
              <w:right w:val="single" w:color="auto" w:sz="6" w:space="0"/>
            </w:tcBorders>
            <w:noWrap w:val="0"/>
            <w:vAlign w:val="center"/>
          </w:tcPr>
          <w:p>
            <w:pPr>
              <w:pStyle w:val="2"/>
              <w:shd w:val="clear" w:color="auto" w:fill="FFFFFF"/>
              <w:spacing w:before="0" w:after="0" w:line="60" w:lineRule="auto"/>
              <w:jc w:val="center"/>
              <w:rPr>
                <w:rFonts w:ascii="Arial" w:hAnsi="宋体"/>
                <w:b/>
                <w:kern w:val="2"/>
                <w:sz w:val="21"/>
              </w:rPr>
            </w:pPr>
            <w:r>
              <w:rPr>
                <w:rFonts w:ascii="Arial" w:hAnsi="宋体"/>
                <w:b/>
                <w:kern w:val="2"/>
                <w:sz w:val="21"/>
              </w:rPr>
              <w:fldChar w:fldCharType="begin"/>
            </w:r>
            <w:r>
              <w:rPr>
                <w:rFonts w:ascii="Arial" w:hAnsi="宋体"/>
                <w:b/>
                <w:kern w:val="2"/>
                <w:sz w:val="21"/>
              </w:rPr>
              <w:instrText xml:space="preserve"> </w:instrText>
            </w:r>
            <w:r>
              <w:rPr>
                <w:rFonts w:hint="eastAsia" w:ascii="Arial" w:hAnsi="宋体"/>
                <w:b/>
                <w:kern w:val="2"/>
                <w:sz w:val="21"/>
              </w:rPr>
              <w:instrText xml:space="preserve">= 2 \* Arabic</w:instrText>
            </w:r>
            <w:r>
              <w:rPr>
                <w:rFonts w:ascii="Arial" w:hAnsi="宋体"/>
                <w:b/>
                <w:kern w:val="2"/>
                <w:sz w:val="21"/>
              </w:rPr>
              <w:instrText xml:space="preserve"> </w:instrText>
            </w:r>
            <w:r>
              <w:rPr>
                <w:rFonts w:ascii="Arial" w:hAnsi="宋体"/>
                <w:b/>
                <w:kern w:val="2"/>
                <w:sz w:val="21"/>
              </w:rPr>
              <w:fldChar w:fldCharType="separate"/>
            </w:r>
            <w:r>
              <w:rPr>
                <w:rFonts w:ascii="Arial" w:hAnsi="宋体"/>
                <w:b/>
                <w:kern w:val="2"/>
                <w:sz w:val="21"/>
              </w:rPr>
              <w:t>2</w:t>
            </w:r>
            <w:r>
              <w:rPr>
                <w:rFonts w:ascii="Arial" w:hAnsi="宋体"/>
                <w:b/>
                <w:kern w:val="2"/>
                <w:sz w:val="21"/>
              </w:rPr>
              <w:fldChar w:fldCharType="end"/>
            </w:r>
          </w:p>
        </w:tc>
        <w:tc>
          <w:tcPr>
            <w:tcW w:w="5547" w:type="dxa"/>
            <w:tcBorders>
              <w:top w:val="single" w:color="auto" w:sz="6" w:space="0"/>
              <w:left w:val="single" w:color="auto" w:sz="6" w:space="0"/>
              <w:bottom w:val="single" w:color="auto" w:sz="6" w:space="0"/>
              <w:right w:val="single" w:color="auto" w:sz="6" w:space="0"/>
            </w:tcBorders>
            <w:noWrap w:val="0"/>
            <w:vAlign w:val="center"/>
          </w:tcPr>
          <w:p>
            <w:pPr>
              <w:pStyle w:val="2"/>
              <w:shd w:val="clear" w:color="auto" w:fill="FFFFFF"/>
              <w:spacing w:before="0" w:after="0" w:line="60" w:lineRule="auto"/>
              <w:jc w:val="center"/>
              <w:rPr>
                <w:rFonts w:hint="eastAsia" w:ascii="Arial" w:hAnsi="宋体"/>
                <w:b/>
                <w:kern w:val="2"/>
                <w:sz w:val="21"/>
              </w:rPr>
            </w:pPr>
            <w:r>
              <w:rPr>
                <w:rFonts w:hint="eastAsia" w:ascii="Arial" w:hAnsi="宋体"/>
                <w:b/>
                <w:kern w:val="2"/>
                <w:sz w:val="21"/>
              </w:rPr>
              <w:t>建筑施工安全检查标准</w:t>
            </w:r>
          </w:p>
        </w:tc>
        <w:tc>
          <w:tcPr>
            <w:tcW w:w="2042" w:type="dxa"/>
            <w:tcBorders>
              <w:top w:val="single" w:color="auto" w:sz="6" w:space="0"/>
              <w:left w:val="single" w:color="auto" w:sz="6" w:space="0"/>
              <w:bottom w:val="single" w:color="auto" w:sz="6" w:space="0"/>
              <w:right w:val="single" w:color="auto" w:sz="8" w:space="0"/>
            </w:tcBorders>
            <w:noWrap w:val="0"/>
            <w:vAlign w:val="center"/>
          </w:tcPr>
          <w:p>
            <w:pPr>
              <w:pStyle w:val="2"/>
              <w:shd w:val="clear" w:color="auto" w:fill="FFFFFF"/>
              <w:spacing w:before="0" w:after="0" w:line="60" w:lineRule="auto"/>
              <w:jc w:val="center"/>
              <w:rPr>
                <w:rFonts w:hint="eastAsia" w:ascii="Arial" w:hAnsi="宋体"/>
                <w:b/>
                <w:kern w:val="2"/>
                <w:sz w:val="21"/>
              </w:rPr>
            </w:pPr>
            <w:r>
              <w:rPr>
                <w:rFonts w:hint="eastAsia" w:ascii="Arial" w:hAnsi="宋体"/>
                <w:b/>
                <w:kern w:val="2"/>
                <w:sz w:val="21"/>
              </w:rPr>
              <w:t>JGJ59-2011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blHeader/>
          <w:jc w:val="center"/>
        </w:trPr>
        <w:tc>
          <w:tcPr>
            <w:tcW w:w="558" w:type="dxa"/>
            <w:tcBorders>
              <w:top w:val="single" w:color="auto" w:sz="6" w:space="0"/>
              <w:left w:val="single" w:color="auto" w:sz="8" w:space="0"/>
              <w:bottom w:val="single" w:color="auto" w:sz="6" w:space="0"/>
              <w:right w:val="single" w:color="auto" w:sz="6" w:space="0"/>
            </w:tcBorders>
            <w:noWrap w:val="0"/>
            <w:vAlign w:val="center"/>
          </w:tcPr>
          <w:p>
            <w:pPr>
              <w:pStyle w:val="2"/>
              <w:shd w:val="clear" w:color="auto" w:fill="FFFFFF"/>
              <w:spacing w:before="0" w:after="0" w:line="60" w:lineRule="auto"/>
              <w:jc w:val="center"/>
              <w:rPr>
                <w:rFonts w:hint="eastAsia" w:ascii="Arial" w:hAnsi="宋体"/>
                <w:b/>
                <w:kern w:val="2"/>
                <w:sz w:val="21"/>
              </w:rPr>
            </w:pPr>
            <w:r>
              <w:rPr>
                <w:rFonts w:hint="eastAsia" w:ascii="Arial" w:hAnsi="宋体"/>
                <w:b/>
                <w:kern w:val="2"/>
                <w:sz w:val="21"/>
              </w:rPr>
              <w:t>3</w:t>
            </w:r>
          </w:p>
        </w:tc>
        <w:tc>
          <w:tcPr>
            <w:tcW w:w="5547" w:type="dxa"/>
            <w:tcBorders>
              <w:top w:val="single" w:color="auto" w:sz="6" w:space="0"/>
              <w:left w:val="single" w:color="auto" w:sz="6" w:space="0"/>
              <w:bottom w:val="single" w:color="auto" w:sz="6" w:space="0"/>
              <w:right w:val="single" w:color="auto" w:sz="6" w:space="0"/>
            </w:tcBorders>
            <w:noWrap w:val="0"/>
            <w:vAlign w:val="center"/>
          </w:tcPr>
          <w:p>
            <w:pPr>
              <w:pStyle w:val="2"/>
              <w:shd w:val="clear" w:color="auto" w:fill="FFFFFF"/>
              <w:spacing w:before="0" w:after="0" w:line="60" w:lineRule="auto"/>
              <w:jc w:val="center"/>
              <w:rPr>
                <w:rFonts w:hint="eastAsia" w:ascii="Arial" w:hAnsi="宋体"/>
                <w:b/>
                <w:kern w:val="2"/>
                <w:sz w:val="21"/>
              </w:rPr>
            </w:pPr>
            <w:r>
              <w:rPr>
                <w:rFonts w:hint="eastAsia" w:ascii="Arial" w:hAnsi="宋体"/>
                <w:b/>
                <w:kern w:val="2"/>
                <w:sz w:val="21"/>
              </w:rPr>
              <w:t>珠海市安全文明施工标准</w:t>
            </w:r>
          </w:p>
        </w:tc>
        <w:tc>
          <w:tcPr>
            <w:tcW w:w="2042" w:type="dxa"/>
            <w:tcBorders>
              <w:top w:val="single" w:color="auto" w:sz="6" w:space="0"/>
              <w:left w:val="single" w:color="auto" w:sz="6" w:space="0"/>
              <w:bottom w:val="single" w:color="auto" w:sz="6" w:space="0"/>
              <w:right w:val="single" w:color="auto" w:sz="8" w:space="0"/>
            </w:tcBorders>
            <w:noWrap w:val="0"/>
            <w:vAlign w:val="center"/>
          </w:tcPr>
          <w:p>
            <w:pPr>
              <w:keepNext/>
              <w:keepLines/>
              <w:widowControl w:val="0"/>
              <w:shd w:val="clear" w:color="auto" w:fill="FFFFFF"/>
              <w:spacing w:before="0" w:beforeLines="0" w:after="0" w:afterLines="0" w:line="60" w:lineRule="auto"/>
              <w:jc w:val="center"/>
              <w:outlineLvl w:val="9"/>
              <w:rPr>
                <w:rFonts w:hint="eastAsia" w:ascii="Arial" w:hAnsi="宋体"/>
                <w:b w:val="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216" w:hRule="atLeast"/>
          <w:tblHeader/>
          <w:jc w:val="center"/>
        </w:trPr>
        <w:tc>
          <w:tcPr>
            <w:tcW w:w="558" w:type="dxa"/>
            <w:tcBorders>
              <w:top w:val="single" w:color="auto" w:sz="6" w:space="0"/>
              <w:left w:val="single" w:color="auto" w:sz="8" w:space="0"/>
              <w:bottom w:val="single" w:color="auto" w:sz="6" w:space="0"/>
              <w:right w:val="single" w:color="auto" w:sz="6" w:space="0"/>
            </w:tcBorders>
            <w:noWrap w:val="0"/>
            <w:vAlign w:val="center"/>
          </w:tcPr>
          <w:p>
            <w:pPr>
              <w:pStyle w:val="2"/>
              <w:shd w:val="clear" w:color="auto" w:fill="FFFFFF"/>
              <w:spacing w:before="0" w:after="0" w:line="60" w:lineRule="auto"/>
              <w:jc w:val="center"/>
              <w:rPr>
                <w:rFonts w:ascii="Arial" w:hAnsi="宋体"/>
                <w:b/>
                <w:kern w:val="2"/>
                <w:sz w:val="21"/>
              </w:rPr>
            </w:pPr>
            <w:r>
              <w:rPr>
                <w:rFonts w:hint="eastAsia" w:ascii="Arial" w:hAnsi="宋体"/>
                <w:b/>
                <w:kern w:val="2"/>
                <w:sz w:val="21"/>
              </w:rPr>
              <w:t>4</w:t>
            </w:r>
          </w:p>
        </w:tc>
        <w:tc>
          <w:tcPr>
            <w:tcW w:w="5547" w:type="dxa"/>
            <w:tcBorders>
              <w:top w:val="single" w:color="auto" w:sz="6" w:space="0"/>
              <w:left w:val="single" w:color="auto" w:sz="6" w:space="0"/>
              <w:bottom w:val="single" w:color="auto" w:sz="6" w:space="0"/>
              <w:right w:val="single" w:color="auto" w:sz="6" w:space="0"/>
            </w:tcBorders>
            <w:noWrap w:val="0"/>
            <w:vAlign w:val="center"/>
          </w:tcPr>
          <w:p>
            <w:pPr>
              <w:pStyle w:val="2"/>
              <w:shd w:val="clear" w:color="auto" w:fill="FFFFFF"/>
              <w:spacing w:before="0" w:after="0" w:line="60" w:lineRule="auto"/>
              <w:jc w:val="center"/>
              <w:rPr>
                <w:rFonts w:hint="eastAsia" w:ascii="Arial" w:hAnsi="宋体"/>
                <w:b/>
                <w:kern w:val="2"/>
                <w:sz w:val="21"/>
              </w:rPr>
            </w:pPr>
            <w:r>
              <w:rPr>
                <w:rFonts w:hint="eastAsia" w:ascii="Arial" w:hAnsi="宋体"/>
                <w:b/>
                <w:kern w:val="2"/>
                <w:sz w:val="21"/>
              </w:rPr>
              <w:t>施工现场临时用电安全技术规范</w:t>
            </w:r>
          </w:p>
        </w:tc>
        <w:tc>
          <w:tcPr>
            <w:tcW w:w="2042" w:type="dxa"/>
            <w:tcBorders>
              <w:top w:val="single" w:color="auto" w:sz="6" w:space="0"/>
              <w:left w:val="single" w:color="auto" w:sz="6" w:space="0"/>
              <w:bottom w:val="single" w:color="auto" w:sz="6" w:space="0"/>
              <w:right w:val="single" w:color="auto" w:sz="8" w:space="0"/>
            </w:tcBorders>
            <w:noWrap w:val="0"/>
            <w:vAlign w:val="center"/>
          </w:tcPr>
          <w:p>
            <w:pPr>
              <w:pStyle w:val="2"/>
              <w:shd w:val="clear" w:color="auto" w:fill="FFFFFF"/>
              <w:spacing w:before="0" w:after="0" w:line="60" w:lineRule="auto"/>
              <w:jc w:val="center"/>
              <w:rPr>
                <w:rFonts w:hint="eastAsia" w:ascii="Arial" w:hAnsi="宋体"/>
                <w:b/>
                <w:kern w:val="2"/>
                <w:sz w:val="21"/>
              </w:rPr>
            </w:pPr>
            <w:r>
              <w:rPr>
                <w:rFonts w:hint="eastAsia" w:ascii="Arial" w:hAnsi="宋体"/>
                <w:b/>
                <w:kern w:val="2"/>
                <w:sz w:val="21"/>
              </w:rPr>
              <w:t>JGJ46-2005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250" w:hRule="atLeast"/>
          <w:tblHeader/>
          <w:jc w:val="center"/>
        </w:trPr>
        <w:tc>
          <w:tcPr>
            <w:tcW w:w="558" w:type="dxa"/>
            <w:tcBorders>
              <w:top w:val="single" w:color="auto" w:sz="6" w:space="0"/>
              <w:left w:val="single" w:color="auto" w:sz="8" w:space="0"/>
              <w:bottom w:val="single" w:color="auto" w:sz="6" w:space="0"/>
              <w:right w:val="single" w:color="auto" w:sz="6" w:space="0"/>
            </w:tcBorders>
            <w:noWrap w:val="0"/>
            <w:vAlign w:val="center"/>
          </w:tcPr>
          <w:p>
            <w:pPr>
              <w:pStyle w:val="15"/>
              <w:spacing w:before="104" w:after="104" w:line="60" w:lineRule="auto"/>
              <w:ind w:left="8" w:leftChars="-23" w:hanging="56" w:hangingChars="27"/>
              <w:jc w:val="center"/>
              <w:rPr>
                <w:rFonts w:ascii="Arial" w:hAnsi="宋体"/>
                <w:kern w:val="2"/>
                <w:sz w:val="21"/>
                <w:szCs w:val="20"/>
              </w:rPr>
            </w:pPr>
          </w:p>
        </w:tc>
        <w:tc>
          <w:tcPr>
            <w:tcW w:w="7589" w:type="dxa"/>
            <w:gridSpan w:val="2"/>
            <w:tcBorders>
              <w:top w:val="single" w:color="auto" w:sz="6" w:space="0"/>
              <w:left w:val="single" w:color="auto" w:sz="6" w:space="0"/>
              <w:bottom w:val="single" w:color="auto" w:sz="6" w:space="0"/>
              <w:right w:val="single" w:color="auto" w:sz="8" w:space="0"/>
            </w:tcBorders>
            <w:noWrap w:val="0"/>
            <w:vAlign w:val="center"/>
          </w:tcPr>
          <w:p>
            <w:pPr>
              <w:spacing w:before="104" w:after="104" w:line="60" w:lineRule="auto"/>
              <w:ind w:left="128" w:firstLine="27" w:firstLineChars="13"/>
              <w:jc w:val="center"/>
              <w:rPr>
                <w:rFonts w:hint="eastAsia" w:ascii="Arial" w:hAnsi="宋体"/>
              </w:rPr>
            </w:pPr>
            <w:r>
              <w:rPr>
                <w:rFonts w:hint="eastAsia" w:ascii="Arial" w:hAnsi="宋体"/>
              </w:rPr>
              <w:t>最后验收必须通过验收小组的验收方能进行结算。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1" w:type="dxa"/>
            <w:bottom w:w="0" w:type="dxa"/>
            <w:right w:w="11" w:type="dxa"/>
          </w:tblCellMar>
        </w:tblPrEx>
        <w:trPr>
          <w:trHeight w:val="250" w:hRule="atLeast"/>
          <w:tblHeader/>
          <w:jc w:val="center"/>
        </w:trPr>
        <w:tc>
          <w:tcPr>
            <w:tcW w:w="558" w:type="dxa"/>
            <w:tcBorders>
              <w:top w:val="single" w:color="auto" w:sz="6" w:space="0"/>
              <w:left w:val="single" w:color="auto" w:sz="8" w:space="0"/>
              <w:bottom w:val="single" w:color="auto" w:sz="6" w:space="0"/>
              <w:right w:val="single" w:color="auto" w:sz="6" w:space="0"/>
            </w:tcBorders>
            <w:noWrap w:val="0"/>
            <w:vAlign w:val="center"/>
          </w:tcPr>
          <w:p>
            <w:pPr>
              <w:pStyle w:val="15"/>
              <w:spacing w:before="104" w:after="104" w:line="60" w:lineRule="auto"/>
              <w:ind w:left="8" w:leftChars="-23" w:hanging="56" w:hangingChars="27"/>
              <w:jc w:val="center"/>
              <w:rPr>
                <w:rFonts w:ascii="Arial" w:hAnsi="宋体"/>
                <w:kern w:val="2"/>
                <w:sz w:val="21"/>
                <w:szCs w:val="20"/>
              </w:rPr>
            </w:pPr>
          </w:p>
        </w:tc>
        <w:tc>
          <w:tcPr>
            <w:tcW w:w="7589" w:type="dxa"/>
            <w:gridSpan w:val="2"/>
            <w:tcBorders>
              <w:top w:val="single" w:color="auto" w:sz="6" w:space="0"/>
              <w:left w:val="single" w:color="auto" w:sz="6" w:space="0"/>
              <w:bottom w:val="single" w:color="auto" w:sz="6" w:space="0"/>
              <w:right w:val="single" w:color="auto" w:sz="8" w:space="0"/>
            </w:tcBorders>
            <w:noWrap w:val="0"/>
            <w:vAlign w:val="center"/>
          </w:tcPr>
          <w:p>
            <w:pPr>
              <w:spacing w:before="104" w:after="104" w:line="60" w:lineRule="auto"/>
              <w:ind w:left="128" w:firstLine="27" w:firstLineChars="13"/>
              <w:jc w:val="center"/>
              <w:rPr>
                <w:rFonts w:hint="eastAsia" w:ascii="Arial" w:hAnsi="宋体"/>
              </w:rPr>
            </w:pPr>
          </w:p>
        </w:tc>
      </w:tr>
    </w:tbl>
    <w:p>
      <w:pPr>
        <w:pStyle w:val="2"/>
        <w:numPr>
          <w:ilvl w:val="0"/>
          <w:numId w:val="1"/>
        </w:numPr>
        <w:ind w:left="0" w:leftChars="0" w:firstLine="0" w:firstLineChars="0"/>
        <w:rPr>
          <w:b w:val="0"/>
        </w:rPr>
      </w:pPr>
      <w:r>
        <w:t>工程范围、技术说明及要求</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本工程涉及正方深悦湾零星修补工程，（详见项目清单）</w:t>
      </w:r>
    </w:p>
    <w:p>
      <w:pPr>
        <w:pStyle w:val="12"/>
        <w:rPr>
          <w:rFonts w:ascii="Times New Roman" w:hAnsi="Times New Roman" w:eastAsia="宋体" w:cs="Times New Roman"/>
          <w:b/>
          <w:sz w:val="24"/>
          <w:szCs w:val="24"/>
          <w:u w:val="single"/>
        </w:rPr>
      </w:pPr>
      <w:r>
        <w:rPr>
          <w:rFonts w:ascii="Times New Roman" w:hAnsi="Times New Roman" w:eastAsia="宋体" w:cs="Times New Roman"/>
          <w:b/>
          <w:sz w:val="24"/>
          <w:szCs w:val="24"/>
          <w:u w:val="single"/>
        </w:rPr>
        <w:t>本工程要点：1、施工完成前后，中标单位需按照图纸、技术标准进行施工，如有变动需设计单位、立项方、监理单位签名同意后方可实施，完成后必须通知立项方及监理单位（如有）共同检验及核实，并保留及提供施工前后对比照片。</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（其他未尽事宜请按国家有关规定及标准进行）</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工程按综合单价包干，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本工程清单中如有“暂列清单项，费用暂估”结算时，承包人需提交相关结算支撑资料，包括但不限于竣工图纸、审核确认的施工方案。</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经立项方及监理单位审核通过后，按实际发生费用进行结算，未提供完整支撑资料的对应项目不予结算。</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现场须按招标方指定的样式设置防护栏和广告布、指示牌等必要围护和宣传措施，该项费用为包干使用，结算时不进行调整。</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工程量中按“项”和“樘”描述的费用为包干使用，结算时不予调整。</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招标人只提供现场现状，施工用水、用电（含接驳费）由中标单位自行解决，费用在报价中综合考虑，结算时不予调整。</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原施工场地内、外施工的排水、排污措施的疏通、杂物的清除和修补、重新砌筑及施工期间的抽、排水等，由中标人负责，所需费用在报价中综合考虑，结算时不予调整。</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现场条件以现状为准，投标人认为不满足施工条件的，费用在报价中综合考虑，中标后不因此增加任何费用。</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招标人有权根据使用要求和工程需要对设计、主要材料及设备进行变更，有权根据变更以及招标文件及承包合同约定的造价调整方式对造价进行调整，中标人必须予以执行。</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如果因为非承包人原因，招标人删减了合同中的某项原定工作或工程，结算时将调减此项目。</w:t>
      </w:r>
    </w:p>
    <w:p>
      <w:pPr>
        <w:spacing w:line="240" w:lineRule="atLeast"/>
        <w:ind w:firstLine="424" w:firstLineChars="177"/>
        <w:rPr>
          <w:rFonts w:hint="eastAsia" w:ascii="Arial" w:hAnsi="宋体"/>
          <w:sz w:val="24"/>
        </w:rPr>
      </w:pPr>
    </w:p>
    <w:p>
      <w:pPr>
        <w:spacing w:line="240" w:lineRule="atLeast"/>
        <w:ind w:firstLine="424" w:firstLineChars="177"/>
        <w:rPr>
          <w:rFonts w:hint="eastAsia" w:ascii="Arial" w:hAnsi="宋体"/>
          <w:sz w:val="24"/>
        </w:rPr>
      </w:pPr>
    </w:p>
    <w:p>
      <w:pPr>
        <w:pStyle w:val="2"/>
        <w:numPr>
          <w:ilvl w:val="0"/>
          <w:numId w:val="1"/>
        </w:numPr>
        <w:ind w:left="0" w:leftChars="0" w:firstLine="0" w:firstLineChars="0"/>
        <w:rPr>
          <w:b w:val="0"/>
        </w:rPr>
      </w:pPr>
      <w:bookmarkStart w:id="18" w:name="heading_4"/>
      <w:r>
        <w:t>各分项工程施工技术规范</w:t>
      </w:r>
      <w:bookmarkEnd w:id="18"/>
    </w:p>
    <w:p>
      <w:pPr>
        <w:pStyle w:val="3"/>
        <w:numPr>
          <w:ilvl w:val="0"/>
          <w:numId w:val="5"/>
        </w:numPr>
        <w:ind w:left="0" w:leftChars="0" w:firstLine="0" w:firstLineChars="0"/>
        <w:rPr>
          <w:b w:val="0"/>
        </w:rPr>
      </w:pPr>
      <w:bookmarkStart w:id="19" w:name="heading_5"/>
      <w:r>
        <w:t>水泵系统维修工程</w:t>
      </w:r>
      <w:bookmarkEnd w:id="19"/>
    </w:p>
    <w:p>
      <w:pPr>
        <w:pStyle w:val="4"/>
        <w:numPr>
          <w:ilvl w:val="0"/>
          <w:numId w:val="6"/>
        </w:numPr>
        <w:ind w:left="0" w:leftChars="0" w:firstLine="0" w:firstLineChars="0"/>
        <w:rPr>
          <w:b w:val="0"/>
        </w:rPr>
      </w:pPr>
      <w:bookmarkStart w:id="20" w:name="heading_6"/>
      <w:r>
        <w:t>水泵拆除</w:t>
      </w:r>
      <w:bookmarkEnd w:id="20"/>
    </w:p>
    <w:p>
      <w:pPr>
        <w:pStyle w:val="12"/>
        <w:numPr>
          <w:ilvl w:val="0"/>
          <w:numId w:val="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拆除前先断开电源及进出水管路，做好接口标识，便于后续安装复位。</w:t>
      </w:r>
    </w:p>
    <w:p>
      <w:pPr>
        <w:pStyle w:val="12"/>
        <w:numPr>
          <w:ilvl w:val="0"/>
          <w:numId w:val="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采用保护性拆除方式，不得损坏原有管路、线缆及配套基座，拆除的水泵完整移交甲方。</w:t>
      </w:r>
    </w:p>
    <w:p>
      <w:pPr>
        <w:pStyle w:val="12"/>
        <w:numPr>
          <w:ilvl w:val="0"/>
          <w:numId w:val="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拆除后及时封堵管路接口，防止杂物进入管道造成堵塞。</w:t>
      </w:r>
    </w:p>
    <w:p>
      <w:pPr>
        <w:pStyle w:val="4"/>
        <w:numPr>
          <w:ilvl w:val="0"/>
          <w:numId w:val="6"/>
        </w:numPr>
        <w:ind w:left="0" w:leftChars="0" w:firstLine="0" w:firstLineChars="0"/>
        <w:rPr>
          <w:b w:val="0"/>
        </w:rPr>
      </w:pPr>
      <w:bookmarkStart w:id="21" w:name="heading_7"/>
      <w:r>
        <w:t>水泵安装</w:t>
      </w:r>
      <w:bookmarkEnd w:id="21"/>
    </w:p>
    <w:p>
      <w:pPr>
        <w:pStyle w:val="12"/>
        <w:numPr>
          <w:ilvl w:val="0"/>
          <w:numId w:val="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潜水泵规格：304不锈钢材质，流量Q=20m³/h，扬程H=8m，功率N=1.6Kw；清水泵规格：1寸，370W，扬程16米；污水提升泵规格：380V，4寸，4KW，所有参数必须符合设计要求。</w:t>
      </w:r>
    </w:p>
    <w:p>
      <w:pPr>
        <w:pStyle w:val="12"/>
        <w:numPr>
          <w:ilvl w:val="0"/>
          <w:numId w:val="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水泵安装牢固，底座平稳，密封垫完整无破损，管路连接无渗漏。</w:t>
      </w:r>
    </w:p>
    <w:p>
      <w:pPr>
        <w:pStyle w:val="12"/>
        <w:numPr>
          <w:ilvl w:val="0"/>
          <w:numId w:val="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电气接线规范，接地可靠，绝缘电阻测试合格，控制装置启停灵活，保护装置有效。</w:t>
      </w:r>
    </w:p>
    <w:p>
      <w:pPr>
        <w:pStyle w:val="12"/>
        <w:numPr>
          <w:ilvl w:val="0"/>
          <w:numId w:val="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安装完成后进行试运行，连续运行不少于30分钟，检查流量、扬程、噪音及温升均符合要求。</w:t>
      </w:r>
    </w:p>
    <w:p>
      <w:pPr>
        <w:pStyle w:val="4"/>
        <w:numPr>
          <w:ilvl w:val="0"/>
          <w:numId w:val="6"/>
        </w:numPr>
        <w:ind w:left="0" w:leftChars="0" w:firstLine="0" w:firstLineChars="0"/>
        <w:rPr>
          <w:b w:val="0"/>
        </w:rPr>
      </w:pPr>
      <w:bookmarkStart w:id="22" w:name="heading_8"/>
      <w:r>
        <w:t>水泵控制箱维修</w:t>
      </w:r>
      <w:bookmarkEnd w:id="22"/>
    </w:p>
    <w:p>
      <w:pPr>
        <w:pStyle w:val="12"/>
        <w:numPr>
          <w:ilvl w:val="0"/>
          <w:numId w:val="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全面检查箱内电气元器件，更换老化、损坏的元器件，所有元器件型号符合原设计要求。</w:t>
      </w:r>
    </w:p>
    <w:p>
      <w:pPr>
        <w:pStyle w:val="12"/>
        <w:numPr>
          <w:ilvl w:val="0"/>
          <w:numId w:val="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接线整齐，标识清晰，端子压接牢固，绝缘处理到位。</w:t>
      </w:r>
    </w:p>
    <w:p>
      <w:pPr>
        <w:pStyle w:val="12"/>
        <w:numPr>
          <w:ilvl w:val="0"/>
          <w:numId w:val="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维修完成后进行通电测试，检查启停、保护、信号指示等功能全部正常。</w:t>
      </w:r>
    </w:p>
    <w:p>
      <w:pPr>
        <w:pStyle w:val="3"/>
        <w:numPr>
          <w:ilvl w:val="0"/>
          <w:numId w:val="5"/>
        </w:numPr>
        <w:ind w:left="0" w:leftChars="0" w:firstLine="0" w:firstLineChars="0"/>
        <w:rPr>
          <w:b w:val="0"/>
        </w:rPr>
      </w:pPr>
      <w:bookmarkStart w:id="23" w:name="heading_9"/>
      <w:r>
        <w:t>不锈钢制品安装工程</w:t>
      </w:r>
      <w:bookmarkEnd w:id="23"/>
    </w:p>
    <w:p>
      <w:pPr>
        <w:pStyle w:val="4"/>
        <w:numPr>
          <w:ilvl w:val="0"/>
          <w:numId w:val="10"/>
        </w:numPr>
        <w:ind w:left="0" w:leftChars="0" w:firstLine="0" w:firstLineChars="0"/>
        <w:rPr>
          <w:b w:val="0"/>
        </w:rPr>
      </w:pPr>
      <w:bookmarkStart w:id="24" w:name="heading_10"/>
      <w:r>
        <w:t>不锈钢爬梯</w:t>
      </w:r>
      <w:bookmarkEnd w:id="24"/>
    </w:p>
    <w:p>
      <w:pPr>
        <w:pStyle w:val="12"/>
        <w:numPr>
          <w:ilvl w:val="0"/>
          <w:numId w:val="1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主材规格：Φ50*3.0mm不锈钢主管、Φ28*2.0mm不锈钢支管，材质为304不锈钢。</w:t>
      </w:r>
    </w:p>
    <w:p>
      <w:pPr>
        <w:pStyle w:val="12"/>
        <w:numPr>
          <w:ilvl w:val="0"/>
          <w:numId w:val="1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安装位置准确，垂直度偏差不大于1/1000，预埋件固定牢固，焊接部位做防锈抛光处理。</w:t>
      </w:r>
    </w:p>
    <w:p>
      <w:pPr>
        <w:pStyle w:val="12"/>
        <w:numPr>
          <w:ilvl w:val="0"/>
          <w:numId w:val="1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爬梯踏步间距均匀，无毛刺、尖角，整体稳固无晃动。</w:t>
      </w:r>
    </w:p>
    <w:p>
      <w:pPr>
        <w:pStyle w:val="4"/>
        <w:numPr>
          <w:ilvl w:val="0"/>
          <w:numId w:val="10"/>
        </w:numPr>
        <w:ind w:left="0" w:leftChars="0" w:firstLine="0" w:firstLineChars="0"/>
        <w:rPr>
          <w:b w:val="0"/>
        </w:rPr>
      </w:pPr>
      <w:bookmarkStart w:id="25" w:name="heading_11"/>
      <w:r>
        <w:t>不锈钢防雨罩</w:t>
      </w:r>
      <w:bookmarkEnd w:id="25"/>
    </w:p>
    <w:p>
      <w:pPr>
        <w:pStyle w:val="12"/>
        <w:numPr>
          <w:ilvl w:val="0"/>
          <w:numId w:val="1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规格：45度600*600*600mm，304不锈钢材质，厚度0.8mm。</w:t>
      </w:r>
    </w:p>
    <w:p>
      <w:pPr>
        <w:pStyle w:val="12"/>
        <w:numPr>
          <w:ilvl w:val="0"/>
          <w:numId w:val="1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安装平整，接缝严密，固定牢固，防雨坡度符合要求，无倒坡现象。</w:t>
      </w:r>
    </w:p>
    <w:p>
      <w:pPr>
        <w:pStyle w:val="12"/>
        <w:numPr>
          <w:ilvl w:val="0"/>
          <w:numId w:val="1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周边打密封胶密封，胶缝均匀顺直，无开裂、气泡。</w:t>
      </w:r>
    </w:p>
    <w:p>
      <w:pPr>
        <w:pStyle w:val="4"/>
        <w:numPr>
          <w:ilvl w:val="0"/>
          <w:numId w:val="10"/>
        </w:numPr>
        <w:ind w:left="0" w:leftChars="0" w:firstLine="0" w:firstLineChars="0"/>
        <w:rPr>
          <w:b w:val="0"/>
        </w:rPr>
      </w:pPr>
      <w:bookmarkStart w:id="26" w:name="heading_12"/>
      <w:r>
        <w:t>不锈钢预埋件及化学螺栓</w:t>
      </w:r>
      <w:bookmarkEnd w:id="26"/>
    </w:p>
    <w:p>
      <w:pPr>
        <w:pStyle w:val="12"/>
        <w:numPr>
          <w:ilvl w:val="0"/>
          <w:numId w:val="13"/>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不锈钢板规格：100*100*6mm，表面平整无变形，镀锌层完好。</w:t>
      </w:r>
    </w:p>
    <w:p>
      <w:pPr>
        <w:pStyle w:val="12"/>
        <w:numPr>
          <w:ilvl w:val="0"/>
          <w:numId w:val="13"/>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化学螺栓规格M8*110，钻孔深度、孔径符合要求，清孔干净，植筋胶饱满，固化时间满足产品要求。</w:t>
      </w:r>
    </w:p>
    <w:p>
      <w:pPr>
        <w:pStyle w:val="12"/>
        <w:numPr>
          <w:ilvl w:val="0"/>
          <w:numId w:val="13"/>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预埋件安装位置偏差不大于5mm，螺栓拉拔力符合规范要求。</w:t>
      </w:r>
    </w:p>
    <w:p>
      <w:pPr>
        <w:pStyle w:val="3"/>
        <w:numPr>
          <w:ilvl w:val="0"/>
          <w:numId w:val="5"/>
        </w:numPr>
        <w:ind w:left="0" w:leftChars="0" w:firstLine="0" w:firstLineChars="0"/>
        <w:rPr>
          <w:b w:val="0"/>
        </w:rPr>
      </w:pPr>
      <w:bookmarkStart w:id="27" w:name="heading_13"/>
      <w:r>
        <w:t>玻璃雨篷工程</w:t>
      </w:r>
      <w:bookmarkEnd w:id="27"/>
    </w:p>
    <w:p>
      <w:pPr>
        <w:pStyle w:val="12"/>
        <w:numPr>
          <w:ilvl w:val="0"/>
          <w:numId w:val="1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龙骨：100*100*6镀锌钢通，外饰白防锈漆，龙骨安装牢固，平整度、垂直度符合规范要求。</w:t>
      </w:r>
    </w:p>
    <w:p>
      <w:pPr>
        <w:pStyle w:val="12"/>
        <w:numPr>
          <w:ilvl w:val="0"/>
          <w:numId w:val="1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玻璃：6+0.76PVB+6双层钢化夹胶玻璃，无划痕、气泡，边角完整。</w:t>
      </w:r>
    </w:p>
    <w:p>
      <w:pPr>
        <w:pStyle w:val="12"/>
        <w:numPr>
          <w:ilvl w:val="0"/>
          <w:numId w:val="1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玻璃打胶均匀顺直，密封严密，无渗漏；雨篷整体坡度正确，排水顺畅。</w:t>
      </w:r>
    </w:p>
    <w:p>
      <w:pPr>
        <w:pStyle w:val="12"/>
        <w:numPr>
          <w:ilvl w:val="0"/>
          <w:numId w:val="1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预埋铁件采用200*200*12镀锌钢板，固定牢固，防腐处理到位。</w:t>
      </w:r>
    </w:p>
    <w:p>
      <w:pPr>
        <w:pStyle w:val="3"/>
        <w:numPr>
          <w:ilvl w:val="0"/>
          <w:numId w:val="5"/>
        </w:numPr>
        <w:ind w:left="0" w:leftChars="0" w:firstLine="0" w:firstLineChars="0"/>
        <w:rPr>
          <w:b w:val="0"/>
        </w:rPr>
      </w:pPr>
      <w:bookmarkStart w:id="28" w:name="heading_14"/>
      <w:r>
        <w:t>立面装饰修补工程</w:t>
      </w:r>
      <w:bookmarkEnd w:id="28"/>
    </w:p>
    <w:p>
      <w:pPr>
        <w:pStyle w:val="4"/>
        <w:numPr>
          <w:ilvl w:val="0"/>
          <w:numId w:val="15"/>
        </w:numPr>
        <w:ind w:left="0" w:leftChars="0" w:firstLine="0" w:firstLineChars="0"/>
        <w:rPr>
          <w:b w:val="0"/>
        </w:rPr>
      </w:pPr>
      <w:bookmarkStart w:id="29" w:name="heading_15"/>
      <w:r>
        <w:t>立面块料拆除</w:t>
      </w:r>
      <w:bookmarkEnd w:id="29"/>
    </w:p>
    <w:p>
      <w:pPr>
        <w:pStyle w:val="12"/>
        <w:numPr>
          <w:ilvl w:val="0"/>
          <w:numId w:val="1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采用保护性拆除，避免扰动周边完好的饰面及基层。</w:t>
      </w:r>
    </w:p>
    <w:p>
      <w:pPr>
        <w:pStyle w:val="12"/>
        <w:numPr>
          <w:ilvl w:val="0"/>
          <w:numId w:val="1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拆除废料及时清运，不得堆放在现场，拆除面清理干净，无松动残渣。</w:t>
      </w:r>
    </w:p>
    <w:p>
      <w:pPr>
        <w:pStyle w:val="4"/>
        <w:numPr>
          <w:ilvl w:val="0"/>
          <w:numId w:val="15"/>
        </w:numPr>
        <w:ind w:left="0" w:leftChars="0" w:firstLine="0" w:firstLineChars="0"/>
        <w:rPr>
          <w:b w:val="0"/>
        </w:rPr>
      </w:pPr>
      <w:bookmarkStart w:id="30" w:name="heading_16"/>
      <w:r>
        <w:t>石材墙、柱面干挂</w:t>
      </w:r>
      <w:bookmarkEnd w:id="30"/>
    </w:p>
    <w:p>
      <w:pPr>
        <w:pStyle w:val="12"/>
        <w:numPr>
          <w:ilvl w:val="0"/>
          <w:numId w:val="1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材料：浅黄色透光云石板，厚度9mm，色泽均匀，无色差、裂纹。</w:t>
      </w:r>
    </w:p>
    <w:p>
      <w:pPr>
        <w:pStyle w:val="12"/>
        <w:numPr>
          <w:ilvl w:val="0"/>
          <w:numId w:val="1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干挂骨架安装牢固，平整度、垂直度符合规范，石板安装缝隙均匀，阴阳角顺直。</w:t>
      </w:r>
    </w:p>
    <w:p>
      <w:pPr>
        <w:pStyle w:val="12"/>
        <w:numPr>
          <w:ilvl w:val="0"/>
          <w:numId w:val="1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打胶饱满、顺直，无空鼓、脱落隐患。</w:t>
      </w:r>
    </w:p>
    <w:p>
      <w:pPr>
        <w:pStyle w:val="4"/>
        <w:numPr>
          <w:ilvl w:val="0"/>
          <w:numId w:val="15"/>
        </w:numPr>
        <w:ind w:left="0" w:leftChars="0" w:firstLine="0" w:firstLineChars="0"/>
        <w:rPr>
          <w:b w:val="0"/>
        </w:rPr>
      </w:pPr>
      <w:bookmarkStart w:id="31" w:name="heading_17"/>
      <w:r>
        <w:t>墙、柱面不锈钢装饰板</w:t>
      </w:r>
      <w:bookmarkEnd w:id="31"/>
    </w:p>
    <w:p>
      <w:pPr>
        <w:pStyle w:val="12"/>
        <w:numPr>
          <w:ilvl w:val="0"/>
          <w:numId w:val="1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材料：2.0厚拉丝不锈钢，表面平整，无划痕、变形。</w:t>
      </w:r>
    </w:p>
    <w:p>
      <w:pPr>
        <w:pStyle w:val="12"/>
        <w:numPr>
          <w:ilvl w:val="0"/>
          <w:numId w:val="1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基层清理干净，涂胶均匀，安装平整，压边顺直，玻璃胶密封到位。</w:t>
      </w:r>
    </w:p>
    <w:p>
      <w:pPr>
        <w:pStyle w:val="12"/>
        <w:numPr>
          <w:ilvl w:val="0"/>
          <w:numId w:val="1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接缝均匀，阴阳角方正，表面整洁无污渍。</w:t>
      </w:r>
    </w:p>
    <w:p>
      <w:pPr>
        <w:pStyle w:val="3"/>
        <w:numPr>
          <w:ilvl w:val="0"/>
          <w:numId w:val="5"/>
        </w:numPr>
        <w:ind w:left="0" w:leftChars="0" w:firstLine="0" w:firstLineChars="0"/>
        <w:rPr>
          <w:b w:val="0"/>
        </w:rPr>
      </w:pPr>
      <w:bookmarkStart w:id="32" w:name="heading_18"/>
      <w:r>
        <w:t>泳池维修工程</w:t>
      </w:r>
      <w:bookmarkEnd w:id="32"/>
    </w:p>
    <w:p>
      <w:pPr>
        <w:pStyle w:val="4"/>
        <w:numPr>
          <w:ilvl w:val="0"/>
          <w:numId w:val="19"/>
        </w:numPr>
        <w:ind w:left="0" w:leftChars="0" w:firstLine="0" w:firstLineChars="0"/>
        <w:rPr>
          <w:b w:val="0"/>
        </w:rPr>
      </w:pPr>
      <w:bookmarkStart w:id="33" w:name="heading_19"/>
      <w:r>
        <w:t>墙面涂膜防水</w:t>
      </w:r>
      <w:bookmarkEnd w:id="33"/>
    </w:p>
    <w:p>
      <w:pPr>
        <w:pStyle w:val="12"/>
        <w:numPr>
          <w:ilvl w:val="0"/>
          <w:numId w:val="2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材料：聚合物渗透结晶型水泥基防水涂膜，厚度1.5mm。</w:t>
      </w:r>
    </w:p>
    <w:p>
      <w:pPr>
        <w:pStyle w:val="12"/>
        <w:numPr>
          <w:ilvl w:val="0"/>
          <w:numId w:val="2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基层平整、干净、无起砂，涂刷均匀，分遍施工，无漏刷、堆积现象。</w:t>
      </w:r>
    </w:p>
    <w:p>
      <w:pPr>
        <w:pStyle w:val="12"/>
        <w:numPr>
          <w:ilvl w:val="0"/>
          <w:numId w:val="2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施工完成后进行24小时闭水试验，无渗漏为合格。</w:t>
      </w:r>
    </w:p>
    <w:p>
      <w:pPr>
        <w:pStyle w:val="4"/>
        <w:numPr>
          <w:ilvl w:val="0"/>
          <w:numId w:val="19"/>
        </w:numPr>
        <w:ind w:left="0" w:leftChars="0" w:firstLine="0" w:firstLineChars="0"/>
        <w:rPr>
          <w:b w:val="0"/>
        </w:rPr>
      </w:pPr>
      <w:bookmarkStart w:id="34" w:name="heading_20"/>
      <w:r>
        <w:t>池壁瓷片镶贴</w:t>
      </w:r>
      <w:bookmarkEnd w:id="34"/>
    </w:p>
    <w:p>
      <w:pPr>
        <w:pStyle w:val="12"/>
        <w:numPr>
          <w:ilvl w:val="0"/>
          <w:numId w:val="2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材料：50*50*6蓝绿色冰裂纹瓷片，深浅拼花，色泽一致。</w:t>
      </w:r>
    </w:p>
    <w:p>
      <w:pPr>
        <w:pStyle w:val="12"/>
        <w:numPr>
          <w:ilvl w:val="0"/>
          <w:numId w:val="2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基层15厚1:2.5水泥砂浆抹灰找平，平整度符合要求。</w:t>
      </w:r>
    </w:p>
    <w:p>
      <w:pPr>
        <w:pStyle w:val="12"/>
        <w:numPr>
          <w:ilvl w:val="0"/>
          <w:numId w:val="2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瓷片粘贴牢固，无空鼓，缝隙均匀，勾缝饱满，表面平整干净。</w:t>
      </w:r>
    </w:p>
    <w:p>
      <w:pPr>
        <w:pStyle w:val="4"/>
        <w:numPr>
          <w:ilvl w:val="0"/>
          <w:numId w:val="19"/>
        </w:numPr>
        <w:ind w:left="0" w:leftChars="0" w:firstLine="0" w:firstLineChars="0"/>
        <w:rPr>
          <w:b w:val="0"/>
        </w:rPr>
      </w:pPr>
      <w:bookmarkStart w:id="35" w:name="heading_21"/>
      <w:r>
        <w:t>防水套管及密封圈更换</w:t>
      </w:r>
      <w:bookmarkEnd w:id="35"/>
    </w:p>
    <w:p>
      <w:pPr>
        <w:pStyle w:val="12"/>
        <w:numPr>
          <w:ilvl w:val="0"/>
          <w:numId w:val="2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刚性防水套管用于水下灯及给排水预留孔密封，安装牢固，密封严密。</w:t>
      </w:r>
    </w:p>
    <w:p>
      <w:pPr>
        <w:pStyle w:val="12"/>
        <w:numPr>
          <w:ilvl w:val="0"/>
          <w:numId w:val="2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灯体密封圈更换：拆卸灯体，清理线孔，用堵漏王压实线孔，更换新密封圈，复位时均匀打泳池专用密封胶，挤压密实，清理余胶。</w:t>
      </w:r>
    </w:p>
    <w:p>
      <w:pPr>
        <w:pStyle w:val="12"/>
        <w:numPr>
          <w:ilvl w:val="0"/>
          <w:numId w:val="2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安装完成后进行试水，无渗漏为合格。</w:t>
      </w:r>
    </w:p>
    <w:p>
      <w:pPr>
        <w:pStyle w:val="3"/>
        <w:numPr>
          <w:ilvl w:val="0"/>
          <w:numId w:val="5"/>
        </w:numPr>
        <w:ind w:left="0" w:leftChars="0" w:firstLine="0" w:firstLineChars="0"/>
        <w:rPr>
          <w:b w:val="0"/>
        </w:rPr>
      </w:pPr>
      <w:bookmarkStart w:id="36" w:name="heading_22"/>
      <w:r>
        <w:t>销售中心门前水池工程</w:t>
      </w:r>
      <w:bookmarkEnd w:id="36"/>
    </w:p>
    <w:p>
      <w:pPr>
        <w:pStyle w:val="4"/>
        <w:numPr>
          <w:ilvl w:val="0"/>
          <w:numId w:val="23"/>
        </w:numPr>
        <w:ind w:left="0" w:leftChars="0" w:firstLine="0" w:firstLineChars="0"/>
        <w:rPr>
          <w:b w:val="0"/>
        </w:rPr>
      </w:pPr>
      <w:bookmarkStart w:id="37" w:name="heading_23"/>
      <w:r>
        <w:t>平面块料拆除及清洗</w:t>
      </w:r>
      <w:bookmarkEnd w:id="37"/>
    </w:p>
    <w:p>
      <w:pPr>
        <w:pStyle w:val="12"/>
        <w:numPr>
          <w:ilvl w:val="0"/>
          <w:numId w:val="2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保护性拆除架空石材，材料利旧，人工转运堆放整齐。</w:t>
      </w:r>
    </w:p>
    <w:p>
      <w:pPr>
        <w:pStyle w:val="12"/>
        <w:numPr>
          <w:ilvl w:val="0"/>
          <w:numId w:val="2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水池采用高压水枪清洗，池底及四周反坎清理干净，无污渍、青苔。</w:t>
      </w:r>
    </w:p>
    <w:p>
      <w:pPr>
        <w:pStyle w:val="4"/>
        <w:numPr>
          <w:ilvl w:val="0"/>
          <w:numId w:val="23"/>
        </w:numPr>
        <w:ind w:left="0" w:leftChars="0" w:firstLine="0" w:firstLineChars="0"/>
        <w:rPr>
          <w:b w:val="0"/>
        </w:rPr>
      </w:pPr>
      <w:bookmarkStart w:id="38" w:name="heading_24"/>
      <w:r>
        <w:t>防水及保护层</w:t>
      </w:r>
      <w:bookmarkEnd w:id="38"/>
    </w:p>
    <w:p>
      <w:pPr>
        <w:pStyle w:val="12"/>
        <w:numPr>
          <w:ilvl w:val="0"/>
          <w:numId w:val="2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防水材料：聚合物水泥(JS)防水涂料，厚度2.0mm，分遍涂刷，基层干燥干净。</w:t>
      </w:r>
    </w:p>
    <w:p>
      <w:pPr>
        <w:pStyle w:val="12"/>
        <w:numPr>
          <w:ilvl w:val="0"/>
          <w:numId w:val="2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保护层：25mm厚防水抗裂砂浆，找平压实，无开裂、起砂。</w:t>
      </w:r>
    </w:p>
    <w:p>
      <w:pPr>
        <w:pStyle w:val="12"/>
        <w:numPr>
          <w:ilvl w:val="0"/>
          <w:numId w:val="2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施工完成后闭水试验合格，再进行面层施工。</w:t>
      </w:r>
    </w:p>
    <w:p>
      <w:pPr>
        <w:pStyle w:val="4"/>
        <w:numPr>
          <w:ilvl w:val="0"/>
          <w:numId w:val="23"/>
        </w:numPr>
        <w:ind w:left="0" w:leftChars="0" w:firstLine="0" w:firstLineChars="0"/>
        <w:rPr>
          <w:b w:val="0"/>
        </w:rPr>
      </w:pPr>
      <w:bookmarkStart w:id="39" w:name="heading_25"/>
      <w:r>
        <w:t>镜面架空板安装</w:t>
      </w:r>
      <w:bookmarkEnd w:id="39"/>
    </w:p>
    <w:p>
      <w:pPr>
        <w:pStyle w:val="12"/>
        <w:numPr>
          <w:ilvl w:val="0"/>
          <w:numId w:val="2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材料利旧，人工转运，安装平整，缝隙均匀，稳固无晃动。</w:t>
      </w:r>
    </w:p>
    <w:p>
      <w:pPr>
        <w:pStyle w:val="12"/>
        <w:numPr>
          <w:ilvl w:val="0"/>
          <w:numId w:val="2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边角处理顺直，无翘曲、破损。</w:t>
      </w:r>
    </w:p>
    <w:p>
      <w:pPr>
        <w:pStyle w:val="3"/>
        <w:numPr>
          <w:ilvl w:val="0"/>
          <w:numId w:val="5"/>
        </w:numPr>
        <w:ind w:left="0" w:leftChars="0" w:firstLine="0" w:firstLineChars="0"/>
        <w:rPr>
          <w:b w:val="0"/>
        </w:rPr>
      </w:pPr>
      <w:bookmarkStart w:id="40" w:name="heading_26"/>
      <w:r>
        <w:t>土建及给排水工程</w:t>
      </w:r>
      <w:bookmarkEnd w:id="40"/>
    </w:p>
    <w:p>
      <w:pPr>
        <w:pStyle w:val="4"/>
        <w:numPr>
          <w:ilvl w:val="0"/>
          <w:numId w:val="27"/>
        </w:numPr>
        <w:ind w:left="0" w:leftChars="0" w:firstLine="0" w:firstLineChars="0"/>
        <w:rPr>
          <w:b w:val="0"/>
        </w:rPr>
      </w:pPr>
      <w:bookmarkStart w:id="41" w:name="heading_27"/>
      <w:r>
        <w:t>土方及砌筑工程</w:t>
      </w:r>
      <w:bookmarkEnd w:id="41"/>
    </w:p>
    <w:p>
      <w:pPr>
        <w:pStyle w:val="12"/>
        <w:numPr>
          <w:ilvl w:val="0"/>
          <w:numId w:val="2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人工挖土方：一、二类土，开挖尺寸准确，基底平整，边坡稳定。</w:t>
      </w:r>
    </w:p>
    <w:p>
      <w:pPr>
        <w:pStyle w:val="12"/>
        <w:numPr>
          <w:ilvl w:val="0"/>
          <w:numId w:val="2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砖砌检查井/集水井：采用标准砖204*115*53，砂浆饱满，井壁平整，井盖安装牢固，标高符合要求。</w:t>
      </w:r>
    </w:p>
    <w:p>
      <w:pPr>
        <w:pStyle w:val="12"/>
        <w:numPr>
          <w:ilvl w:val="0"/>
          <w:numId w:val="2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回填土分层夯实，密实度符合设计要求。</w:t>
      </w:r>
    </w:p>
    <w:p>
      <w:pPr>
        <w:pStyle w:val="4"/>
        <w:numPr>
          <w:ilvl w:val="0"/>
          <w:numId w:val="27"/>
        </w:numPr>
        <w:ind w:left="0" w:leftChars="0" w:firstLine="0" w:firstLineChars="0"/>
        <w:rPr>
          <w:b w:val="0"/>
        </w:rPr>
      </w:pPr>
      <w:bookmarkStart w:id="42" w:name="heading_28"/>
      <w:r>
        <w:t>给排水管道安装</w:t>
      </w:r>
      <w:bookmarkEnd w:id="42"/>
    </w:p>
    <w:p>
      <w:pPr>
        <w:pStyle w:val="12"/>
        <w:numPr>
          <w:ilvl w:val="0"/>
          <w:numId w:val="2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给水管道：编织钢芯塑料水管DN32，粘接牢固，水压试验合格，无渗漏。</w:t>
      </w:r>
    </w:p>
    <w:p>
      <w:pPr>
        <w:pStyle w:val="12"/>
        <w:numPr>
          <w:ilvl w:val="0"/>
          <w:numId w:val="2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排水管道：UPVC排水管DN200，粘接接口，坡度符合规范，通水试验通畅。</w:t>
      </w:r>
    </w:p>
    <w:p>
      <w:pPr>
        <w:pStyle w:val="12"/>
        <w:numPr>
          <w:ilvl w:val="0"/>
          <w:numId w:val="2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管道安装位置准确，固定牢固，标识清晰。</w:t>
      </w:r>
    </w:p>
    <w:p>
      <w:pPr>
        <w:pStyle w:val="4"/>
        <w:numPr>
          <w:ilvl w:val="0"/>
          <w:numId w:val="27"/>
        </w:numPr>
        <w:ind w:left="0" w:leftChars="0" w:firstLine="0" w:firstLineChars="0"/>
        <w:rPr>
          <w:b w:val="0"/>
        </w:rPr>
      </w:pPr>
      <w:bookmarkStart w:id="43" w:name="heading_29"/>
      <w:r>
        <w:t>强电线槽线缆堵漏</w:t>
      </w:r>
      <w:bookmarkEnd w:id="43"/>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每处堵漏面积约0.4㎡，采用专业堵漏王密实处理，封堵严密，无开裂、脱落，表面平整。</w:t>
      </w:r>
    </w:p>
    <w:p>
      <w:pPr>
        <w:pStyle w:val="4"/>
        <w:numPr>
          <w:ilvl w:val="0"/>
          <w:numId w:val="27"/>
        </w:numPr>
        <w:ind w:left="0" w:leftChars="0" w:firstLine="0" w:firstLineChars="0"/>
        <w:rPr>
          <w:b w:val="0"/>
        </w:rPr>
      </w:pPr>
      <w:bookmarkStart w:id="44" w:name="heading_30"/>
      <w:r>
        <w:t>水泥砂浆批荡</w:t>
      </w:r>
      <w:bookmarkEnd w:id="44"/>
    </w:p>
    <w:p>
      <w:pPr>
        <w:pStyle w:val="12"/>
        <w:rPr>
          <w:rFonts w:ascii="Times New Roman" w:hAnsi="Times New Roman" w:eastAsia="宋体" w:cs="Times New Roman"/>
          <w:sz w:val="24"/>
          <w:szCs w:val="24"/>
        </w:rPr>
      </w:pPr>
      <w:r>
        <w:rPr>
          <w:rFonts w:ascii="Times New Roman" w:hAnsi="Times New Roman" w:eastAsia="宋体" w:cs="Times New Roman"/>
          <w:sz w:val="24"/>
          <w:szCs w:val="24"/>
        </w:rPr>
        <w:t>15mm厚M10湿拌砂浆抹灰，表面平整，阴阳角顺直，无空鼓、裂缝。</w:t>
      </w:r>
    </w:p>
    <w:p>
      <w:pPr>
        <w:pStyle w:val="3"/>
        <w:numPr>
          <w:ilvl w:val="0"/>
          <w:numId w:val="5"/>
        </w:numPr>
        <w:ind w:left="0" w:leftChars="0" w:firstLine="0" w:firstLineChars="0"/>
        <w:rPr>
          <w:b w:val="0"/>
        </w:rPr>
      </w:pPr>
      <w:bookmarkStart w:id="45" w:name="heading_31"/>
      <w:r>
        <w:t>铝合金门维修工程</w:t>
      </w:r>
      <w:bookmarkEnd w:id="45"/>
    </w:p>
    <w:p>
      <w:pPr>
        <w:pStyle w:val="4"/>
        <w:numPr>
          <w:ilvl w:val="0"/>
          <w:numId w:val="30"/>
        </w:numPr>
        <w:ind w:left="0" w:leftChars="0" w:firstLine="0" w:firstLineChars="0"/>
        <w:rPr>
          <w:b w:val="0"/>
        </w:rPr>
      </w:pPr>
      <w:bookmarkStart w:id="46" w:name="heading_32"/>
      <w:r>
        <w:t>铝合金门拆除与安装</w:t>
      </w:r>
      <w:bookmarkEnd w:id="46"/>
    </w:p>
    <w:p>
      <w:pPr>
        <w:pStyle w:val="12"/>
        <w:numPr>
          <w:ilvl w:val="0"/>
          <w:numId w:val="3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保护性拆除重型铝合金门，不得损坏门扇、门框及五金配件。</w:t>
      </w:r>
    </w:p>
    <w:p>
      <w:pPr>
        <w:pStyle w:val="12"/>
        <w:numPr>
          <w:ilvl w:val="0"/>
          <w:numId w:val="3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安装牢固，垂直度、平整度符合规范，开关灵活，无卡滞、异响。</w:t>
      </w:r>
    </w:p>
    <w:p>
      <w:pPr>
        <w:pStyle w:val="12"/>
        <w:numPr>
          <w:ilvl w:val="0"/>
          <w:numId w:val="3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密封胶条完整，密封严密，缝隙均匀。</w:t>
      </w:r>
    </w:p>
    <w:p>
      <w:pPr>
        <w:pStyle w:val="4"/>
        <w:numPr>
          <w:ilvl w:val="0"/>
          <w:numId w:val="30"/>
        </w:numPr>
        <w:ind w:left="0" w:leftChars="0" w:firstLine="0" w:firstLineChars="0"/>
        <w:rPr>
          <w:b w:val="0"/>
        </w:rPr>
      </w:pPr>
      <w:bookmarkStart w:id="47" w:name="heading_33"/>
      <w:r>
        <w:t>地弹簧更换</w:t>
      </w:r>
      <w:bookmarkEnd w:id="47"/>
    </w:p>
    <w:p>
      <w:pPr>
        <w:pStyle w:val="12"/>
        <w:numPr>
          <w:ilvl w:val="0"/>
          <w:numId w:val="3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重型地弹簧承重350KG，配套天地枢轴配件齐全。</w:t>
      </w:r>
    </w:p>
    <w:p>
      <w:pPr>
        <w:pStyle w:val="12"/>
        <w:numPr>
          <w:ilvl w:val="0"/>
          <w:numId w:val="3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安装位置准确，固定牢固，门扇开启灵活，定位准确，无晃动。</w:t>
      </w:r>
    </w:p>
    <w:p>
      <w:pPr>
        <w:pStyle w:val="4"/>
        <w:numPr>
          <w:ilvl w:val="0"/>
          <w:numId w:val="30"/>
        </w:numPr>
        <w:ind w:left="0" w:leftChars="0" w:firstLine="0" w:firstLineChars="0"/>
        <w:rPr>
          <w:b w:val="0"/>
        </w:rPr>
      </w:pPr>
      <w:bookmarkStart w:id="48" w:name="heading_34"/>
      <w:r>
        <w:t>门扇框装饰压线更换</w:t>
      </w:r>
      <w:bookmarkEnd w:id="48"/>
    </w:p>
    <w:p>
      <w:pPr>
        <w:pStyle w:val="12"/>
        <w:rPr>
          <w:rFonts w:ascii="Times New Roman" w:hAnsi="Times New Roman" w:eastAsia="宋体" w:cs="Times New Roman"/>
          <w:sz w:val="24"/>
          <w:szCs w:val="24"/>
        </w:rPr>
      </w:pPr>
      <w:r>
        <w:rPr>
          <w:rFonts w:ascii="Times New Roman" w:hAnsi="Times New Roman" w:eastAsia="宋体" w:cs="Times New Roman"/>
          <w:sz w:val="24"/>
          <w:szCs w:val="24"/>
        </w:rPr>
        <w:t>采用定型铝材装饰压线，安装顺直，接缝严密，固定牢固，色泽一致。</w:t>
      </w:r>
    </w:p>
    <w:p>
      <w:pPr>
        <w:pStyle w:val="3"/>
        <w:numPr>
          <w:ilvl w:val="0"/>
          <w:numId w:val="5"/>
        </w:numPr>
        <w:ind w:left="0" w:leftChars="0" w:firstLine="0" w:firstLineChars="0"/>
        <w:rPr>
          <w:b w:val="0"/>
        </w:rPr>
      </w:pPr>
      <w:bookmarkStart w:id="49" w:name="heading_35"/>
      <w:r>
        <w:t>消防箱装饰工程</w:t>
      </w:r>
      <w:bookmarkEnd w:id="49"/>
    </w:p>
    <w:p>
      <w:pPr>
        <w:pStyle w:val="4"/>
        <w:numPr>
          <w:ilvl w:val="0"/>
          <w:numId w:val="33"/>
        </w:numPr>
        <w:ind w:left="0" w:leftChars="0" w:firstLine="0" w:firstLineChars="0"/>
        <w:rPr>
          <w:b w:val="0"/>
        </w:rPr>
      </w:pPr>
      <w:bookmarkStart w:id="50" w:name="heading_36"/>
      <w:r>
        <w:t>破损装饰门拆除</w:t>
      </w:r>
      <w:bookmarkEnd w:id="50"/>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拆除850mm宽*1900mm高破损装饰门，废料及时清运，不得损坏周边墙体及消防设施。</w:t>
      </w:r>
    </w:p>
    <w:p>
      <w:pPr>
        <w:pStyle w:val="4"/>
        <w:numPr>
          <w:ilvl w:val="0"/>
          <w:numId w:val="33"/>
        </w:numPr>
        <w:ind w:left="0" w:leftChars="0" w:firstLine="0" w:firstLineChars="0"/>
        <w:rPr>
          <w:b w:val="0"/>
        </w:rPr>
      </w:pPr>
      <w:bookmarkStart w:id="51" w:name="heading_37"/>
      <w:r>
        <w:t>埃特板隐藏消防箱门</w:t>
      </w:r>
      <w:bookmarkEnd w:id="51"/>
    </w:p>
    <w:p>
      <w:pPr>
        <w:pStyle w:val="12"/>
        <w:numPr>
          <w:ilvl w:val="0"/>
          <w:numId w:val="3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骨架：L50X50X4镀锌角钢、L30X3角钢，焊接牢固，防腐处理到位。</w:t>
      </w:r>
    </w:p>
    <w:p>
      <w:pPr>
        <w:pStyle w:val="12"/>
        <w:numPr>
          <w:ilvl w:val="0"/>
          <w:numId w:val="3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面层：15mm厚埃特板，安装平整，接缝严密，与周边墙面齐平。</w:t>
      </w:r>
    </w:p>
    <w:p>
      <w:pPr>
        <w:pStyle w:val="12"/>
        <w:numPr>
          <w:ilvl w:val="0"/>
          <w:numId w:val="3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消防箱门开启灵活，开启角度符合消防规范，标识清晰。</w:t>
      </w:r>
    </w:p>
    <w:p>
      <w:pPr>
        <w:pStyle w:val="3"/>
        <w:numPr>
          <w:ilvl w:val="0"/>
          <w:numId w:val="5"/>
        </w:numPr>
        <w:ind w:left="0" w:leftChars="0" w:firstLine="0" w:firstLineChars="0"/>
        <w:rPr>
          <w:b w:val="0"/>
        </w:rPr>
      </w:pPr>
      <w:bookmarkStart w:id="52" w:name="heading_38"/>
      <w:r>
        <w:t>屋面维修工程</w:t>
      </w:r>
      <w:bookmarkEnd w:id="52"/>
    </w:p>
    <w:p>
      <w:pPr>
        <w:pStyle w:val="4"/>
        <w:numPr>
          <w:ilvl w:val="0"/>
          <w:numId w:val="35"/>
        </w:numPr>
        <w:ind w:left="0" w:leftChars="0" w:firstLine="0" w:firstLineChars="0"/>
        <w:rPr>
          <w:b w:val="0"/>
        </w:rPr>
      </w:pPr>
      <w:bookmarkStart w:id="53" w:name="heading_39"/>
      <w:r>
        <w:t>空调百叶拆装</w:t>
      </w:r>
      <w:bookmarkEnd w:id="53"/>
    </w:p>
    <w:p>
      <w:pPr>
        <w:pStyle w:val="12"/>
        <w:rPr>
          <w:rFonts w:ascii="Times New Roman" w:hAnsi="Times New Roman" w:eastAsia="宋体" w:cs="Times New Roman"/>
          <w:sz w:val="24"/>
          <w:szCs w:val="24"/>
        </w:rPr>
      </w:pPr>
      <w:r>
        <w:rPr>
          <w:rFonts w:ascii="Times New Roman" w:hAnsi="Times New Roman" w:eastAsia="宋体" w:cs="Times New Roman"/>
          <w:sz w:val="24"/>
          <w:szCs w:val="24"/>
        </w:rPr>
        <w:t>保护性拆装空调百叶，材料利旧，安装牢固，平整顺直，缝隙均匀，排水通畅。</w:t>
      </w:r>
    </w:p>
    <w:p>
      <w:pPr>
        <w:pStyle w:val="4"/>
        <w:numPr>
          <w:ilvl w:val="0"/>
          <w:numId w:val="35"/>
        </w:numPr>
        <w:ind w:left="0" w:leftChars="0" w:firstLine="0" w:firstLineChars="0"/>
        <w:rPr>
          <w:b w:val="0"/>
        </w:rPr>
      </w:pPr>
      <w:bookmarkStart w:id="54" w:name="heading_40"/>
      <w:r>
        <w:t>植筋工程</w:t>
      </w:r>
      <w:bookmarkEnd w:id="54"/>
    </w:p>
    <w:p>
      <w:pPr>
        <w:pStyle w:val="12"/>
        <w:numPr>
          <w:ilvl w:val="0"/>
          <w:numId w:val="3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钢筋：φ8mmⅢ级钢，植筋胶采用合格产品。</w:t>
      </w:r>
    </w:p>
    <w:p>
      <w:pPr>
        <w:pStyle w:val="12"/>
        <w:numPr>
          <w:ilvl w:val="0"/>
          <w:numId w:val="3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钻孔、清孔符合要求，植筋深度满足规范，固化期间不得扰动。</w:t>
      </w:r>
    </w:p>
    <w:p>
      <w:pPr>
        <w:pStyle w:val="12"/>
        <w:numPr>
          <w:ilvl w:val="0"/>
          <w:numId w:val="3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植筋完成后按规范进行拉拔试验，合格后方可进行下道工序。</w:t>
      </w:r>
    </w:p>
    <w:p>
      <w:pPr>
        <w:pStyle w:val="4"/>
        <w:numPr>
          <w:ilvl w:val="0"/>
          <w:numId w:val="35"/>
        </w:numPr>
        <w:ind w:left="0" w:leftChars="0" w:firstLine="0" w:firstLineChars="0"/>
        <w:rPr>
          <w:b w:val="0"/>
        </w:rPr>
      </w:pPr>
      <w:bookmarkStart w:id="55" w:name="heading_41"/>
      <w:r>
        <w:t>混凝土及模板工程</w:t>
      </w:r>
      <w:bookmarkEnd w:id="55"/>
    </w:p>
    <w:p>
      <w:pPr>
        <w:pStyle w:val="12"/>
        <w:numPr>
          <w:ilvl w:val="0"/>
          <w:numId w:val="3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模板：制作安装牢固，尺寸准确，接缝严密，不漏浆。</w:t>
      </w:r>
    </w:p>
    <w:p>
      <w:pPr>
        <w:pStyle w:val="12"/>
        <w:numPr>
          <w:ilvl w:val="0"/>
          <w:numId w:val="3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混凝土：C20预拌混凝土，浇捣密实，养护到位，强度符合要求。</w:t>
      </w:r>
    </w:p>
    <w:p>
      <w:pPr>
        <w:pStyle w:val="12"/>
        <w:numPr>
          <w:ilvl w:val="0"/>
          <w:numId w:val="3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钢筋：制作绑扎规范，规格、间距符合设计，保护层厚度达标。</w:t>
      </w:r>
    </w:p>
    <w:p>
      <w:pPr>
        <w:pStyle w:val="4"/>
        <w:numPr>
          <w:ilvl w:val="0"/>
          <w:numId w:val="35"/>
        </w:numPr>
        <w:ind w:left="0" w:leftChars="0" w:firstLine="0" w:firstLineChars="0"/>
        <w:rPr>
          <w:b w:val="0"/>
        </w:rPr>
      </w:pPr>
      <w:bookmarkStart w:id="56" w:name="heading_42"/>
      <w:r>
        <w:t>屋面防水及刚性层</w:t>
      </w:r>
      <w:bookmarkEnd w:id="56"/>
    </w:p>
    <w:p>
      <w:pPr>
        <w:pStyle w:val="12"/>
        <w:numPr>
          <w:ilvl w:val="0"/>
          <w:numId w:val="3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防水：聚氨酯防水涂膜1.5mm厚、聚合物渗透结晶型水泥基防水涂膜2.0mm厚，分遍施工，闭水试验合格。</w:t>
      </w:r>
    </w:p>
    <w:p>
      <w:pPr>
        <w:pStyle w:val="12"/>
        <w:numPr>
          <w:ilvl w:val="0"/>
          <w:numId w:val="3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刚性层：80mm厚细石混凝土，内配φ8圆钢钢筋网片，表面抹平，分格缝设置符合规范。</w:t>
      </w:r>
    </w:p>
    <w:p>
      <w:pPr>
        <w:pStyle w:val="12"/>
        <w:numPr>
          <w:ilvl w:val="0"/>
          <w:numId w:val="3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砂浆保护层：25mm厚防水抗裂砂浆，平整压实，无开裂。</w:t>
      </w:r>
    </w:p>
    <w:p>
      <w:pPr>
        <w:pStyle w:val="3"/>
        <w:numPr>
          <w:ilvl w:val="0"/>
          <w:numId w:val="5"/>
        </w:numPr>
        <w:ind w:left="0" w:leftChars="0" w:firstLine="0" w:firstLineChars="0"/>
        <w:rPr>
          <w:b w:val="0"/>
        </w:rPr>
      </w:pPr>
      <w:bookmarkStart w:id="57" w:name="heading_43"/>
      <w:r>
        <w:t>挡烟垂壁工程</w:t>
      </w:r>
      <w:bookmarkEnd w:id="57"/>
    </w:p>
    <w:p>
      <w:pPr>
        <w:pStyle w:val="12"/>
        <w:numPr>
          <w:ilvl w:val="0"/>
          <w:numId w:val="3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材料：防火布挡烟垂壁，防火性能符合国家规范要求。</w:t>
      </w:r>
    </w:p>
    <w:p>
      <w:pPr>
        <w:pStyle w:val="12"/>
        <w:numPr>
          <w:ilvl w:val="0"/>
          <w:numId w:val="3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安装牢固，下垂高度符合设计，接缝严密，整体顺直，无破损、褶皱。</w:t>
      </w:r>
    </w:p>
    <w:p>
      <w:pPr>
        <w:pStyle w:val="12"/>
        <w:numPr>
          <w:ilvl w:val="0"/>
          <w:numId w:val="3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固定件间距符合要求，防火封堵到位。</w:t>
      </w:r>
    </w:p>
    <w:p>
      <w:pPr>
        <w:pStyle w:val="3"/>
        <w:numPr>
          <w:ilvl w:val="0"/>
          <w:numId w:val="5"/>
        </w:numPr>
        <w:ind w:left="0" w:leftChars="0" w:firstLine="0" w:firstLineChars="0"/>
        <w:rPr>
          <w:b w:val="0"/>
        </w:rPr>
      </w:pPr>
      <w:bookmarkStart w:id="58" w:name="heading_44"/>
      <w:r>
        <w:t>绿化工程</w:t>
      </w:r>
      <w:bookmarkEnd w:id="58"/>
    </w:p>
    <w:p>
      <w:pPr>
        <w:pStyle w:val="4"/>
        <w:numPr>
          <w:ilvl w:val="0"/>
          <w:numId w:val="40"/>
        </w:numPr>
        <w:ind w:left="0" w:leftChars="0" w:firstLine="0" w:firstLineChars="0"/>
        <w:rPr>
          <w:b w:val="0"/>
        </w:rPr>
      </w:pPr>
      <w:bookmarkStart w:id="59" w:name="heading_45"/>
      <w:r>
        <w:t>植被清理</w:t>
      </w:r>
      <w:bookmarkEnd w:id="59"/>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清除损坏地被，砍挖废弃植被，垃圾全部清运，场地清理平整。</w:t>
      </w:r>
    </w:p>
    <w:p>
      <w:pPr>
        <w:pStyle w:val="4"/>
        <w:numPr>
          <w:ilvl w:val="0"/>
          <w:numId w:val="40"/>
        </w:numPr>
        <w:ind w:left="0" w:leftChars="0" w:firstLine="0" w:firstLineChars="0"/>
        <w:rPr>
          <w:b w:val="0"/>
        </w:rPr>
      </w:pPr>
      <w:bookmarkStart w:id="60" w:name="heading_46"/>
      <w:r>
        <w:t>苗木栽植</w:t>
      </w:r>
      <w:bookmarkEnd w:id="60"/>
    </w:p>
    <w:p>
      <w:pPr>
        <w:pStyle w:val="12"/>
        <w:numPr>
          <w:ilvl w:val="0"/>
          <w:numId w:val="4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苗木规格：胡椒木高度25cm、冠幅20-25cm；黄金叶高度25cm、冠幅25cm；玉龙草密铺，所有苗木均为盆苗，冠幅饱满，3分枝以上，无病虫害。</w:t>
      </w:r>
    </w:p>
    <w:p>
      <w:pPr>
        <w:pStyle w:val="12"/>
        <w:numPr>
          <w:ilvl w:val="0"/>
          <w:numId w:val="4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栽植密度：胡椒木、黄金叶49株/㎡，玉龙草不露土。</w:t>
      </w:r>
    </w:p>
    <w:p>
      <w:pPr>
        <w:pStyle w:val="12"/>
        <w:numPr>
          <w:ilvl w:val="0"/>
          <w:numId w:val="4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栽植后养护期3个月，期间浇水、施肥、修剪、病虫害防治到位，成活率100%。</w:t>
      </w:r>
    </w:p>
    <w:p>
      <w:pPr>
        <w:pStyle w:val="3"/>
        <w:numPr>
          <w:ilvl w:val="0"/>
          <w:numId w:val="5"/>
        </w:numPr>
        <w:ind w:left="0" w:leftChars="0" w:firstLine="0" w:firstLineChars="0"/>
        <w:rPr>
          <w:b w:val="0"/>
        </w:rPr>
      </w:pPr>
      <w:bookmarkStart w:id="61" w:name="heading_47"/>
      <w:r>
        <w:t>墙面及天棚翻新工程</w:t>
      </w:r>
      <w:bookmarkEnd w:id="61"/>
    </w:p>
    <w:p>
      <w:pPr>
        <w:pStyle w:val="4"/>
        <w:numPr>
          <w:ilvl w:val="0"/>
          <w:numId w:val="42"/>
        </w:numPr>
        <w:ind w:left="0" w:leftChars="0" w:firstLine="0" w:firstLineChars="0"/>
        <w:rPr>
          <w:b w:val="0"/>
        </w:rPr>
      </w:pPr>
      <w:bookmarkStart w:id="62" w:name="heading_48"/>
      <w:r>
        <w:t>油漆面铲除</w:t>
      </w:r>
      <w:bookmarkEnd w:id="62"/>
    </w:p>
    <w:p>
      <w:pPr>
        <w:pStyle w:val="12"/>
        <w:rPr>
          <w:rFonts w:ascii="Times New Roman" w:hAnsi="Times New Roman" w:eastAsia="宋体" w:cs="Times New Roman"/>
          <w:sz w:val="24"/>
          <w:szCs w:val="24"/>
        </w:rPr>
      </w:pPr>
      <w:r>
        <w:rPr>
          <w:rFonts w:ascii="Times New Roman" w:hAnsi="Times New Roman" w:eastAsia="宋体" w:cs="Times New Roman"/>
          <w:sz w:val="24"/>
          <w:szCs w:val="24"/>
        </w:rPr>
        <w:t>彻底铲除墙面及天棚旧漆面及腻子，清理干净浮灰，废料及时清运。</w:t>
      </w:r>
    </w:p>
    <w:p>
      <w:pPr>
        <w:pStyle w:val="4"/>
        <w:numPr>
          <w:ilvl w:val="0"/>
          <w:numId w:val="42"/>
        </w:numPr>
        <w:ind w:left="0" w:leftChars="0" w:firstLine="0" w:firstLineChars="0"/>
        <w:rPr>
          <w:b w:val="0"/>
        </w:rPr>
      </w:pPr>
      <w:bookmarkStart w:id="63" w:name="heading_49"/>
      <w:r>
        <w:t>抹灰面油漆</w:t>
      </w:r>
      <w:bookmarkEnd w:id="63"/>
    </w:p>
    <w:p>
      <w:pPr>
        <w:pStyle w:val="12"/>
        <w:numPr>
          <w:ilvl w:val="0"/>
          <w:numId w:val="43"/>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基层：成品腻子粉刮二遍，打磨平整，无砂纸痕、凹凸。</w:t>
      </w:r>
    </w:p>
    <w:p>
      <w:pPr>
        <w:pStyle w:val="12"/>
        <w:numPr>
          <w:ilvl w:val="0"/>
          <w:numId w:val="43"/>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油漆：底油一遍，调和漆二遍，色泽均匀，无流挂、刷痕、漏刷。</w:t>
      </w:r>
    </w:p>
    <w:p>
      <w:pPr>
        <w:pStyle w:val="12"/>
        <w:widowControl/>
        <w:rPr>
          <w:rFonts w:ascii="Times New Roman" w:hAnsi="Times New Roman" w:eastAsia="宋体" w:cs="Times New Roman"/>
          <w:b/>
          <w:sz w:val="24"/>
          <w:szCs w:val="24"/>
        </w:rPr>
      </w:pPr>
      <w:r>
        <w:rPr>
          <w:rFonts w:ascii="Times New Roman" w:hAnsi="Times New Roman" w:eastAsia="宋体" w:cs="Times New Roman"/>
          <w:b/>
          <w:sz w:val="24"/>
          <w:szCs w:val="24"/>
        </w:rPr>
        <w:t>·凡涉及隐蔽工程施工，施工方必须提前24小时通知工程部安排物管或其他立项部门相关人员现场见证监督，另合同金额5万元以上的，必须由监理见证检查隐蔽。施工单位必须拍摄照片隐蔽前照片。</w:t>
      </w:r>
    </w:p>
    <w:p>
      <w:pPr>
        <w:pStyle w:val="12"/>
        <w:widowControl/>
        <w:rPr>
          <w:rFonts w:ascii="Times New Roman" w:hAnsi="Times New Roman" w:eastAsia="宋体" w:cs="Times New Roman"/>
          <w:b/>
          <w:sz w:val="24"/>
          <w:szCs w:val="24"/>
        </w:rPr>
      </w:pPr>
      <w:r>
        <w:rPr>
          <w:rFonts w:ascii="Times New Roman" w:hAnsi="Times New Roman" w:eastAsia="宋体" w:cs="Times New Roman"/>
          <w:b/>
          <w:sz w:val="24"/>
          <w:szCs w:val="24"/>
        </w:rPr>
        <w:t>·</w:t>
      </w:r>
      <w:r>
        <w:rPr>
          <w:rFonts w:ascii="Times New Roman" w:hAnsi="Times New Roman" w:eastAsia="宋体" w:cs="Times New Roman"/>
          <w:b/>
          <w:color w:val="000000"/>
          <w:sz w:val="24"/>
          <w:szCs w:val="24"/>
        </w:rPr>
        <w:t>涉及暗敷、埋地管线（水、电）必须画敷设简图，标识线路走向，必要的文字说明，否则不予验收。</w:t>
      </w:r>
    </w:p>
    <w:p>
      <w:pPr>
        <w:pStyle w:val="12"/>
        <w:rPr>
          <w:rFonts w:ascii="Times New Roman" w:hAnsi="Times New Roman" w:eastAsia="宋体" w:cs="Times New Roman"/>
          <w:sz w:val="24"/>
          <w:szCs w:val="24"/>
        </w:rPr>
      </w:pPr>
      <w:r>
        <w:rPr>
          <w:rFonts w:ascii="Times New Roman" w:hAnsi="Times New Roman" w:eastAsia="宋体" w:cs="Times New Roman"/>
          <w:sz w:val="24"/>
          <w:szCs w:val="24"/>
        </w:rPr>
        <w:t>本工程内容详见工程量清单。</w:t>
      </w:r>
      <w:bookmarkEnd w:id="4"/>
      <w:bookmarkEnd w:id="5"/>
      <w:bookmarkStart w:id="64" w:name="_Toc222305599"/>
    </w:p>
    <w:p>
      <w:pPr>
        <w:pStyle w:val="2"/>
        <w:numPr>
          <w:ilvl w:val="0"/>
          <w:numId w:val="1"/>
        </w:numPr>
        <w:ind w:left="0" w:leftChars="0" w:firstLine="0" w:firstLineChars="0"/>
        <w:rPr>
          <w:b w:val="0"/>
        </w:rPr>
      </w:pPr>
      <w:r>
        <w:t>工期、付款方式、质保期与售后服务</w:t>
      </w:r>
      <w:bookmarkEnd w:id="64"/>
    </w:p>
    <w:p>
      <w:pPr>
        <w:pStyle w:val="12"/>
        <w:numPr>
          <w:ilvl w:val="0"/>
          <w:numId w:val="4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工期为签订合同开始90天内完工，为配合工期，施工时间需考虑加班及轮班安排施工，延误工期的按照所签订的合同条款执行。</w:t>
      </w:r>
    </w:p>
    <w:p>
      <w:pPr>
        <w:pStyle w:val="12"/>
        <w:numPr>
          <w:ilvl w:val="0"/>
          <w:numId w:val="4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付款条件：工程完成验收合格后，结算审核完毕即付款至结算价97%,余款3%在约定保修期满付清。保修期内如履行保修义务，将扣减相应费用。</w:t>
      </w:r>
    </w:p>
    <w:p>
      <w:pPr>
        <w:pStyle w:val="12"/>
        <w:numPr>
          <w:ilvl w:val="0"/>
          <w:numId w:val="4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在质保期内如出现故障，</w:t>
      </w:r>
      <w:r>
        <w:rPr>
          <w:rStyle w:val="98"/>
          <w:rFonts w:ascii="Times New Roman" w:hAnsi="Times New Roman" w:eastAsia="宋体" w:cs="Times New Roman"/>
          <w:sz w:val="24"/>
          <w:szCs w:val="24"/>
        </w:rPr>
        <w:t>乙方</w:t>
      </w:r>
      <w:r>
        <w:rPr>
          <w:rFonts w:ascii="Times New Roman" w:hAnsi="Times New Roman" w:eastAsia="宋体" w:cs="Times New Roman"/>
          <w:sz w:val="24"/>
          <w:szCs w:val="24"/>
        </w:rPr>
        <w:t>应在接到通知后24小时内到现场处理。</w:t>
      </w:r>
    </w:p>
    <w:p>
      <w:pPr>
        <w:pStyle w:val="12"/>
        <w:numPr>
          <w:ilvl w:val="0"/>
          <w:numId w:val="44"/>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售后服务期限：双方签署最终验收文件至少12个月内为免费质保期。</w:t>
      </w:r>
    </w:p>
    <w:p>
      <w:pPr>
        <w:tabs>
          <w:tab w:val="left" w:pos="824"/>
        </w:tabs>
        <w:spacing w:line="360" w:lineRule="auto"/>
        <w:rPr>
          <w:rFonts w:hint="eastAsia" w:ascii="宋体" w:hAnsi="宋体"/>
          <w:sz w:val="24"/>
        </w:rPr>
      </w:pPr>
    </w:p>
    <w:tbl>
      <w:tblPr>
        <w:tblStyle w:val="20"/>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100"/>
        <w:gridCol w:w="2676"/>
        <w:gridCol w:w="658"/>
        <w:gridCol w:w="916"/>
        <w:gridCol w:w="899"/>
        <w:gridCol w:w="957"/>
        <w:gridCol w:w="6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9" w:hRule="atLeast"/>
        </w:trPr>
        <w:tc>
          <w:tcPr>
            <w:tcW w:w="8522" w:type="dxa"/>
            <w:gridSpan w:val="8"/>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正方公共运营小型工程项目清单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9" w:hRule="atLeast"/>
        </w:trPr>
        <w:tc>
          <w:tcPr>
            <w:tcW w:w="5092" w:type="dxa"/>
            <w:gridSpan w:val="4"/>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工程名称：正方深悦湾零星修补工程</w:t>
            </w:r>
          </w:p>
        </w:tc>
        <w:tc>
          <w:tcPr>
            <w:tcW w:w="3430" w:type="dxa"/>
            <w:gridSpan w:val="4"/>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9" w:hRule="atLeast"/>
        </w:trPr>
        <w:tc>
          <w:tcPr>
            <w:tcW w:w="5092" w:type="dxa"/>
            <w:gridSpan w:val="4"/>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所属公司：珠海正方物业管理有限公司</w:t>
            </w:r>
          </w:p>
        </w:tc>
        <w:tc>
          <w:tcPr>
            <w:tcW w:w="3430" w:type="dxa"/>
            <w:gridSpan w:val="4"/>
            <w:tcBorders>
              <w:top w:val="nil"/>
              <w:left w:val="nil"/>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编制日期：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26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项目特征描述</w:t>
            </w:r>
          </w:p>
        </w:tc>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全费用综合单价(元)</w:t>
            </w: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1、水泵故障</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水泵拆除</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1、原水泵保护性拆除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2、拆除水泵移交给甲方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水泵安装</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1、名称:304不锈钢潜水泵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2、规格:Q=20m3/h,H=8m,N=1.6Kw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水泵控制箱电气元器件维修更换</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1、名称：水泵控制箱维修更换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2、工作内容：水泵控制箱电气元器件维修更换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3、其他:详见设计图纸、技术任务书及施工规范</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2、售楼部</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不锈钢爬梯</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1、不锈钢爬梯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2、Φ50*3.0mm不锈钢管、Φ28*2.0mm不锈钢管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3、综合考虑按图纸和规范要求实施、完成这项工程的一切费用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不锈钢预埋件</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1、不锈钢预埋件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2、不锈钢板100*100*6mm厚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0.013</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化学螺栓</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1、化学螺栓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2、规格：M8*110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3、物业管理处</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玻璃雨篷</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1、龙骨:100*100*6镀锌钢通，外饰白防锈漆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2、玻璃:6+0.76PVB+6双层钢化夹胶玻璃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预埋铁件</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1、预埋铁件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2、200*200*12镀锌钢板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0.008</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化学螺栓</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1、化学螺栓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2、规格：M8*110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4、进风口及排风扇</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不锈钢防雨罩</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1、名称：45度600*600*600mm防雨罩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3、厚度：0.8mm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4、其他:详见设计图纸、技术任务书及施工规范</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5、山河景壁</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立面块料拆除</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1、拆除干挂石材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2、拆除废料外运，运距由投标人自行考虑</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石材墙、柱面</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1、安装方式:干挂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2、面层材料品种、规格:浅黄色透光云石板 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墙、柱面装饰板</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1、面层材料品种、规格:2.0厚拉丝不锈钢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2、现场搬运、放样、裁减、折弯成型；清理修补基层面、涂胶、安装、赶平、压实、压边、注玻璃胶、撕保护膜、清理</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8"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5、泳池</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立面块料拆除</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1、拆除瓷砖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2、拆除废料外运，运距由投标人自行考虑</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墙面涂膜防水</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1、防水膜品种:聚合物渗透结晶型水泥基防水涂膜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2、涂膜厚度、遍数:1.5mm厚</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池壁铺贴瓷片</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1、安装方式:镶贴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2、面层材料品种、规格:50*50*6蓝绿色冰裂纹瓷片(深浅拼花)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3、15厚1;2.5水泥砂浆抹灰</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刚性防水套管</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1、名称、类型:泳池水下灯预埋孔及给排水预留孔防水密封维修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2、其他:详见设计图纸、技术任务书及施工规范</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更换老化灯体密封圈</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1、名称：更换老化灯体密封圈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2、工作内容：拆卸灯体，用堵漏王堵塞压实线孔，更换老化灯体密封圈，灯体复位安装时均匀打一圈泳池专用密封胶，均匀挤压密实，修整清理边缘溢出的多余胶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3、其他:详见设计图纸、技术任务书及施工规范</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6、销售中心门前</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1、保护性拆除架空石材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2、人工转运石材堆放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3、包含完成该项内容所有工作及费用并满足设计图纸、规范等要求</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水池清洗</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1、池底及四周反坎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2、人工高压水枪清洗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3、包含完成该项内容所有工作及费用并满足设计图纸、规范等要求</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墙面涂膜防水</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1、防水膜品种:聚合物水泥(JS)防水涂料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2、涂膜厚度、遍数:2.0mm厚</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砂浆保护层</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1、找平层厚度、砂浆种类及强度等级:防水抗裂砂浆 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2、砂浆运输、抹灰、找平、刷水泥浆</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镜面架空板安装</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1、镜面架空板安装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2、材料利旧，人工转运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3、包含完成该项内容所有工作及费用并满足设计图纸、规范等要求</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7、营销中心</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强电线槽线缆堵漏</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1、名称：强电线槽线缆堵漏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2、工作内容：每处堵漏面积约 0.4 平方米，采用专业堵漏王密实处理</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人工挖土方</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1、土类别:一、二类土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2、人工挖土方：挖土，装土，修整边及底</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砖砌集水井</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1、砖品种、规格、强度等级:标准砖 204*115*53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2、运料、淋砖、砂浆运输，砌砖、安放垫块、木砖、铁件等</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水泥砂浆批荡</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1、各层厚度、材料种类及强度等级:抹灰15mm，湿拌砂浆 M10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2、砂浆运输、抹灰、找平、刷水泥浆</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水泵安装</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1、名称:清水泵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2、规格:1寸，370W，扬程16米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1.材质:编织钢芯塑料水管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2.规格:DN32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3.介质:给水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4.切管、组对、粘接，管道及管件安装，水压试验及水冲洗</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8、营销中心后门</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铝合金门保护性拆除</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1、铝合金门保护性拆除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2、重型大门、需考虑人工协助拆装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铝合金门安装</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1、铝合金门安装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2、重型大门、需考虑人工协助拆装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1"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更换地弹簧</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1、更换重型地弹簧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2、承重350KG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3、用于重型玻璃门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4、配套对应天地枢轴配件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5、综合考虑按设计图纸及规范要求、完成这项工程的一切费用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门扇框装饰压线更换</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1、名称:金属装饰线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2、线条材料品种、规格:门扇框装饰压线、定型铝材</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9、小区消防箱</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拆除破损装饰门</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1、拆除破损装饰门 850mm宽*1900mm高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2、拆除废料外运运距综合考虑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3、综合考虑按设计图纸及规范要求、完成这项工程的一切费用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1"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埃特板隐藏消防箱门</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1、埃特板装饰外墙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2、面层：15mm厚埃特板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3、骨架：L50X50X4镀锌角钢、L30X3角钢等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4、综合考虑按设计图纸及规范要求、完成这项工程的一切费用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10、3栋及4栋屋面</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拆装空调百叶</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1、保护性拆装空调百叶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2、材料利旧，措施费用综合考虑</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植筋</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1、植筋 钢筋直径 φ8mm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2、植筋胶植筋，测量、放线、定位、钻孔、清孔、植筋、固化</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梁模板</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1、模板制作 安装、拆除、维护、整理、堆放及场内外运输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2、清理模板粘结物及模内杂物、刷隔离剂等</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零星现浇构件</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1.混凝土种类:预拌(商品)混凝土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2.混凝土强度等级:C20</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0.830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现浇混凝土钢筋</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1、钢筋种类、规格:Ⅲ级钢 Φ10~25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2、制作、绑扎、安装，浇捣混凝土时钢筋维护</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0.034</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砂浆保护层</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1、找平层厚度、砂浆种类及强度等级:防水抗裂砂浆 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2、砂浆运输、抹灰、找平、刷水泥浆</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涂膜防水</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1.防水膜品种:聚氨酯防水涂膜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2.涂膜厚度、遍数:1.5mm</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涂膜防水</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1.防水膜品种:聚合物渗透结晶型水泥基防水涂膜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2.涂膜厚度、遍数:2.0mm厚</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屋面刚性层</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1.刚性层材料种类及强度等级:细石混凝土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2.刚性层厚度:80mm</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钢筋网片</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1.钢筋种类、规格:圆钢 φ8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2.使用部位:屋面</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0.144</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11、挡烟垂壁</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挡烟垂壁</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1、名称：防火布挡烟垂壁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2、工作内容：学校地块因台风损坏挡烟垂壁需更换</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12、小区及学校绿化</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植被清理</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1、拆除损坏地被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2、砍挖、清理场地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3、垃圾清运，运距综合考虑</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栽植胡椒木</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1、花卉种类:胡椒木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2、株高或蓬径:高度：25cm 冠幅：20-25cm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3、单位面积株数:49株/m2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4、养护期:3个月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5、盆苗,冠幅饱满,3分枝以上</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铺种玉龙草</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1、花卉种类:玉龙草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2、筛苗,密铺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4、养护期:3个月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5、筛苗,冠幅饱满,3分枝以上,规格为修剪后规格,密度可以调整,以不露土为原则</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栽植黄金叶</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1、花卉种类:黄金叶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2、株高或蓬径:高度：25cm 冠幅：25cm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3、单位面积株数:49株/m2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4、养护期:3个月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5、盆苗,冠幅饱满,3分枝以上</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13、天花及墙面修复</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铲除油漆面</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1、墙面及天棚漆面及腻子铲除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2、拆除废料外运，运距综合考虑</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1.基层类型:墙面一般抹灰面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2.腻子种类:成品腻子粉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3.刮腻子遍数:二遍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4.油漆品种、刷漆遍数:底油一遍调和漆二遍</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14、营销中心女厕</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人工挖土方</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1、土类别:一、二类土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2、人工挖土方：挖土，装土，修整边及底</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1"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砌筑井</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1.种类、规格:雨水检查井Φ1000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2.砌筑材料品种、规格、强度等级:标准砖 240×115×53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3.盖板材质、规格:铸铁井盖座 DN800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回填方</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1.填方来源:利用方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2.密实度:按设计及规范要求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3.材料品种、规格:土方</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1.材质:UPVC排水管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2.规格:DN200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3.连接形式:粘接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4.安装部位:室外</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水泵安装</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1、名称:污水提升泵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2、规格:380V,4寸，4KW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15、1栋首层</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人工挖土方</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1、土类别:一、二类土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2、人工挖土方：挖土，装土，修整边及底</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2"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砌筑井</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1.种类、规格:雨水检查井Φ700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2.砌筑材料品种、规格、强度等级:标准砖 240×115×53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3.盖板材质、规格:铸铁井盖座 DN600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回填方</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1.填方来源:利用方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2.密实度:按设计及规范要求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3.材料品种、规格:土方</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1.材质:UPVC排水管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2.规格:DN200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3.连接形式:粘接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4.安装部位:室外</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水泵安装</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1、名称:污水提升泵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2、规格:380V,4寸，4KW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4、综合考虑按图纸和规范要求而实施、完成这项工程的一切有关费用</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4"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综合钢脚手架搭拆 高度(m以内) 12.5</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1.搭设脚手架、斜道、上料平台，铺设安全网，铺(翻)脚手板，转运、改制、维修维护，拆除、堆放、整理，外运、归库等</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20.55 </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8" w:hRule="atLeast"/>
        </w:trPr>
        <w:tc>
          <w:tcPr>
            <w:tcW w:w="6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墙柱面活动脚手架</w:t>
            </w:r>
          </w:p>
        </w:tc>
        <w:tc>
          <w:tcPr>
            <w:tcW w:w="26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1.搭设脚手架、斜道、上料平台，铺设安全网，铺(翻)脚手板，转运、改制、维修维护，拆除、堆放、整理，外运、归库等</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3" w:hRule="atLeast"/>
        </w:trPr>
        <w:tc>
          <w:tcPr>
            <w:tcW w:w="4434"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暂列金</w:t>
            </w:r>
          </w:p>
        </w:tc>
        <w:tc>
          <w:tcPr>
            <w:tcW w:w="4088"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3" w:hRule="atLeast"/>
        </w:trPr>
        <w:tc>
          <w:tcPr>
            <w:tcW w:w="4434"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含税总价(税率9%)</w:t>
            </w:r>
          </w:p>
        </w:tc>
        <w:tc>
          <w:tcPr>
            <w:tcW w:w="4088"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32" w:hRule="atLeast"/>
        </w:trPr>
        <w:tc>
          <w:tcPr>
            <w:tcW w:w="8522" w:type="dxa"/>
            <w:gridSpan w:val="8"/>
            <w:tcBorders>
              <w:top w:val="nil"/>
              <w:left w:val="nil"/>
              <w:bottom w:val="nil"/>
              <w:right w:val="nil"/>
            </w:tcBorders>
            <w:noWrap w:val="0"/>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备注：全费用综合单价包括但不限于实施和完成清单项目工程内容所需的直接费、间接费、管理费、利润、税金、规费、安全文明施工费、各类配合费、保险费、所有措施费、大型机械进出场费、运输费（含二次及多次转运费）、融资财务费、所有检验试验费、政策性文件规定调整费用、风险费（包括但不限于如人工涨价风险费、材料涨价风险费等）、本工程相关的各种协调费（包括与所有相关政府部门协调产生的费用）等所有费用，以及施工合同明示或暗示的所有责任、义务和风险，投标人的投标视为是一个有经验的投标人，在对工程充分了解及对风险充分估计后所作的完全投标。结算时全费用综合包干单价不因任何原因而调整。 </w:t>
            </w:r>
          </w:p>
        </w:tc>
      </w:tr>
    </w:tbl>
    <w:p>
      <w:pPr>
        <w:tabs>
          <w:tab w:val="left" w:pos="824"/>
        </w:tabs>
        <w:spacing w:line="360" w:lineRule="auto"/>
        <w:rPr>
          <w:rFonts w:hint="eastAsia" w:ascii="宋体" w:hAnsi="宋体"/>
          <w:sz w:val="24"/>
        </w:rPr>
      </w:pPr>
    </w:p>
    <w:p>
      <w:pPr>
        <w:tabs>
          <w:tab w:val="left" w:pos="824"/>
        </w:tabs>
        <w:spacing w:line="360" w:lineRule="auto"/>
        <w:rPr>
          <w:rFonts w:hint="eastAsia" w:ascii="宋体" w:hAnsi="宋体"/>
          <w:sz w:val="24"/>
        </w:rPr>
      </w:pPr>
    </w:p>
    <w:p>
      <w:pPr>
        <w:pStyle w:val="12"/>
        <w:widowControl/>
        <w:rPr>
          <w:rFonts w:ascii="Times New Roman" w:hAnsi="Times New Roman" w:eastAsia="宋体" w:cs="Times New Roman"/>
          <w:b/>
          <w:sz w:val="24"/>
          <w:szCs w:val="24"/>
        </w:rPr>
      </w:pPr>
      <w:r>
        <w:rPr>
          <w:rFonts w:ascii="Times New Roman" w:hAnsi="Times New Roman" w:eastAsia="宋体" w:cs="Times New Roman"/>
          <w:b/>
          <w:sz w:val="24"/>
          <w:szCs w:val="24"/>
        </w:rPr>
        <w:t>注：</w:t>
      </w:r>
      <w:r>
        <w:rPr>
          <w:rFonts w:ascii="Times New Roman" w:hAnsi="Times New Roman" w:eastAsia="宋体" w:cs="Times New Roman"/>
          <w:b/>
          <w:sz w:val="24"/>
          <w:szCs w:val="24"/>
          <w:u w:val="single"/>
        </w:rPr>
        <w:t>投标单位需看现场后报价，充分了解现有的施工</w:t>
      </w:r>
      <w:r>
        <w:rPr>
          <w:rFonts w:ascii="Times New Roman" w:hAnsi="Times New Roman" w:eastAsia="宋体" w:cs="Times New Roman"/>
          <w:b/>
          <w:sz w:val="24"/>
          <w:szCs w:val="24"/>
          <w:u w:val="single"/>
        </w:rPr>
        <w:t>条件及施工内容</w:t>
      </w:r>
      <w:r>
        <w:rPr>
          <w:rFonts w:ascii="Times New Roman" w:hAnsi="Times New Roman" w:eastAsia="宋体" w:cs="Times New Roman"/>
          <w:b/>
          <w:sz w:val="24"/>
          <w:szCs w:val="24"/>
        </w:rPr>
        <w:t>。</w:t>
      </w:r>
    </w:p>
    <w:p>
      <w:pPr>
        <w:widowControl/>
        <w:spacing w:before="100" w:beforeAutospacing="1" w:after="100" w:afterAutospacing="1" w:line="440" w:lineRule="atLeast"/>
        <w:jc w:val="left"/>
        <w:rPr>
          <w:rFonts w:hint="eastAsia" w:ascii="宋体" w:hAnsi="宋体" w:cs="宋体"/>
          <w:b/>
          <w:kern w:val="0"/>
          <w:sz w:val="22"/>
          <w:szCs w:val="21"/>
        </w:rPr>
      </w:pPr>
    </w:p>
    <w:p>
      <w:pPr>
        <w:pStyle w:val="18"/>
      </w:pPr>
      <w:r>
        <w:t>安全文明施工管理要求</w:t>
      </w:r>
    </w:p>
    <w:p>
      <w:pPr>
        <w:pStyle w:val="2"/>
        <w:numPr>
          <w:ilvl w:val="0"/>
          <w:numId w:val="45"/>
        </w:numPr>
        <w:topLinePunct w:val="0"/>
        <w:ind w:left="0" w:leftChars="0" w:firstLine="0" w:firstLineChars="0"/>
        <w:rPr>
          <w:rFonts w:hint="eastAsia" w:ascii="黑体" w:hAnsi="黑体" w:eastAsia="黑体" w:cs="黑体"/>
          <w:b w:val="0"/>
        </w:rPr>
      </w:pPr>
      <w:r>
        <w:t>施工基本要求</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施工前应进行设计交底工作，并应对施工现场进行核查，了解建设单位和总承包单位的有关规定。</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各工序、各分项工程应自检、互检及交接检。</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施工中，严禁损坏房屋原有的隔热设施，严禁损坏受力钢筋，严禁超荷载集中堆放物品。</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施工人员应遵守有关施工安全、劳动保护、防火、防毒的法律、法规。</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暂停施工时应切断电源；施工用电线路应避开易燃、易爆物品堆放地。</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不得在未作防水的地面蓄水或搅拌水泥，暂停施工时应切断进户水源。</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防水材料、油漆等可燃易燃物品应集中存放并安排专人看护，存放场地应设置足够数量的灭火器。</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施工现场使用的设备必须符合相关安全使用的要求。</w:t>
      </w:r>
    </w:p>
    <w:p>
      <w:pPr>
        <w:pStyle w:val="12"/>
        <w:numPr>
          <w:ilvl w:val="0"/>
          <w:numId w:val="4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对于移交使用的电缆（室外埋地和室内）、电箱等用电设备（设施）应进行保护，确保不被破坏和偷盗。</w:t>
      </w:r>
    </w:p>
    <w:p>
      <w:pPr>
        <w:pStyle w:val="2"/>
        <w:numPr>
          <w:ilvl w:val="0"/>
          <w:numId w:val="45"/>
        </w:numPr>
        <w:topLinePunct w:val="0"/>
        <w:ind w:left="0" w:leftChars="0" w:firstLine="0" w:firstLineChars="0"/>
        <w:rPr>
          <w:rFonts w:hint="eastAsia" w:ascii="黑体" w:hAnsi="黑体" w:eastAsia="黑体" w:cs="黑体"/>
          <w:b w:val="0"/>
        </w:rPr>
      </w:pPr>
      <w:r>
        <w:t>文明施工和现场环境的要求</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施工人员应衣着整齐。</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施工人员应服从建设单位和总承包单位的治安保卫人员的监督、管理。</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应控制粉尘、污染物、噪声、振动对相邻居民、居民区和城市环境的污染及危害。</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施工堆料不得占用楼道内的公共空间，封堵紧急出口。</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室外堆料应遵守物业管理规定，避开公共通道、绿化地等市政公用设施。</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工程垃圾应密封包装，并放在指定的建筑垃圾堆放地并及时、定时清运干净。</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不得堵塞、破坏上下水管道、水电井等公共设施，不得损坏楼内各种公共标识。</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施工现场严禁焚烧各类废弃物。</w:t>
      </w:r>
    </w:p>
    <w:p>
      <w:pPr>
        <w:pStyle w:val="12"/>
        <w:numPr>
          <w:ilvl w:val="0"/>
          <w:numId w:val="4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工程验收前应将施工现场清理干净。</w:t>
      </w:r>
    </w:p>
    <w:p>
      <w:pPr>
        <w:pStyle w:val="2"/>
        <w:numPr>
          <w:ilvl w:val="0"/>
          <w:numId w:val="45"/>
        </w:numPr>
        <w:topLinePunct w:val="0"/>
        <w:ind w:left="0" w:leftChars="0" w:firstLine="0" w:firstLineChars="0"/>
        <w:rPr>
          <w:rFonts w:hint="eastAsia" w:ascii="黑体" w:hAnsi="黑体" w:eastAsia="黑体" w:cs="黑体"/>
          <w:b w:val="0"/>
        </w:rPr>
      </w:pPr>
      <w:r>
        <w:t>成品保护要求</w:t>
      </w:r>
    </w:p>
    <w:p>
      <w:pPr>
        <w:pStyle w:val="12"/>
        <w:numPr>
          <w:ilvl w:val="0"/>
          <w:numId w:val="4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材料运输使用电梯时，应对电梯采取保护措施。</w:t>
      </w:r>
    </w:p>
    <w:p>
      <w:pPr>
        <w:pStyle w:val="12"/>
        <w:numPr>
          <w:ilvl w:val="0"/>
          <w:numId w:val="4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材料搬运时要避免损坏楼道内顶棚、墙壁、扶手、窗户和楼道门等各种公共设施。</w:t>
      </w:r>
    </w:p>
    <w:p>
      <w:pPr>
        <w:pStyle w:val="12"/>
        <w:numPr>
          <w:ilvl w:val="0"/>
          <w:numId w:val="4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对邮箱、消防、供电、电视、报警、网络等公共设施应采取保护措施。</w:t>
      </w:r>
    </w:p>
    <w:p>
      <w:pPr>
        <w:pStyle w:val="12"/>
        <w:numPr>
          <w:ilvl w:val="0"/>
          <w:numId w:val="4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各工种施工时不得污染、损坏其他工种或其他单位的半成品、成品。</w:t>
      </w:r>
    </w:p>
    <w:p>
      <w:pPr>
        <w:pStyle w:val="2"/>
        <w:numPr>
          <w:ilvl w:val="0"/>
          <w:numId w:val="45"/>
        </w:numPr>
        <w:topLinePunct w:val="0"/>
        <w:ind w:left="0" w:leftChars="0" w:firstLine="0" w:firstLineChars="0"/>
        <w:rPr>
          <w:rFonts w:hint="eastAsia" w:ascii="黑体" w:hAnsi="黑体" w:eastAsia="黑体" w:cs="黑体"/>
          <w:b w:val="0"/>
        </w:rPr>
      </w:pPr>
      <w:r>
        <w:t>施工现场防火安全要求</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施工单位必须制定施工防火安全制度，施工人员必须严格遵守。</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装修施工过程中，装修材料应远离火源，并应派专人负责施工现场的防火安全，且不得影响原有消防设施的试验功能。</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施工现场不得大量积存可燃材料；易燃物品应相对集中放置在安全区域并应有明显标识。</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易燃、易爆材料的施工，应避免敲打、碰撞、摩擦等可能出现火花的操作，配套使用的照明灯、电动机、电气开关应有安全防爆装置。</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使用油漆、天那水等挥发性材料时，应随时封闭容器；擦拭后的棉纱等物品应集中堆放且远离火源。</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施工现场动用电气焊等明火时，必须清除周围及焊渣滴落区的可燃物质，并设专人监督。</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施工现场必须配备灭火器、沙箱或其他灭火工具。</w:t>
      </w:r>
    </w:p>
    <w:p>
      <w:pPr>
        <w:pStyle w:val="12"/>
        <w:numPr>
          <w:ilvl w:val="0"/>
          <w:numId w:val="49"/>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严禁在施工现场吸烟。</w:t>
      </w:r>
    </w:p>
    <w:p>
      <w:pPr>
        <w:pStyle w:val="2"/>
        <w:numPr>
          <w:ilvl w:val="0"/>
          <w:numId w:val="45"/>
        </w:numPr>
        <w:topLinePunct w:val="0"/>
        <w:ind w:left="0" w:leftChars="0" w:firstLine="0" w:firstLineChars="0"/>
        <w:rPr>
          <w:rFonts w:hint="eastAsia" w:ascii="黑体" w:hAnsi="黑体" w:eastAsia="黑体" w:cs="黑体"/>
          <w:b w:val="0"/>
        </w:rPr>
      </w:pPr>
      <w:r>
        <w:t>施工现场用电要求</w:t>
      </w:r>
    </w:p>
    <w:p>
      <w:pPr>
        <w:pStyle w:val="12"/>
        <w:numPr>
          <w:ilvl w:val="0"/>
          <w:numId w:val="5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施工现场应设立临时施工用电系统，照明用电与动力用电需分开设置。</w:t>
      </w:r>
    </w:p>
    <w:p>
      <w:pPr>
        <w:pStyle w:val="12"/>
        <w:numPr>
          <w:ilvl w:val="0"/>
          <w:numId w:val="5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安装、维修或拆除临时施工用电系统，应有持证电工完成。</w:t>
      </w:r>
    </w:p>
    <w:p>
      <w:pPr>
        <w:pStyle w:val="12"/>
        <w:numPr>
          <w:ilvl w:val="0"/>
          <w:numId w:val="5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临时施工供电开关箱应装设漏电保护器，进入开关箱的电源线不得用插销连接；箱体结构、箱内电器设置及使用应符合规范要求；箱体的安装位置、高度及周边通道应符合规范要求。</w:t>
      </w:r>
    </w:p>
    <w:p>
      <w:pPr>
        <w:pStyle w:val="12"/>
        <w:numPr>
          <w:ilvl w:val="0"/>
          <w:numId w:val="5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临时用电线路应避开易燃、易爆物品堆放地。</w:t>
      </w:r>
    </w:p>
    <w:p>
      <w:pPr>
        <w:pStyle w:val="12"/>
        <w:numPr>
          <w:ilvl w:val="0"/>
          <w:numId w:val="5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灯具金属外壳应接保护零线，灯具与地面、易燃物间的距离应符合规范要求。</w:t>
      </w:r>
    </w:p>
    <w:p>
      <w:pPr>
        <w:pStyle w:val="12"/>
        <w:numPr>
          <w:ilvl w:val="0"/>
          <w:numId w:val="50"/>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暂停施工时应切断电源。</w:t>
      </w:r>
    </w:p>
    <w:p>
      <w:pPr>
        <w:rPr>
          <w:rFonts w:ascii="宋体" w:hAnsi="宋体" w:cs="宋体"/>
          <w:kern w:val="0"/>
          <w:sz w:val="24"/>
          <w:szCs w:val="24"/>
        </w:rPr>
      </w:pPr>
    </w:p>
    <w:p>
      <w:pPr>
        <w:pStyle w:val="2"/>
        <w:numPr>
          <w:ilvl w:val="0"/>
          <w:numId w:val="45"/>
        </w:numPr>
        <w:topLinePunct w:val="0"/>
        <w:ind w:left="0" w:leftChars="0" w:firstLine="0" w:firstLineChars="0"/>
        <w:rPr>
          <w:rFonts w:hint="eastAsia" w:ascii="黑体" w:hAnsi="黑体" w:eastAsia="黑体" w:cs="黑体"/>
          <w:b w:val="0"/>
        </w:rPr>
      </w:pPr>
      <w:r>
        <w:t>施工现场用水要求</w:t>
      </w:r>
    </w:p>
    <w:p>
      <w:pPr>
        <w:pStyle w:val="12"/>
        <w:numPr>
          <w:ilvl w:val="0"/>
          <w:numId w:val="5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不得在未作防水的地面蓄水。</w:t>
      </w:r>
    </w:p>
    <w:p>
      <w:pPr>
        <w:pStyle w:val="12"/>
        <w:numPr>
          <w:ilvl w:val="0"/>
          <w:numId w:val="5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临时用水管不得有破损、滴漏。</w:t>
      </w:r>
    </w:p>
    <w:p>
      <w:pPr>
        <w:pStyle w:val="12"/>
        <w:numPr>
          <w:ilvl w:val="0"/>
          <w:numId w:val="5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暂停施工时应切断水源。</w:t>
      </w:r>
    </w:p>
    <w:p>
      <w:pPr>
        <w:pStyle w:val="2"/>
        <w:numPr>
          <w:ilvl w:val="0"/>
          <w:numId w:val="45"/>
        </w:numPr>
        <w:topLinePunct w:val="0"/>
        <w:ind w:left="0" w:leftChars="0" w:firstLine="0" w:firstLineChars="0"/>
        <w:rPr>
          <w:rFonts w:hint="eastAsia" w:ascii="黑体" w:hAnsi="黑体" w:eastAsia="黑体" w:cs="黑体"/>
          <w:b w:val="0"/>
        </w:rPr>
      </w:pPr>
      <w:r>
        <w:t>施工机具的安全使用要求</w:t>
      </w:r>
    </w:p>
    <w:p>
      <w:pPr>
        <w:pStyle w:val="12"/>
        <w:numPr>
          <w:ilvl w:val="0"/>
          <w:numId w:val="5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平刨应设置护手和保护罩等安全装置；保护零线应单独设置，并安装漏电保护装置；不得使用同台电机驱动多种刃具、钻具的多功能木工机具。</w:t>
      </w:r>
    </w:p>
    <w:p>
      <w:pPr>
        <w:pStyle w:val="12"/>
        <w:numPr>
          <w:ilvl w:val="0"/>
          <w:numId w:val="5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圆盘锯应设置防护罩、分料器、防护挡板等安全装置；保护零线应单独设置，并安装漏电保护装置；不得使用同台电机驱动多种刃具、钻具的多功能木工机具。</w:t>
      </w:r>
    </w:p>
    <w:p>
      <w:pPr>
        <w:pStyle w:val="12"/>
        <w:numPr>
          <w:ilvl w:val="0"/>
          <w:numId w:val="5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Ⅰ类手持电动工具应单独设置保护零线，并应安装漏电保护装置；使用Ⅰ类手持电动工具应按规定戴绝缘手套、穿绝缘鞋；手持电动工具的电源线应保持出厂时的状态，不得接长使用。</w:t>
      </w:r>
    </w:p>
    <w:p>
      <w:pPr>
        <w:pStyle w:val="12"/>
        <w:numPr>
          <w:ilvl w:val="0"/>
          <w:numId w:val="52"/>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电焊机的保护零线应单独设置，并应安装漏电保护装置；应设置二次空载降压保护装置；电焊机一次线长度不得超过5m，并应穿管保护，二次线应采用防水橡皮护套铜芯电缆；接线柱应设置防护罩。</w:t>
      </w:r>
    </w:p>
    <w:p>
      <w:pPr>
        <w:pStyle w:val="2"/>
        <w:numPr>
          <w:ilvl w:val="0"/>
          <w:numId w:val="45"/>
        </w:numPr>
        <w:topLinePunct w:val="0"/>
        <w:ind w:left="0" w:leftChars="0" w:firstLine="0" w:firstLineChars="0"/>
        <w:rPr>
          <w:rFonts w:hint="eastAsia" w:ascii="黑体" w:hAnsi="黑体" w:eastAsia="黑体" w:cs="黑体"/>
          <w:b w:val="0"/>
        </w:rPr>
      </w:pPr>
      <w:r>
        <w:t>高处作业的安全要求</w:t>
      </w:r>
    </w:p>
    <w:p>
      <w:pPr>
        <w:pStyle w:val="12"/>
        <w:numPr>
          <w:ilvl w:val="0"/>
          <w:numId w:val="53"/>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攀登作业的梯脚底部应坚实，不得垫高使用；折梯使用时上部夹角应为35°-45°，并应设有可靠的拉撑装置；梯子的材质和制作质量应符合规范要求。</w:t>
      </w:r>
    </w:p>
    <w:p>
      <w:pPr>
        <w:pStyle w:val="12"/>
        <w:numPr>
          <w:ilvl w:val="0"/>
          <w:numId w:val="53"/>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悬空作业人员应系挂安全带、佩戴工具袋，使用的索具、吊具应经验收合格才能使用，同时应采取可靠的安全措施进行防护。</w:t>
      </w:r>
    </w:p>
    <w:p>
      <w:pPr>
        <w:widowControl w:val="0"/>
        <w:adjustRightInd w:val="0"/>
        <w:spacing w:before="320" w:line="300" w:lineRule="auto"/>
        <w:jc w:val="both"/>
        <w:outlineLvl w:val="9"/>
        <w:rPr>
          <w:rFonts w:ascii="Times New Roman" w:hAnsi="Times New Roman" w:eastAsia="黑体" w:cs="Times New Roman"/>
          <w:color w:val="000000"/>
          <w:kern w:val="44"/>
          <w:sz w:val="32"/>
          <w:szCs w:val="44"/>
          <w:lang w:bidi="ar-SA"/>
        </w:rPr>
      </w:pPr>
    </w:p>
    <w:p>
      <w:pPr>
        <w:pStyle w:val="2"/>
        <w:numPr>
          <w:ilvl w:val="0"/>
          <w:numId w:val="45"/>
        </w:numPr>
        <w:topLinePunct w:val="0"/>
        <w:ind w:left="0" w:leftChars="0" w:firstLine="0" w:firstLineChars="0"/>
        <w:rPr>
          <w:rFonts w:hint="eastAsia" w:ascii="黑体" w:hAnsi="黑体" w:eastAsia="黑体" w:cs="黑体"/>
          <w:b w:val="0"/>
        </w:rPr>
      </w:pPr>
      <w:r>
        <w:t>对装饰装修工程施工中相关安全的处罚标准：</w:t>
      </w:r>
    </w:p>
    <w:p>
      <w:pPr>
        <w:widowControl/>
        <w:spacing w:before="100" w:beforeAutospacing="1" w:after="100" w:afterAutospacing="1" w:line="440" w:lineRule="atLeast"/>
        <w:jc w:val="left"/>
        <w:rPr>
          <w:rFonts w:hint="eastAsia" w:ascii="宋体" w:hAnsi="宋体" w:cs="宋体"/>
          <w:kern w:val="0"/>
          <w:sz w:val="24"/>
          <w:szCs w:val="24"/>
        </w:rPr>
      </w:pPr>
    </w:p>
    <w:p>
      <w:pPr>
        <w:widowControl/>
        <w:spacing w:before="100" w:beforeAutospacing="1" w:after="100" w:afterAutospacing="1" w:line="440" w:lineRule="atLeast"/>
        <w:jc w:val="left"/>
        <w:rPr>
          <w:rFonts w:hint="eastAsia" w:ascii="宋体" w:hAnsi="宋体" w:cs="宋体"/>
          <w:kern w:val="0"/>
          <w:sz w:val="24"/>
          <w:szCs w:val="24"/>
        </w:rPr>
      </w:pPr>
    </w:p>
    <w:p>
      <w:pPr>
        <w:widowControl/>
        <w:spacing w:before="100" w:beforeAutospacing="1" w:after="100" w:afterAutospacing="1" w:line="440" w:lineRule="atLeast"/>
        <w:jc w:val="left"/>
        <w:rPr>
          <w:rFonts w:hint="eastAsia" w:ascii="宋体" w:hAnsi="宋体" w:cs="宋体"/>
          <w:kern w:val="0"/>
          <w:sz w:val="24"/>
          <w:szCs w:val="24"/>
        </w:rPr>
      </w:pPr>
    </w:p>
    <w:p>
      <w:pPr>
        <w:widowControl/>
        <w:spacing w:before="100" w:beforeAutospacing="1" w:after="100" w:afterAutospacing="1" w:line="440" w:lineRule="atLeast"/>
        <w:jc w:val="left"/>
        <w:rPr>
          <w:rFonts w:hint="eastAsia" w:ascii="宋体" w:hAnsi="宋体" w:cs="宋体"/>
          <w:kern w:val="0"/>
          <w:sz w:val="24"/>
          <w:szCs w:val="24"/>
        </w:rPr>
      </w:pPr>
    </w:p>
    <w:tbl>
      <w:tblPr>
        <w:tblStyle w:val="20"/>
        <w:tblW w:w="852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3393"/>
        <w:gridCol w:w="3122"/>
        <w:gridCol w:w="108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1" w:hRule="atLeast"/>
        </w:trPr>
        <w:tc>
          <w:tcPr>
            <w:tcW w:w="917" w:type="dxa"/>
            <w:noWrap w:val="0"/>
            <w:vAlign w:val="center"/>
          </w:tcPr>
          <w:p>
            <w:pPr>
              <w:jc w:val="center"/>
              <w:rPr>
                <w:rFonts w:ascii="宋体" w:hAnsi="宋体"/>
                <w:szCs w:val="21"/>
              </w:rPr>
            </w:pPr>
            <w:r>
              <w:rPr>
                <w:rFonts w:hint="eastAsia" w:ascii="宋体" w:hAnsi="宋体" w:cs="宋体"/>
                <w:kern w:val="0"/>
                <w:sz w:val="24"/>
                <w:szCs w:val="24"/>
              </w:rPr>
              <w:t xml:space="preserve">                               </w:t>
            </w:r>
            <w:r>
              <w:rPr>
                <w:rFonts w:hint="eastAsia" w:ascii="宋体" w:hAnsi="宋体"/>
                <w:szCs w:val="21"/>
              </w:rPr>
              <w:t>序号</w:t>
            </w:r>
          </w:p>
        </w:tc>
        <w:tc>
          <w:tcPr>
            <w:tcW w:w="3393" w:type="dxa"/>
            <w:noWrap w:val="0"/>
            <w:vAlign w:val="center"/>
          </w:tcPr>
          <w:p>
            <w:pPr>
              <w:spacing w:line="360" w:lineRule="auto"/>
              <w:jc w:val="center"/>
              <w:rPr>
                <w:rFonts w:ascii="宋体" w:hAnsi="宋体"/>
                <w:szCs w:val="21"/>
              </w:rPr>
            </w:pPr>
            <w:r>
              <w:rPr>
                <w:rFonts w:hint="eastAsia" w:ascii="宋体" w:hAnsi="宋体"/>
                <w:szCs w:val="21"/>
              </w:rPr>
              <w:t>整改项目内容</w:t>
            </w:r>
          </w:p>
        </w:tc>
        <w:tc>
          <w:tcPr>
            <w:tcW w:w="3122" w:type="dxa"/>
            <w:noWrap w:val="0"/>
            <w:vAlign w:val="center"/>
          </w:tcPr>
          <w:p>
            <w:pPr>
              <w:spacing w:line="360" w:lineRule="auto"/>
              <w:jc w:val="center"/>
              <w:rPr>
                <w:rFonts w:ascii="宋体" w:hAnsi="宋体"/>
                <w:szCs w:val="21"/>
              </w:rPr>
            </w:pPr>
            <w:r>
              <w:rPr>
                <w:rFonts w:hint="eastAsia" w:ascii="宋体" w:hAnsi="宋体"/>
                <w:szCs w:val="21"/>
              </w:rPr>
              <w:t>处罚标准（人民币）</w:t>
            </w:r>
          </w:p>
        </w:tc>
        <w:tc>
          <w:tcPr>
            <w:tcW w:w="1088" w:type="dxa"/>
            <w:noWrap w:val="0"/>
            <w:vAlign w:val="center"/>
          </w:tcPr>
          <w:p>
            <w:pPr>
              <w:spacing w:line="360" w:lineRule="auto"/>
              <w:jc w:val="center"/>
              <w:rPr>
                <w:rFonts w:ascii="宋体" w:hAnsi="宋体"/>
                <w:szCs w:val="21"/>
              </w:rPr>
            </w:pPr>
            <w:r>
              <w:rPr>
                <w:rFonts w:hint="eastAsia" w:ascii="宋体" w:hAnsi="宋体"/>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1</w:t>
            </w:r>
          </w:p>
        </w:tc>
        <w:tc>
          <w:tcPr>
            <w:tcW w:w="3393" w:type="dxa"/>
            <w:noWrap w:val="0"/>
            <w:vAlign w:val="center"/>
          </w:tcPr>
          <w:p>
            <w:pPr>
              <w:rPr>
                <w:rFonts w:ascii="宋体" w:hAnsi="宋体"/>
                <w:szCs w:val="21"/>
              </w:rPr>
            </w:pPr>
            <w:r>
              <w:rPr>
                <w:rFonts w:hint="eastAsia" w:ascii="宋体" w:hAnsi="宋体"/>
                <w:szCs w:val="21"/>
              </w:rPr>
              <w:t>未办手续擅自进场施工，除补办手续外还需进行罚款。</w:t>
            </w:r>
          </w:p>
        </w:tc>
        <w:tc>
          <w:tcPr>
            <w:tcW w:w="3122" w:type="dxa"/>
            <w:noWrap w:val="0"/>
            <w:vAlign w:val="center"/>
          </w:tcPr>
          <w:p>
            <w:pPr>
              <w:spacing w:line="360" w:lineRule="auto"/>
              <w:rPr>
                <w:rFonts w:ascii="宋体" w:hAnsi="宋体"/>
                <w:bCs/>
                <w:szCs w:val="21"/>
              </w:rPr>
            </w:pPr>
            <w:r>
              <w:rPr>
                <w:rFonts w:hint="eastAsia" w:ascii="宋体" w:hAnsi="宋体"/>
                <w:bCs/>
                <w:szCs w:val="21"/>
              </w:rPr>
              <w:t>300元/每次</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2</w:t>
            </w:r>
          </w:p>
        </w:tc>
        <w:tc>
          <w:tcPr>
            <w:tcW w:w="3393" w:type="dxa"/>
            <w:noWrap w:val="0"/>
            <w:vAlign w:val="center"/>
          </w:tcPr>
          <w:p>
            <w:pPr>
              <w:spacing w:line="360" w:lineRule="auto"/>
              <w:rPr>
                <w:rFonts w:ascii="宋体" w:hAnsi="宋体"/>
                <w:szCs w:val="21"/>
              </w:rPr>
            </w:pPr>
            <w:r>
              <w:rPr>
                <w:rFonts w:hint="eastAsia" w:ascii="宋体" w:hAnsi="宋体"/>
                <w:szCs w:val="21"/>
              </w:rPr>
              <w:t>施工现场未按要求进行围蔽。</w:t>
            </w:r>
          </w:p>
        </w:tc>
        <w:tc>
          <w:tcPr>
            <w:tcW w:w="3122" w:type="dxa"/>
            <w:noWrap w:val="0"/>
            <w:vAlign w:val="center"/>
          </w:tcPr>
          <w:p>
            <w:pPr>
              <w:spacing w:line="360" w:lineRule="auto"/>
              <w:rPr>
                <w:rFonts w:ascii="宋体" w:hAnsi="宋体"/>
                <w:bCs/>
                <w:szCs w:val="21"/>
              </w:rPr>
            </w:pPr>
            <w:r>
              <w:rPr>
                <w:rFonts w:hint="eastAsia" w:ascii="宋体" w:hAnsi="宋体"/>
                <w:bCs/>
                <w:szCs w:val="21"/>
              </w:rPr>
              <w:t>1000元/每处</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3</w:t>
            </w:r>
          </w:p>
        </w:tc>
        <w:tc>
          <w:tcPr>
            <w:tcW w:w="3393" w:type="dxa"/>
            <w:noWrap w:val="0"/>
            <w:vAlign w:val="center"/>
          </w:tcPr>
          <w:p>
            <w:pPr>
              <w:spacing w:line="360" w:lineRule="auto"/>
              <w:rPr>
                <w:rFonts w:ascii="宋体" w:hAnsi="宋体"/>
                <w:bCs/>
                <w:szCs w:val="21"/>
              </w:rPr>
            </w:pPr>
            <w:r>
              <w:rPr>
                <w:rFonts w:hint="eastAsia" w:ascii="宋体" w:hAnsi="宋体"/>
                <w:bCs/>
                <w:szCs w:val="21"/>
              </w:rPr>
              <w:t>施工现场人为破坏绿化草地。</w:t>
            </w:r>
          </w:p>
        </w:tc>
        <w:tc>
          <w:tcPr>
            <w:tcW w:w="3122" w:type="dxa"/>
            <w:noWrap w:val="0"/>
            <w:vAlign w:val="center"/>
          </w:tcPr>
          <w:p>
            <w:pPr>
              <w:spacing w:line="360" w:lineRule="auto"/>
              <w:rPr>
                <w:rFonts w:ascii="宋体" w:hAnsi="宋体"/>
                <w:bCs/>
                <w:szCs w:val="21"/>
              </w:rPr>
            </w:pPr>
            <w:r>
              <w:rPr>
                <w:rFonts w:hint="eastAsia" w:ascii="宋体" w:hAnsi="宋体"/>
                <w:bCs/>
                <w:szCs w:val="21"/>
              </w:rPr>
              <w:t>300元/每平米/每处</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4</w:t>
            </w:r>
          </w:p>
        </w:tc>
        <w:tc>
          <w:tcPr>
            <w:tcW w:w="3393" w:type="dxa"/>
            <w:noWrap w:val="0"/>
            <w:vAlign w:val="center"/>
          </w:tcPr>
          <w:p>
            <w:pPr>
              <w:rPr>
                <w:rFonts w:ascii="宋体" w:hAnsi="宋体"/>
                <w:bCs/>
                <w:szCs w:val="21"/>
              </w:rPr>
            </w:pPr>
            <w:r>
              <w:rPr>
                <w:rFonts w:hint="eastAsia" w:ascii="宋体" w:hAnsi="宋体"/>
                <w:bCs/>
                <w:szCs w:val="21"/>
              </w:rPr>
              <w:t>刷漆、喷漆作业将漆涂在地面或墙面未及时进行清理。</w:t>
            </w:r>
          </w:p>
        </w:tc>
        <w:tc>
          <w:tcPr>
            <w:tcW w:w="3122" w:type="dxa"/>
            <w:noWrap w:val="0"/>
            <w:vAlign w:val="center"/>
          </w:tcPr>
          <w:p>
            <w:pPr>
              <w:spacing w:line="360" w:lineRule="auto"/>
              <w:rPr>
                <w:rFonts w:ascii="宋体" w:hAnsi="宋体"/>
                <w:bCs/>
                <w:szCs w:val="21"/>
              </w:rPr>
            </w:pPr>
            <w:r>
              <w:rPr>
                <w:rFonts w:hint="eastAsia" w:ascii="宋体" w:hAnsi="宋体"/>
                <w:bCs/>
                <w:szCs w:val="21"/>
              </w:rPr>
              <w:t>300元/每平米/每处</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5</w:t>
            </w:r>
          </w:p>
        </w:tc>
        <w:tc>
          <w:tcPr>
            <w:tcW w:w="3393" w:type="dxa"/>
            <w:noWrap w:val="0"/>
            <w:vAlign w:val="center"/>
          </w:tcPr>
          <w:p>
            <w:pPr>
              <w:spacing w:line="360" w:lineRule="auto"/>
              <w:rPr>
                <w:rFonts w:ascii="宋体" w:hAnsi="宋体"/>
                <w:bCs/>
                <w:szCs w:val="21"/>
              </w:rPr>
            </w:pPr>
            <w:r>
              <w:rPr>
                <w:rFonts w:hint="eastAsia" w:ascii="宋体" w:hAnsi="宋体"/>
                <w:bCs/>
                <w:szCs w:val="21"/>
              </w:rPr>
              <w:t>未按要求随意堆放施工材料。</w:t>
            </w:r>
          </w:p>
        </w:tc>
        <w:tc>
          <w:tcPr>
            <w:tcW w:w="3122" w:type="dxa"/>
            <w:noWrap w:val="0"/>
            <w:vAlign w:val="center"/>
          </w:tcPr>
          <w:p>
            <w:pPr>
              <w:spacing w:line="360" w:lineRule="auto"/>
              <w:rPr>
                <w:rFonts w:ascii="宋体" w:hAnsi="宋体"/>
                <w:bCs/>
                <w:szCs w:val="21"/>
              </w:rPr>
            </w:pPr>
            <w:r>
              <w:rPr>
                <w:rFonts w:hint="eastAsia" w:ascii="宋体" w:hAnsi="宋体"/>
                <w:bCs/>
                <w:szCs w:val="21"/>
              </w:rPr>
              <w:t>500元/每次/每处</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6</w:t>
            </w:r>
          </w:p>
        </w:tc>
        <w:tc>
          <w:tcPr>
            <w:tcW w:w="3393" w:type="dxa"/>
            <w:noWrap w:val="0"/>
            <w:vAlign w:val="center"/>
          </w:tcPr>
          <w:p>
            <w:pPr>
              <w:rPr>
                <w:rFonts w:ascii="宋体" w:hAnsi="宋体"/>
                <w:bCs/>
                <w:szCs w:val="21"/>
              </w:rPr>
            </w:pPr>
            <w:r>
              <w:rPr>
                <w:rFonts w:hint="eastAsia" w:ascii="宋体" w:hAnsi="宋体"/>
                <w:bCs/>
                <w:szCs w:val="21"/>
              </w:rPr>
              <w:t>未按要求随意堆放施工垃圾，未按要求及时清运施工垃圾。</w:t>
            </w:r>
          </w:p>
        </w:tc>
        <w:tc>
          <w:tcPr>
            <w:tcW w:w="3122" w:type="dxa"/>
            <w:noWrap w:val="0"/>
            <w:vAlign w:val="center"/>
          </w:tcPr>
          <w:p>
            <w:pPr>
              <w:spacing w:line="360" w:lineRule="auto"/>
              <w:rPr>
                <w:rFonts w:ascii="宋体" w:hAnsi="宋体"/>
                <w:bCs/>
                <w:szCs w:val="21"/>
              </w:rPr>
            </w:pPr>
            <w:r>
              <w:rPr>
                <w:rFonts w:hint="eastAsia" w:ascii="宋体" w:hAnsi="宋体"/>
                <w:bCs/>
                <w:szCs w:val="21"/>
              </w:rPr>
              <w:t>500元/每次/每车</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7</w:t>
            </w:r>
          </w:p>
        </w:tc>
        <w:tc>
          <w:tcPr>
            <w:tcW w:w="3393" w:type="dxa"/>
            <w:noWrap w:val="0"/>
            <w:vAlign w:val="center"/>
          </w:tcPr>
          <w:p>
            <w:pPr>
              <w:rPr>
                <w:rFonts w:ascii="宋体" w:hAnsi="宋体"/>
                <w:bCs/>
                <w:szCs w:val="21"/>
              </w:rPr>
            </w:pPr>
            <w:r>
              <w:rPr>
                <w:rFonts w:hint="eastAsia" w:ascii="宋体" w:hAnsi="宋体"/>
                <w:bCs/>
                <w:szCs w:val="21"/>
              </w:rPr>
              <w:t>施工人员未佩戴临时施工证进场施工。</w:t>
            </w:r>
          </w:p>
        </w:tc>
        <w:tc>
          <w:tcPr>
            <w:tcW w:w="3122" w:type="dxa"/>
            <w:noWrap w:val="0"/>
            <w:vAlign w:val="center"/>
          </w:tcPr>
          <w:p>
            <w:pPr>
              <w:spacing w:line="360" w:lineRule="auto"/>
              <w:rPr>
                <w:rFonts w:ascii="宋体" w:hAnsi="宋体"/>
                <w:bCs/>
                <w:szCs w:val="21"/>
              </w:rPr>
            </w:pPr>
            <w:r>
              <w:rPr>
                <w:rFonts w:hint="eastAsia" w:ascii="宋体" w:hAnsi="宋体"/>
                <w:bCs/>
                <w:szCs w:val="21"/>
              </w:rPr>
              <w:t>100元/每人</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8</w:t>
            </w:r>
          </w:p>
        </w:tc>
        <w:tc>
          <w:tcPr>
            <w:tcW w:w="3393" w:type="dxa"/>
            <w:noWrap w:val="0"/>
            <w:vAlign w:val="center"/>
          </w:tcPr>
          <w:p>
            <w:pPr>
              <w:rPr>
                <w:rFonts w:ascii="宋体" w:hAnsi="宋体"/>
                <w:bCs/>
                <w:szCs w:val="21"/>
              </w:rPr>
            </w:pPr>
            <w:r>
              <w:rPr>
                <w:rFonts w:hint="eastAsia" w:ascii="宋体" w:hAnsi="宋体"/>
                <w:bCs/>
                <w:szCs w:val="21"/>
              </w:rPr>
              <w:t>超时施工或未在规定时间内施工并发出噪音，整改直至责令停工</w:t>
            </w:r>
          </w:p>
        </w:tc>
        <w:tc>
          <w:tcPr>
            <w:tcW w:w="3122" w:type="dxa"/>
            <w:noWrap w:val="0"/>
            <w:vAlign w:val="center"/>
          </w:tcPr>
          <w:p>
            <w:pPr>
              <w:spacing w:line="360" w:lineRule="auto"/>
              <w:rPr>
                <w:rFonts w:ascii="宋体" w:hAnsi="宋体"/>
                <w:bCs/>
                <w:szCs w:val="21"/>
              </w:rPr>
            </w:pPr>
            <w:r>
              <w:rPr>
                <w:rFonts w:hint="eastAsia" w:ascii="宋体" w:hAnsi="宋体"/>
                <w:bCs/>
                <w:szCs w:val="21"/>
              </w:rPr>
              <w:t>300元/每人/每次</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9</w:t>
            </w:r>
          </w:p>
        </w:tc>
        <w:tc>
          <w:tcPr>
            <w:tcW w:w="3393" w:type="dxa"/>
            <w:noWrap w:val="0"/>
            <w:vAlign w:val="center"/>
          </w:tcPr>
          <w:p>
            <w:pPr>
              <w:rPr>
                <w:rFonts w:ascii="宋体" w:hAnsi="宋体"/>
                <w:bCs/>
                <w:szCs w:val="21"/>
              </w:rPr>
            </w:pPr>
            <w:r>
              <w:rPr>
                <w:rFonts w:hint="eastAsia" w:ascii="宋体" w:hAnsi="宋体"/>
                <w:bCs/>
                <w:szCs w:val="21"/>
              </w:rPr>
              <w:t>施工人员违规使用水、电</w:t>
            </w:r>
          </w:p>
        </w:tc>
        <w:tc>
          <w:tcPr>
            <w:tcW w:w="3122" w:type="dxa"/>
            <w:noWrap w:val="0"/>
            <w:vAlign w:val="center"/>
          </w:tcPr>
          <w:p>
            <w:pPr>
              <w:spacing w:line="360" w:lineRule="auto"/>
              <w:rPr>
                <w:rFonts w:ascii="宋体" w:hAnsi="宋体"/>
                <w:bCs/>
                <w:szCs w:val="21"/>
              </w:rPr>
            </w:pPr>
            <w:r>
              <w:rPr>
                <w:rFonts w:hint="eastAsia" w:ascii="宋体" w:hAnsi="宋体"/>
                <w:bCs/>
                <w:szCs w:val="21"/>
              </w:rPr>
              <w:t>300元/每人/每次</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10</w:t>
            </w:r>
          </w:p>
        </w:tc>
        <w:tc>
          <w:tcPr>
            <w:tcW w:w="3393" w:type="dxa"/>
            <w:noWrap w:val="0"/>
            <w:vAlign w:val="center"/>
          </w:tcPr>
          <w:p>
            <w:pPr>
              <w:rPr>
                <w:rFonts w:ascii="宋体" w:hAnsi="宋体"/>
                <w:bCs/>
                <w:szCs w:val="21"/>
              </w:rPr>
            </w:pPr>
            <w:r>
              <w:rPr>
                <w:rFonts w:hint="eastAsia" w:ascii="宋体" w:hAnsi="宋体"/>
                <w:bCs/>
                <w:szCs w:val="21"/>
              </w:rPr>
              <w:t>施工单位按面积配备2—4个灭火器</w:t>
            </w:r>
          </w:p>
        </w:tc>
        <w:tc>
          <w:tcPr>
            <w:tcW w:w="3122" w:type="dxa"/>
            <w:noWrap w:val="0"/>
            <w:vAlign w:val="center"/>
          </w:tcPr>
          <w:p>
            <w:pPr>
              <w:spacing w:line="360" w:lineRule="auto"/>
              <w:rPr>
                <w:rFonts w:ascii="宋体" w:hAnsi="宋体"/>
                <w:bCs/>
                <w:szCs w:val="21"/>
              </w:rPr>
            </w:pPr>
            <w:r>
              <w:rPr>
                <w:rFonts w:hint="eastAsia" w:ascii="宋体" w:hAnsi="宋体"/>
                <w:bCs/>
                <w:szCs w:val="21"/>
              </w:rPr>
              <w:t>200元/每处</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11</w:t>
            </w:r>
          </w:p>
        </w:tc>
        <w:tc>
          <w:tcPr>
            <w:tcW w:w="3393" w:type="dxa"/>
            <w:noWrap w:val="0"/>
            <w:vAlign w:val="center"/>
          </w:tcPr>
          <w:p>
            <w:pPr>
              <w:rPr>
                <w:rFonts w:ascii="宋体" w:hAnsi="宋体"/>
                <w:bCs/>
                <w:szCs w:val="21"/>
              </w:rPr>
            </w:pPr>
            <w:r>
              <w:rPr>
                <w:rFonts w:hint="eastAsia" w:ascii="宋体" w:hAnsi="宋体"/>
                <w:bCs/>
                <w:szCs w:val="21"/>
              </w:rPr>
              <w:t>施工人员在非吸烟区吸烟</w:t>
            </w:r>
          </w:p>
        </w:tc>
        <w:tc>
          <w:tcPr>
            <w:tcW w:w="3122" w:type="dxa"/>
            <w:noWrap w:val="0"/>
            <w:vAlign w:val="center"/>
          </w:tcPr>
          <w:p>
            <w:pPr>
              <w:spacing w:line="360" w:lineRule="auto"/>
              <w:rPr>
                <w:rFonts w:ascii="宋体" w:hAnsi="宋体"/>
                <w:bCs/>
                <w:szCs w:val="21"/>
              </w:rPr>
            </w:pPr>
            <w:r>
              <w:rPr>
                <w:rFonts w:hint="eastAsia" w:ascii="宋体" w:hAnsi="宋体"/>
                <w:bCs/>
                <w:szCs w:val="21"/>
              </w:rPr>
              <w:t>200元/每人</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12</w:t>
            </w:r>
          </w:p>
        </w:tc>
        <w:tc>
          <w:tcPr>
            <w:tcW w:w="3393" w:type="dxa"/>
            <w:noWrap w:val="0"/>
            <w:vAlign w:val="center"/>
          </w:tcPr>
          <w:p>
            <w:pPr>
              <w:rPr>
                <w:rFonts w:ascii="宋体" w:hAnsi="宋体"/>
                <w:bCs/>
                <w:szCs w:val="21"/>
              </w:rPr>
            </w:pPr>
            <w:r>
              <w:rPr>
                <w:rFonts w:hint="eastAsia" w:ascii="宋体" w:hAnsi="宋体"/>
                <w:bCs/>
                <w:szCs w:val="21"/>
              </w:rPr>
              <w:t>动火作业但未办理动火许可证</w:t>
            </w:r>
          </w:p>
        </w:tc>
        <w:tc>
          <w:tcPr>
            <w:tcW w:w="3122" w:type="dxa"/>
            <w:noWrap w:val="0"/>
            <w:vAlign w:val="center"/>
          </w:tcPr>
          <w:p>
            <w:pPr>
              <w:spacing w:line="360" w:lineRule="auto"/>
              <w:rPr>
                <w:rFonts w:ascii="宋体" w:hAnsi="宋体"/>
                <w:bCs/>
                <w:szCs w:val="21"/>
              </w:rPr>
            </w:pPr>
            <w:r>
              <w:rPr>
                <w:rFonts w:hint="eastAsia" w:ascii="宋体" w:hAnsi="宋体"/>
                <w:bCs/>
                <w:szCs w:val="21"/>
              </w:rPr>
              <w:t>200元/每次</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13</w:t>
            </w:r>
          </w:p>
        </w:tc>
        <w:tc>
          <w:tcPr>
            <w:tcW w:w="3393" w:type="dxa"/>
            <w:noWrap w:val="0"/>
            <w:vAlign w:val="center"/>
          </w:tcPr>
          <w:p>
            <w:pPr>
              <w:rPr>
                <w:rFonts w:ascii="宋体" w:hAnsi="宋体"/>
                <w:bCs/>
                <w:szCs w:val="21"/>
              </w:rPr>
            </w:pPr>
            <w:r>
              <w:rPr>
                <w:rFonts w:hint="eastAsia" w:ascii="宋体" w:hAnsi="宋体"/>
                <w:bCs/>
                <w:szCs w:val="21"/>
              </w:rPr>
              <w:t>在规定时间外进行施工作业</w:t>
            </w:r>
          </w:p>
        </w:tc>
        <w:tc>
          <w:tcPr>
            <w:tcW w:w="3122" w:type="dxa"/>
            <w:noWrap w:val="0"/>
            <w:vAlign w:val="center"/>
          </w:tcPr>
          <w:p>
            <w:pPr>
              <w:spacing w:line="360" w:lineRule="auto"/>
              <w:rPr>
                <w:rFonts w:ascii="宋体" w:hAnsi="宋体"/>
                <w:bCs/>
                <w:szCs w:val="21"/>
              </w:rPr>
            </w:pPr>
            <w:r>
              <w:rPr>
                <w:rFonts w:hint="eastAsia" w:ascii="宋体" w:hAnsi="宋体"/>
                <w:bCs/>
                <w:szCs w:val="21"/>
              </w:rPr>
              <w:t>300元/每次</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14</w:t>
            </w:r>
          </w:p>
        </w:tc>
        <w:tc>
          <w:tcPr>
            <w:tcW w:w="3393" w:type="dxa"/>
            <w:noWrap w:val="0"/>
            <w:vAlign w:val="center"/>
          </w:tcPr>
          <w:p>
            <w:pPr>
              <w:rPr>
                <w:rFonts w:ascii="宋体" w:hAnsi="宋体"/>
                <w:bCs/>
                <w:szCs w:val="21"/>
              </w:rPr>
            </w:pPr>
            <w:r>
              <w:rPr>
                <w:rFonts w:hint="eastAsia" w:ascii="宋体" w:hAnsi="宋体"/>
                <w:bCs/>
                <w:szCs w:val="21"/>
              </w:rPr>
              <w:t>施工人员不服从管理且态度恶劣者</w:t>
            </w:r>
          </w:p>
        </w:tc>
        <w:tc>
          <w:tcPr>
            <w:tcW w:w="3122" w:type="dxa"/>
            <w:noWrap w:val="0"/>
            <w:vAlign w:val="center"/>
          </w:tcPr>
          <w:p>
            <w:pPr>
              <w:spacing w:line="360" w:lineRule="auto"/>
              <w:rPr>
                <w:rFonts w:ascii="宋体" w:hAnsi="宋体"/>
                <w:bCs/>
                <w:szCs w:val="21"/>
              </w:rPr>
            </w:pPr>
            <w:r>
              <w:rPr>
                <w:rFonts w:hint="eastAsia" w:ascii="宋体" w:hAnsi="宋体"/>
                <w:bCs/>
                <w:szCs w:val="21"/>
              </w:rPr>
              <w:t>500.00元/每次/每人</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center"/>
          </w:tcPr>
          <w:p>
            <w:pPr>
              <w:jc w:val="center"/>
              <w:rPr>
                <w:rFonts w:ascii="宋体" w:hAnsi="宋体"/>
                <w:bCs/>
                <w:szCs w:val="21"/>
              </w:rPr>
            </w:pPr>
            <w:r>
              <w:rPr>
                <w:rFonts w:hint="eastAsia" w:ascii="宋体" w:hAnsi="宋体"/>
                <w:bCs/>
                <w:szCs w:val="21"/>
              </w:rPr>
              <w:t>15</w:t>
            </w:r>
          </w:p>
        </w:tc>
        <w:tc>
          <w:tcPr>
            <w:tcW w:w="3393" w:type="dxa"/>
            <w:noWrap w:val="0"/>
            <w:vAlign w:val="center"/>
          </w:tcPr>
          <w:p>
            <w:pPr>
              <w:rPr>
                <w:rFonts w:ascii="宋体" w:hAnsi="宋体"/>
                <w:bCs/>
                <w:szCs w:val="21"/>
              </w:rPr>
            </w:pPr>
            <w:r>
              <w:rPr>
                <w:rFonts w:hint="eastAsia" w:ascii="宋体" w:hAnsi="宋体"/>
                <w:bCs/>
                <w:szCs w:val="21"/>
              </w:rPr>
              <w:t>施工人员人为损坏物品</w:t>
            </w:r>
          </w:p>
        </w:tc>
        <w:tc>
          <w:tcPr>
            <w:tcW w:w="3122" w:type="dxa"/>
            <w:noWrap w:val="0"/>
            <w:vAlign w:val="center"/>
          </w:tcPr>
          <w:p>
            <w:pPr>
              <w:rPr>
                <w:rFonts w:ascii="宋体" w:hAnsi="宋体"/>
                <w:bCs/>
                <w:szCs w:val="21"/>
              </w:rPr>
            </w:pPr>
            <w:r>
              <w:rPr>
                <w:rFonts w:hint="eastAsia" w:ascii="宋体" w:hAnsi="宋体"/>
                <w:bCs/>
                <w:szCs w:val="21"/>
              </w:rPr>
              <w:t>按物品价值双倍赔偿</w:t>
            </w:r>
          </w:p>
        </w:tc>
        <w:tc>
          <w:tcPr>
            <w:tcW w:w="1088" w:type="dxa"/>
            <w:noWrap w:val="0"/>
            <w:vAlign w:val="center"/>
          </w:tcPr>
          <w:p>
            <w:pPr>
              <w:spacing w:line="360" w:lineRule="auto"/>
              <w:rPr>
                <w:rFonts w:ascii="宋体" w:hAnsi="宋体"/>
                <w:bCs/>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917" w:type="dxa"/>
            <w:noWrap w:val="0"/>
            <w:vAlign w:val="top"/>
          </w:tcPr>
          <w:p>
            <w:pPr>
              <w:spacing w:line="360" w:lineRule="auto"/>
              <w:rPr>
                <w:rFonts w:ascii="宋体" w:hAnsi="宋体"/>
                <w:bCs/>
                <w:szCs w:val="21"/>
              </w:rPr>
            </w:pPr>
            <w:r>
              <w:rPr>
                <w:rFonts w:hint="eastAsia" w:ascii="宋体" w:hAnsi="宋体"/>
                <w:bCs/>
                <w:szCs w:val="21"/>
              </w:rPr>
              <w:t>备注：</w:t>
            </w:r>
          </w:p>
        </w:tc>
        <w:tc>
          <w:tcPr>
            <w:tcW w:w="7603" w:type="dxa"/>
            <w:gridSpan w:val="3"/>
            <w:noWrap w:val="0"/>
            <w:vAlign w:val="top"/>
          </w:tcPr>
          <w:p>
            <w:pPr>
              <w:spacing w:line="360" w:lineRule="auto"/>
              <w:rPr>
                <w:rFonts w:ascii="宋体" w:hAnsi="宋体"/>
                <w:bCs/>
                <w:szCs w:val="21"/>
              </w:rPr>
            </w:pPr>
            <w:r>
              <w:rPr>
                <w:rFonts w:hint="eastAsia" w:ascii="宋体" w:hAnsi="宋体"/>
                <w:bCs/>
                <w:szCs w:val="21"/>
              </w:rPr>
              <w:t>如有补充，将另行通知。</w:t>
            </w:r>
          </w:p>
        </w:tc>
      </w:tr>
    </w:tbl>
    <w:p>
      <w:pPr>
        <w:widowControl/>
        <w:spacing w:before="100" w:beforeAutospacing="1" w:after="100" w:afterAutospacing="1" w:line="440" w:lineRule="atLeast"/>
        <w:jc w:val="left"/>
        <w:rPr>
          <w:rFonts w:hint="eastAsia" w:ascii="宋体" w:hAnsi="宋体" w:cs="宋体"/>
          <w:kern w:val="0"/>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1" w:usb1="080E0000" w:usb2="00000010" w:usb3="00000000" w:csb0="00040000" w:csb1="00000000"/>
  </w:font>
  <w:font w:name="仿宋_GB2312">
    <w:altName w:val="仿宋"/>
    <w:panose1 w:val="02010609030101010101"/>
    <w:charset w:val="86"/>
    <w:family w:val="modern"/>
    <w:pitch w:val="default"/>
    <w:sig w:usb0="00000000" w:usb1="080E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C21BED"/>
    <w:multiLevelType w:val="singleLevel"/>
    <w:tmpl w:val="85C21BED"/>
    <w:lvl w:ilvl="0" w:tentative="0">
      <w:start w:val="1"/>
      <w:numFmt w:val="decimal"/>
      <w:suff w:val="nothing"/>
      <w:lvlText w:val="%1、"/>
      <w:lvlJc w:val="left"/>
      <w:pPr>
        <w:ind w:left="0" w:firstLine="480"/>
      </w:pPr>
      <w:rPr>
        <w:rFonts w:hint="default"/>
      </w:rPr>
    </w:lvl>
  </w:abstractNum>
  <w:abstractNum w:abstractNumId="1">
    <w:nsid w:val="8D8D3FBC"/>
    <w:multiLevelType w:val="singleLevel"/>
    <w:tmpl w:val="8D8D3FBC"/>
    <w:lvl w:ilvl="0" w:tentative="0">
      <w:start w:val="1"/>
      <w:numFmt w:val="decimal"/>
      <w:suff w:val="space"/>
      <w:lvlText w:val="4.%1"/>
      <w:lvlJc w:val="left"/>
      <w:pPr>
        <w:ind w:left="0" w:firstLine="0"/>
      </w:pPr>
      <w:rPr>
        <w:rFonts w:hint="default"/>
      </w:rPr>
    </w:lvl>
  </w:abstractNum>
  <w:abstractNum w:abstractNumId="2">
    <w:nsid w:val="8FC8DE07"/>
    <w:multiLevelType w:val="singleLevel"/>
    <w:tmpl w:val="8FC8DE07"/>
    <w:lvl w:ilvl="0" w:tentative="0">
      <w:start w:val="1"/>
      <w:numFmt w:val="decimal"/>
      <w:suff w:val="space"/>
      <w:lvlText w:val="4.4.%1"/>
      <w:lvlJc w:val="left"/>
      <w:pPr>
        <w:ind w:left="0" w:firstLine="0"/>
      </w:pPr>
      <w:rPr>
        <w:rFonts w:hint="default"/>
      </w:rPr>
    </w:lvl>
  </w:abstractNum>
  <w:abstractNum w:abstractNumId="3">
    <w:nsid w:val="92C34C78"/>
    <w:multiLevelType w:val="singleLevel"/>
    <w:tmpl w:val="92C34C78"/>
    <w:lvl w:ilvl="0" w:tentative="0">
      <w:start w:val="1"/>
      <w:numFmt w:val="decimal"/>
      <w:suff w:val="nothing"/>
      <w:lvlText w:val="（%1）"/>
      <w:lvlJc w:val="left"/>
      <w:pPr>
        <w:ind w:left="0" w:firstLine="480"/>
      </w:pPr>
      <w:rPr>
        <w:rFonts w:hint="default"/>
      </w:rPr>
    </w:lvl>
  </w:abstractNum>
  <w:abstractNum w:abstractNumId="4">
    <w:nsid w:val="93E0CC99"/>
    <w:multiLevelType w:val="singleLevel"/>
    <w:tmpl w:val="93E0CC99"/>
    <w:lvl w:ilvl="0" w:tentative="0">
      <w:start w:val="1"/>
      <w:numFmt w:val="decimal"/>
      <w:suff w:val="nothing"/>
      <w:lvlText w:val="（%1）"/>
      <w:lvlJc w:val="left"/>
      <w:pPr>
        <w:ind w:left="0" w:firstLine="480"/>
      </w:pPr>
      <w:rPr>
        <w:rFonts w:hint="default"/>
      </w:rPr>
    </w:lvl>
  </w:abstractNum>
  <w:abstractNum w:abstractNumId="5">
    <w:nsid w:val="9D627CF1"/>
    <w:multiLevelType w:val="singleLevel"/>
    <w:tmpl w:val="9D627CF1"/>
    <w:lvl w:ilvl="0" w:tentative="0">
      <w:start w:val="1"/>
      <w:numFmt w:val="decimal"/>
      <w:suff w:val="space"/>
      <w:lvlText w:val="4.13.%1"/>
      <w:lvlJc w:val="left"/>
      <w:pPr>
        <w:ind w:left="0" w:firstLine="0"/>
      </w:pPr>
      <w:rPr>
        <w:rFonts w:hint="default"/>
      </w:rPr>
    </w:lvl>
  </w:abstractNum>
  <w:abstractNum w:abstractNumId="6">
    <w:nsid w:val="A22C9B2B"/>
    <w:multiLevelType w:val="singleLevel"/>
    <w:tmpl w:val="A22C9B2B"/>
    <w:lvl w:ilvl="0" w:tentative="0">
      <w:start w:val="1"/>
      <w:numFmt w:val="decimal"/>
      <w:suff w:val="nothing"/>
      <w:lvlText w:val="%1、"/>
      <w:lvlJc w:val="left"/>
      <w:pPr>
        <w:ind w:left="0" w:firstLine="480"/>
      </w:pPr>
      <w:rPr>
        <w:rFonts w:hint="default"/>
      </w:rPr>
    </w:lvl>
  </w:abstractNum>
  <w:abstractNum w:abstractNumId="7">
    <w:nsid w:val="A26B43B7"/>
    <w:multiLevelType w:val="singleLevel"/>
    <w:tmpl w:val="A26B43B7"/>
    <w:lvl w:ilvl="0" w:tentative="0">
      <w:start w:val="1"/>
      <w:numFmt w:val="decimal"/>
      <w:suff w:val="space"/>
      <w:lvlText w:val="4.5.%1"/>
      <w:lvlJc w:val="left"/>
      <w:pPr>
        <w:ind w:left="0" w:firstLine="0"/>
      </w:pPr>
      <w:rPr>
        <w:rFonts w:hint="default"/>
      </w:rPr>
    </w:lvl>
  </w:abstractNum>
  <w:abstractNum w:abstractNumId="8">
    <w:nsid w:val="A4142CCB"/>
    <w:multiLevelType w:val="singleLevel"/>
    <w:tmpl w:val="A4142CCB"/>
    <w:lvl w:ilvl="0" w:tentative="0">
      <w:start w:val="1"/>
      <w:numFmt w:val="decimal"/>
      <w:suff w:val="nothing"/>
      <w:lvlText w:val="%1、"/>
      <w:lvlJc w:val="left"/>
      <w:pPr>
        <w:ind w:left="0" w:firstLine="480"/>
      </w:pPr>
      <w:rPr>
        <w:rFonts w:hint="default"/>
      </w:rPr>
    </w:lvl>
  </w:abstractNum>
  <w:abstractNum w:abstractNumId="9">
    <w:nsid w:val="A49D2977"/>
    <w:multiLevelType w:val="singleLevel"/>
    <w:tmpl w:val="A49D2977"/>
    <w:lvl w:ilvl="0" w:tentative="0">
      <w:start w:val="1"/>
      <w:numFmt w:val="decimal"/>
      <w:suff w:val="space"/>
      <w:lvlText w:val="%1."/>
      <w:lvlJc w:val="left"/>
      <w:pPr>
        <w:ind w:left="0" w:firstLine="0"/>
      </w:pPr>
      <w:rPr>
        <w:rFonts w:hint="default"/>
      </w:rPr>
    </w:lvl>
  </w:abstractNum>
  <w:abstractNum w:abstractNumId="10">
    <w:nsid w:val="A9E119E2"/>
    <w:multiLevelType w:val="singleLevel"/>
    <w:tmpl w:val="A9E119E2"/>
    <w:lvl w:ilvl="0" w:tentative="0">
      <w:start w:val="1"/>
      <w:numFmt w:val="decimal"/>
      <w:suff w:val="nothing"/>
      <w:lvlText w:val="（%1）"/>
      <w:lvlJc w:val="left"/>
      <w:pPr>
        <w:ind w:left="0" w:firstLine="480"/>
      </w:pPr>
      <w:rPr>
        <w:rFonts w:hint="default"/>
      </w:rPr>
    </w:lvl>
  </w:abstractNum>
  <w:abstractNum w:abstractNumId="11">
    <w:nsid w:val="AA660B6C"/>
    <w:multiLevelType w:val="singleLevel"/>
    <w:tmpl w:val="AA660B6C"/>
    <w:lvl w:ilvl="0" w:tentative="0">
      <w:start w:val="1"/>
      <w:numFmt w:val="decimal"/>
      <w:suff w:val="nothing"/>
      <w:lvlText w:val="（%1）"/>
      <w:lvlJc w:val="left"/>
      <w:pPr>
        <w:ind w:left="0" w:firstLine="480"/>
      </w:pPr>
      <w:rPr>
        <w:rFonts w:hint="default"/>
      </w:rPr>
    </w:lvl>
  </w:abstractNum>
  <w:abstractNum w:abstractNumId="12">
    <w:nsid w:val="B4D5E69F"/>
    <w:multiLevelType w:val="singleLevel"/>
    <w:tmpl w:val="B4D5E69F"/>
    <w:lvl w:ilvl="0" w:tentative="0">
      <w:start w:val="1"/>
      <w:numFmt w:val="decimal"/>
      <w:suff w:val="nothing"/>
      <w:lvlText w:val="（%1）"/>
      <w:lvlJc w:val="left"/>
      <w:pPr>
        <w:ind w:left="0" w:firstLine="480"/>
      </w:pPr>
      <w:rPr>
        <w:rFonts w:hint="default"/>
      </w:rPr>
    </w:lvl>
  </w:abstractNum>
  <w:abstractNum w:abstractNumId="13">
    <w:nsid w:val="B582E945"/>
    <w:multiLevelType w:val="singleLevel"/>
    <w:tmpl w:val="B582E945"/>
    <w:lvl w:ilvl="0" w:tentative="0">
      <w:start w:val="1"/>
      <w:numFmt w:val="decimal"/>
      <w:suff w:val="nothing"/>
      <w:lvlText w:val="（%1）"/>
      <w:lvlJc w:val="left"/>
      <w:pPr>
        <w:ind w:left="0" w:firstLine="480"/>
      </w:pPr>
      <w:rPr>
        <w:rFonts w:hint="default"/>
      </w:rPr>
    </w:lvl>
  </w:abstractNum>
  <w:abstractNum w:abstractNumId="14">
    <w:nsid w:val="CBD86B43"/>
    <w:multiLevelType w:val="singleLevel"/>
    <w:tmpl w:val="CBD86B43"/>
    <w:lvl w:ilvl="0" w:tentative="0">
      <w:start w:val="1"/>
      <w:numFmt w:val="decimal"/>
      <w:suff w:val="space"/>
      <w:lvlText w:val="4.12.%1"/>
      <w:lvlJc w:val="left"/>
      <w:pPr>
        <w:ind w:left="0" w:firstLine="0"/>
      </w:pPr>
      <w:rPr>
        <w:rFonts w:hint="default"/>
      </w:rPr>
    </w:lvl>
  </w:abstractNum>
  <w:abstractNum w:abstractNumId="15">
    <w:nsid w:val="D0290B9D"/>
    <w:multiLevelType w:val="singleLevel"/>
    <w:tmpl w:val="D0290B9D"/>
    <w:lvl w:ilvl="0" w:tentative="0">
      <w:start w:val="1"/>
      <w:numFmt w:val="decimal"/>
      <w:suff w:val="nothing"/>
      <w:lvlText w:val="（%1）"/>
      <w:lvlJc w:val="left"/>
      <w:pPr>
        <w:ind w:left="0" w:firstLine="480"/>
      </w:pPr>
      <w:rPr>
        <w:rFonts w:hint="default"/>
      </w:rPr>
    </w:lvl>
  </w:abstractNum>
  <w:abstractNum w:abstractNumId="16">
    <w:nsid w:val="D02C1D43"/>
    <w:multiLevelType w:val="singleLevel"/>
    <w:tmpl w:val="D02C1D43"/>
    <w:lvl w:ilvl="0" w:tentative="0">
      <w:start w:val="1"/>
      <w:numFmt w:val="decimal"/>
      <w:suff w:val="nothing"/>
      <w:lvlText w:val="（%1）"/>
      <w:lvlJc w:val="left"/>
      <w:pPr>
        <w:ind w:left="0" w:firstLine="480"/>
      </w:pPr>
      <w:rPr>
        <w:rFonts w:hint="default"/>
      </w:rPr>
    </w:lvl>
  </w:abstractNum>
  <w:abstractNum w:abstractNumId="17">
    <w:nsid w:val="D15144FE"/>
    <w:multiLevelType w:val="singleLevel"/>
    <w:tmpl w:val="D15144FE"/>
    <w:lvl w:ilvl="0" w:tentative="0">
      <w:start w:val="1"/>
      <w:numFmt w:val="decimal"/>
      <w:suff w:val="nothing"/>
      <w:lvlText w:val="%1、"/>
      <w:lvlJc w:val="left"/>
      <w:pPr>
        <w:ind w:left="0" w:firstLine="480"/>
      </w:pPr>
      <w:rPr>
        <w:rFonts w:hint="default"/>
      </w:rPr>
    </w:lvl>
  </w:abstractNum>
  <w:abstractNum w:abstractNumId="18">
    <w:nsid w:val="D282AE53"/>
    <w:multiLevelType w:val="singleLevel"/>
    <w:tmpl w:val="D282AE53"/>
    <w:lvl w:ilvl="0" w:tentative="0">
      <w:start w:val="1"/>
      <w:numFmt w:val="decimal"/>
      <w:suff w:val="space"/>
      <w:lvlText w:val="4.8.%1"/>
      <w:lvlJc w:val="left"/>
      <w:pPr>
        <w:ind w:left="0" w:firstLine="0"/>
      </w:pPr>
      <w:rPr>
        <w:rFonts w:hint="default"/>
      </w:rPr>
    </w:lvl>
  </w:abstractNum>
  <w:abstractNum w:abstractNumId="19">
    <w:nsid w:val="D375EE52"/>
    <w:multiLevelType w:val="singleLevel"/>
    <w:tmpl w:val="D375EE52"/>
    <w:lvl w:ilvl="0" w:tentative="0">
      <w:start w:val="1"/>
      <w:numFmt w:val="decimal"/>
      <w:suff w:val="space"/>
      <w:lvlText w:val="2.1.%1"/>
      <w:lvlJc w:val="left"/>
      <w:pPr>
        <w:ind w:left="0" w:firstLine="480"/>
      </w:pPr>
      <w:rPr>
        <w:rFonts w:hint="default"/>
      </w:rPr>
    </w:lvl>
  </w:abstractNum>
  <w:abstractNum w:abstractNumId="20">
    <w:nsid w:val="D71CDB8D"/>
    <w:multiLevelType w:val="singleLevel"/>
    <w:tmpl w:val="D71CDB8D"/>
    <w:lvl w:ilvl="0" w:tentative="0">
      <w:start w:val="1"/>
      <w:numFmt w:val="decimal"/>
      <w:suff w:val="nothing"/>
      <w:lvlText w:val="（%1）"/>
      <w:lvlJc w:val="left"/>
      <w:pPr>
        <w:ind w:left="0" w:firstLine="480"/>
      </w:pPr>
      <w:rPr>
        <w:rFonts w:hint="default"/>
      </w:rPr>
    </w:lvl>
  </w:abstractNum>
  <w:abstractNum w:abstractNumId="21">
    <w:nsid w:val="D9CE3636"/>
    <w:multiLevelType w:val="singleLevel"/>
    <w:tmpl w:val="D9CE3636"/>
    <w:lvl w:ilvl="0" w:tentative="0">
      <w:start w:val="1"/>
      <w:numFmt w:val="decimal"/>
      <w:suff w:val="space"/>
      <w:lvlText w:val="4.6.%1"/>
      <w:lvlJc w:val="left"/>
      <w:pPr>
        <w:ind w:left="0" w:firstLine="0"/>
      </w:pPr>
      <w:rPr>
        <w:rFonts w:hint="default"/>
      </w:rPr>
    </w:lvl>
  </w:abstractNum>
  <w:abstractNum w:abstractNumId="22">
    <w:nsid w:val="DDC7D6D0"/>
    <w:multiLevelType w:val="singleLevel"/>
    <w:tmpl w:val="DDC7D6D0"/>
    <w:lvl w:ilvl="0" w:tentative="0">
      <w:start w:val="1"/>
      <w:numFmt w:val="decimal"/>
      <w:suff w:val="nothing"/>
      <w:lvlText w:val="（%1）"/>
      <w:lvlJc w:val="left"/>
      <w:pPr>
        <w:ind w:left="0" w:firstLine="480"/>
      </w:pPr>
      <w:rPr>
        <w:rFonts w:hint="default"/>
      </w:rPr>
    </w:lvl>
  </w:abstractNum>
  <w:abstractNum w:abstractNumId="23">
    <w:nsid w:val="E57EF2F6"/>
    <w:multiLevelType w:val="singleLevel"/>
    <w:tmpl w:val="E57EF2F6"/>
    <w:lvl w:ilvl="0" w:tentative="0">
      <w:start w:val="1"/>
      <w:numFmt w:val="decimal"/>
      <w:suff w:val="space"/>
      <w:lvlText w:val="4.7.%1"/>
      <w:lvlJc w:val="left"/>
      <w:pPr>
        <w:ind w:left="0" w:firstLine="0"/>
      </w:pPr>
      <w:rPr>
        <w:rFonts w:hint="default"/>
      </w:rPr>
    </w:lvl>
  </w:abstractNum>
  <w:abstractNum w:abstractNumId="24">
    <w:nsid w:val="E6BFD752"/>
    <w:multiLevelType w:val="singleLevel"/>
    <w:tmpl w:val="E6BFD752"/>
    <w:lvl w:ilvl="0" w:tentative="0">
      <w:start w:val="1"/>
      <w:numFmt w:val="decimal"/>
      <w:suff w:val="nothing"/>
      <w:lvlText w:val="%1、"/>
      <w:lvlJc w:val="left"/>
      <w:pPr>
        <w:ind w:left="0" w:firstLine="480"/>
      </w:pPr>
      <w:rPr>
        <w:rFonts w:hint="default"/>
      </w:rPr>
    </w:lvl>
  </w:abstractNum>
  <w:abstractNum w:abstractNumId="25">
    <w:nsid w:val="EBC7398E"/>
    <w:multiLevelType w:val="singleLevel"/>
    <w:tmpl w:val="EBC7398E"/>
    <w:lvl w:ilvl="0" w:tentative="0">
      <w:start w:val="1"/>
      <w:numFmt w:val="decimal"/>
      <w:suff w:val="nothing"/>
      <w:lvlText w:val="（%1）"/>
      <w:lvlJc w:val="left"/>
      <w:pPr>
        <w:ind w:left="0" w:firstLine="480"/>
      </w:pPr>
      <w:rPr>
        <w:rFonts w:hint="default"/>
      </w:rPr>
    </w:lvl>
  </w:abstractNum>
  <w:abstractNum w:abstractNumId="26">
    <w:nsid w:val="FB02F2BD"/>
    <w:multiLevelType w:val="singleLevel"/>
    <w:tmpl w:val="FB02F2BD"/>
    <w:lvl w:ilvl="0" w:tentative="0">
      <w:start w:val="1"/>
      <w:numFmt w:val="decimal"/>
      <w:suff w:val="space"/>
      <w:lvlText w:val="2.%1"/>
      <w:lvlJc w:val="left"/>
      <w:pPr>
        <w:ind w:left="0" w:firstLine="0"/>
      </w:pPr>
      <w:rPr>
        <w:rFonts w:hint="default"/>
      </w:rPr>
    </w:lvl>
  </w:abstractNum>
  <w:abstractNum w:abstractNumId="27">
    <w:nsid w:val="FC7CF980"/>
    <w:multiLevelType w:val="singleLevel"/>
    <w:tmpl w:val="FC7CF980"/>
    <w:lvl w:ilvl="0" w:tentative="0">
      <w:start w:val="1"/>
      <w:numFmt w:val="decimal"/>
      <w:suff w:val="nothing"/>
      <w:lvlText w:val="%1、"/>
      <w:lvlJc w:val="left"/>
      <w:pPr>
        <w:ind w:left="0" w:firstLine="480"/>
      </w:pPr>
      <w:rPr>
        <w:rFonts w:hint="default"/>
      </w:rPr>
    </w:lvl>
  </w:abstractNum>
  <w:abstractNum w:abstractNumId="28">
    <w:nsid w:val="FE5A6936"/>
    <w:multiLevelType w:val="singleLevel"/>
    <w:tmpl w:val="FE5A6936"/>
    <w:lvl w:ilvl="0" w:tentative="0">
      <w:start w:val="1"/>
      <w:numFmt w:val="chineseCounting"/>
      <w:suff w:val="nothing"/>
      <w:lvlText w:val="%1、"/>
      <w:lvlJc w:val="left"/>
      <w:pPr>
        <w:ind w:left="0" w:firstLine="0"/>
      </w:pPr>
      <w:rPr>
        <w:rFonts w:hint="eastAsia"/>
      </w:rPr>
    </w:lvl>
  </w:abstractNum>
  <w:abstractNum w:abstractNumId="29">
    <w:nsid w:val="01818DE2"/>
    <w:multiLevelType w:val="singleLevel"/>
    <w:tmpl w:val="01818DE2"/>
    <w:lvl w:ilvl="0" w:tentative="0">
      <w:start w:val="1"/>
      <w:numFmt w:val="decimal"/>
      <w:suff w:val="nothing"/>
      <w:lvlText w:val="（%1）"/>
      <w:lvlJc w:val="left"/>
      <w:pPr>
        <w:ind w:left="0" w:firstLine="480"/>
      </w:pPr>
      <w:rPr>
        <w:rFonts w:hint="default"/>
      </w:rPr>
    </w:lvl>
  </w:abstractNum>
  <w:abstractNum w:abstractNumId="30">
    <w:nsid w:val="062410A6"/>
    <w:multiLevelType w:val="singleLevel"/>
    <w:tmpl w:val="062410A6"/>
    <w:lvl w:ilvl="0" w:tentative="0">
      <w:start w:val="1"/>
      <w:numFmt w:val="decimal"/>
      <w:suff w:val="nothing"/>
      <w:lvlText w:val="（%1）"/>
      <w:lvlJc w:val="left"/>
      <w:pPr>
        <w:ind w:left="0" w:firstLine="480"/>
      </w:pPr>
      <w:rPr>
        <w:rFonts w:hint="default"/>
      </w:rPr>
    </w:lvl>
  </w:abstractNum>
  <w:abstractNum w:abstractNumId="31">
    <w:nsid w:val="0AB93498"/>
    <w:multiLevelType w:val="singleLevel"/>
    <w:tmpl w:val="0AB93498"/>
    <w:lvl w:ilvl="0" w:tentative="0">
      <w:start w:val="1"/>
      <w:numFmt w:val="decimal"/>
      <w:suff w:val="space"/>
      <w:lvlText w:val="4.10.%1"/>
      <w:lvlJc w:val="left"/>
      <w:pPr>
        <w:ind w:left="0" w:firstLine="0"/>
      </w:pPr>
      <w:rPr>
        <w:rFonts w:hint="default"/>
      </w:rPr>
    </w:lvl>
  </w:abstractNum>
  <w:abstractNum w:abstractNumId="32">
    <w:nsid w:val="10DCF614"/>
    <w:multiLevelType w:val="singleLevel"/>
    <w:tmpl w:val="10DCF614"/>
    <w:lvl w:ilvl="0" w:tentative="0">
      <w:start w:val="1"/>
      <w:numFmt w:val="decimal"/>
      <w:suff w:val="nothing"/>
      <w:lvlText w:val="（%1）"/>
      <w:lvlJc w:val="left"/>
      <w:pPr>
        <w:ind w:left="0" w:firstLine="480"/>
      </w:pPr>
      <w:rPr>
        <w:rFonts w:hint="default"/>
      </w:rPr>
    </w:lvl>
  </w:abstractNum>
  <w:abstractNum w:abstractNumId="33">
    <w:nsid w:val="27F69703"/>
    <w:multiLevelType w:val="singleLevel"/>
    <w:tmpl w:val="27F69703"/>
    <w:lvl w:ilvl="0" w:tentative="0">
      <w:start w:val="1"/>
      <w:numFmt w:val="decimal"/>
      <w:suff w:val="nothing"/>
      <w:lvlText w:val="（%1）"/>
      <w:lvlJc w:val="left"/>
      <w:pPr>
        <w:ind w:left="0" w:firstLine="480"/>
      </w:pPr>
      <w:rPr>
        <w:rFonts w:hint="default"/>
      </w:rPr>
    </w:lvl>
  </w:abstractNum>
  <w:abstractNum w:abstractNumId="34">
    <w:nsid w:val="286CF8DA"/>
    <w:multiLevelType w:val="singleLevel"/>
    <w:tmpl w:val="286CF8DA"/>
    <w:lvl w:ilvl="0" w:tentative="0">
      <w:start w:val="1"/>
      <w:numFmt w:val="decimal"/>
      <w:suff w:val="space"/>
      <w:lvlText w:val="4.9.%1"/>
      <w:lvlJc w:val="left"/>
      <w:pPr>
        <w:ind w:left="0" w:firstLine="0"/>
      </w:pPr>
      <w:rPr>
        <w:rFonts w:hint="default"/>
      </w:rPr>
    </w:lvl>
  </w:abstractNum>
  <w:abstractNum w:abstractNumId="35">
    <w:nsid w:val="2A69CB2A"/>
    <w:multiLevelType w:val="singleLevel"/>
    <w:tmpl w:val="2A69CB2A"/>
    <w:lvl w:ilvl="0" w:tentative="0">
      <w:start w:val="1"/>
      <w:numFmt w:val="decimal"/>
      <w:suff w:val="nothing"/>
      <w:lvlText w:val="（%1）"/>
      <w:lvlJc w:val="left"/>
      <w:pPr>
        <w:ind w:left="0" w:firstLine="480"/>
      </w:pPr>
      <w:rPr>
        <w:rFonts w:hint="default"/>
      </w:rPr>
    </w:lvl>
  </w:abstractNum>
  <w:abstractNum w:abstractNumId="36">
    <w:nsid w:val="2DC3AB3E"/>
    <w:multiLevelType w:val="singleLevel"/>
    <w:tmpl w:val="2DC3AB3E"/>
    <w:lvl w:ilvl="0" w:tentative="0">
      <w:start w:val="1"/>
      <w:numFmt w:val="decimal"/>
      <w:suff w:val="space"/>
      <w:lvlText w:val="1.%1"/>
      <w:lvlJc w:val="left"/>
      <w:pPr>
        <w:ind w:left="0" w:firstLine="0"/>
      </w:pPr>
      <w:rPr>
        <w:rFonts w:hint="default"/>
      </w:rPr>
    </w:lvl>
  </w:abstractNum>
  <w:abstractNum w:abstractNumId="37">
    <w:nsid w:val="2F687482"/>
    <w:multiLevelType w:val="singleLevel"/>
    <w:tmpl w:val="2F687482"/>
    <w:lvl w:ilvl="0" w:tentative="0">
      <w:start w:val="1"/>
      <w:numFmt w:val="decimal"/>
      <w:suff w:val="nothing"/>
      <w:lvlText w:val="（%1）"/>
      <w:lvlJc w:val="left"/>
      <w:pPr>
        <w:ind w:left="0" w:firstLine="480"/>
      </w:pPr>
      <w:rPr>
        <w:rFonts w:hint="default"/>
      </w:rPr>
    </w:lvl>
  </w:abstractNum>
  <w:abstractNum w:abstractNumId="38">
    <w:nsid w:val="312D600A"/>
    <w:multiLevelType w:val="singleLevel"/>
    <w:tmpl w:val="312D600A"/>
    <w:lvl w:ilvl="0" w:tentative="0">
      <w:start w:val="1"/>
      <w:numFmt w:val="decimal"/>
      <w:suff w:val="nothing"/>
      <w:lvlText w:val="（%1）"/>
      <w:lvlJc w:val="left"/>
      <w:pPr>
        <w:ind w:left="0" w:firstLine="480"/>
      </w:pPr>
      <w:rPr>
        <w:rFonts w:hint="default"/>
      </w:rPr>
    </w:lvl>
  </w:abstractNum>
  <w:abstractNum w:abstractNumId="39">
    <w:nsid w:val="3532AE0A"/>
    <w:multiLevelType w:val="singleLevel"/>
    <w:tmpl w:val="3532AE0A"/>
    <w:lvl w:ilvl="0" w:tentative="0">
      <w:start w:val="1"/>
      <w:numFmt w:val="decimal"/>
      <w:suff w:val="nothing"/>
      <w:lvlText w:val="（%1）"/>
      <w:lvlJc w:val="left"/>
      <w:pPr>
        <w:ind w:left="0" w:firstLine="480"/>
      </w:pPr>
      <w:rPr>
        <w:rFonts w:hint="default"/>
      </w:rPr>
    </w:lvl>
  </w:abstractNum>
  <w:abstractNum w:abstractNumId="40">
    <w:nsid w:val="3BB9E419"/>
    <w:multiLevelType w:val="singleLevel"/>
    <w:tmpl w:val="3BB9E419"/>
    <w:lvl w:ilvl="0" w:tentative="0">
      <w:start w:val="1"/>
      <w:numFmt w:val="decimal"/>
      <w:suff w:val="nothing"/>
      <w:lvlText w:val="（%1）"/>
      <w:lvlJc w:val="left"/>
      <w:pPr>
        <w:ind w:left="0" w:firstLine="480"/>
      </w:pPr>
      <w:rPr>
        <w:rFonts w:hint="default"/>
      </w:rPr>
    </w:lvl>
  </w:abstractNum>
  <w:abstractNum w:abstractNumId="41">
    <w:nsid w:val="40EB7EB6"/>
    <w:multiLevelType w:val="singleLevel"/>
    <w:tmpl w:val="40EB7EB6"/>
    <w:lvl w:ilvl="0" w:tentative="0">
      <w:start w:val="1"/>
      <w:numFmt w:val="decimal"/>
      <w:suff w:val="nothing"/>
      <w:lvlText w:val="（%1）"/>
      <w:lvlJc w:val="left"/>
      <w:pPr>
        <w:ind w:left="0" w:firstLine="480"/>
      </w:pPr>
      <w:rPr>
        <w:rFonts w:hint="default"/>
      </w:rPr>
    </w:lvl>
  </w:abstractNum>
  <w:abstractNum w:abstractNumId="42">
    <w:nsid w:val="4A9BFF53"/>
    <w:multiLevelType w:val="singleLevel"/>
    <w:tmpl w:val="4A9BFF53"/>
    <w:lvl w:ilvl="0" w:tentative="0">
      <w:start w:val="1"/>
      <w:numFmt w:val="decimal"/>
      <w:suff w:val="nothing"/>
      <w:lvlText w:val="（%1）"/>
      <w:lvlJc w:val="left"/>
      <w:pPr>
        <w:ind w:left="0" w:firstLine="480"/>
      </w:pPr>
      <w:rPr>
        <w:rFonts w:hint="default"/>
      </w:rPr>
    </w:lvl>
  </w:abstractNum>
  <w:abstractNum w:abstractNumId="43">
    <w:nsid w:val="52875E15"/>
    <w:multiLevelType w:val="singleLevel"/>
    <w:tmpl w:val="52875E15"/>
    <w:lvl w:ilvl="0" w:tentative="0">
      <w:start w:val="1"/>
      <w:numFmt w:val="decimal"/>
      <w:suff w:val="nothing"/>
      <w:lvlText w:val="%1、"/>
      <w:lvlJc w:val="left"/>
      <w:pPr>
        <w:ind w:left="0" w:firstLine="480"/>
      </w:pPr>
      <w:rPr>
        <w:rFonts w:hint="default"/>
      </w:rPr>
    </w:lvl>
  </w:abstractNum>
  <w:abstractNum w:abstractNumId="44">
    <w:nsid w:val="5EE8C04A"/>
    <w:multiLevelType w:val="singleLevel"/>
    <w:tmpl w:val="5EE8C04A"/>
    <w:lvl w:ilvl="0" w:tentative="0">
      <w:start w:val="1"/>
      <w:numFmt w:val="decimal"/>
      <w:suff w:val="nothing"/>
      <w:lvlText w:val="（%1）"/>
      <w:lvlJc w:val="left"/>
      <w:pPr>
        <w:ind w:left="0" w:firstLine="480"/>
      </w:pPr>
      <w:rPr>
        <w:rFonts w:hint="default"/>
      </w:rPr>
    </w:lvl>
  </w:abstractNum>
  <w:abstractNum w:abstractNumId="45">
    <w:nsid w:val="616C936A"/>
    <w:multiLevelType w:val="singleLevel"/>
    <w:tmpl w:val="616C936A"/>
    <w:lvl w:ilvl="0" w:tentative="0">
      <w:start w:val="1"/>
      <w:numFmt w:val="decimal"/>
      <w:suff w:val="nothing"/>
      <w:lvlText w:val="（%1）"/>
      <w:lvlJc w:val="left"/>
      <w:pPr>
        <w:ind w:left="0" w:firstLine="480"/>
      </w:pPr>
      <w:rPr>
        <w:rFonts w:hint="default"/>
      </w:rPr>
    </w:lvl>
  </w:abstractNum>
  <w:abstractNum w:abstractNumId="46">
    <w:nsid w:val="65A11B45"/>
    <w:multiLevelType w:val="singleLevel"/>
    <w:tmpl w:val="65A11B45"/>
    <w:lvl w:ilvl="0" w:tentative="0">
      <w:start w:val="1"/>
      <w:numFmt w:val="decimal"/>
      <w:suff w:val="nothing"/>
      <w:lvlText w:val="%1、"/>
      <w:lvlJc w:val="left"/>
      <w:pPr>
        <w:ind w:left="0" w:firstLine="480"/>
      </w:pPr>
      <w:rPr>
        <w:rFonts w:hint="default"/>
      </w:rPr>
    </w:lvl>
  </w:abstractNum>
  <w:abstractNum w:abstractNumId="47">
    <w:nsid w:val="6CC1DA42"/>
    <w:multiLevelType w:val="singleLevel"/>
    <w:tmpl w:val="6CC1DA42"/>
    <w:lvl w:ilvl="0" w:tentative="0">
      <w:start w:val="1"/>
      <w:numFmt w:val="decimal"/>
      <w:suff w:val="nothing"/>
      <w:lvlText w:val="%1、"/>
      <w:lvlJc w:val="left"/>
      <w:pPr>
        <w:ind w:left="0" w:firstLine="480"/>
      </w:pPr>
      <w:rPr>
        <w:rFonts w:hint="default"/>
      </w:rPr>
    </w:lvl>
  </w:abstractNum>
  <w:abstractNum w:abstractNumId="48">
    <w:nsid w:val="6EA99250"/>
    <w:multiLevelType w:val="singleLevel"/>
    <w:tmpl w:val="6EA99250"/>
    <w:lvl w:ilvl="0" w:tentative="0">
      <w:start w:val="1"/>
      <w:numFmt w:val="decimal"/>
      <w:suff w:val="nothing"/>
      <w:lvlText w:val="（%1）"/>
      <w:lvlJc w:val="left"/>
      <w:pPr>
        <w:ind w:left="0" w:firstLine="480"/>
      </w:pPr>
      <w:rPr>
        <w:rFonts w:hint="default"/>
      </w:rPr>
    </w:lvl>
  </w:abstractNum>
  <w:abstractNum w:abstractNumId="49">
    <w:nsid w:val="6ED642CD"/>
    <w:multiLevelType w:val="singleLevel"/>
    <w:tmpl w:val="6ED642CD"/>
    <w:lvl w:ilvl="0" w:tentative="0">
      <w:start w:val="1"/>
      <w:numFmt w:val="decimal"/>
      <w:suff w:val="space"/>
      <w:lvlText w:val="4.2.%1"/>
      <w:lvlJc w:val="left"/>
      <w:pPr>
        <w:ind w:left="0" w:firstLine="0"/>
      </w:pPr>
      <w:rPr>
        <w:rFonts w:hint="default"/>
      </w:rPr>
    </w:lvl>
  </w:abstractNum>
  <w:abstractNum w:abstractNumId="50">
    <w:nsid w:val="70818BB6"/>
    <w:multiLevelType w:val="singleLevel"/>
    <w:tmpl w:val="70818BB6"/>
    <w:lvl w:ilvl="0" w:tentative="0">
      <w:start w:val="1"/>
      <w:numFmt w:val="decimal"/>
      <w:suff w:val="space"/>
      <w:lvlText w:val="4.1.%1"/>
      <w:lvlJc w:val="left"/>
      <w:pPr>
        <w:ind w:left="0" w:firstLine="0"/>
      </w:pPr>
      <w:rPr>
        <w:rFonts w:hint="default"/>
      </w:rPr>
    </w:lvl>
  </w:abstractNum>
  <w:abstractNum w:abstractNumId="51">
    <w:nsid w:val="72E97A7F"/>
    <w:multiLevelType w:val="singleLevel"/>
    <w:tmpl w:val="72E97A7F"/>
    <w:lvl w:ilvl="0" w:tentative="0">
      <w:start w:val="1"/>
      <w:numFmt w:val="decimal"/>
      <w:suff w:val="nothing"/>
      <w:lvlText w:val="（%1）"/>
      <w:lvlJc w:val="left"/>
      <w:pPr>
        <w:ind w:left="0" w:firstLine="480"/>
      </w:pPr>
      <w:rPr>
        <w:rFonts w:hint="default"/>
      </w:rPr>
    </w:lvl>
  </w:abstractNum>
  <w:abstractNum w:abstractNumId="52">
    <w:nsid w:val="752C8D31"/>
    <w:multiLevelType w:val="singleLevel"/>
    <w:tmpl w:val="752C8D31"/>
    <w:lvl w:ilvl="0" w:tentative="0">
      <w:start w:val="1"/>
      <w:numFmt w:val="decimal"/>
      <w:suff w:val="nothing"/>
      <w:lvlText w:val="（%1）"/>
      <w:lvlJc w:val="left"/>
      <w:pPr>
        <w:ind w:left="0" w:firstLine="480"/>
      </w:pPr>
      <w:rPr>
        <w:rFonts w:hint="default"/>
      </w:rPr>
    </w:lvl>
  </w:abstractNum>
  <w:num w:numId="1">
    <w:abstractNumId w:val="9"/>
  </w:num>
  <w:num w:numId="2">
    <w:abstractNumId w:val="36"/>
  </w:num>
  <w:num w:numId="3">
    <w:abstractNumId w:val="26"/>
  </w:num>
  <w:num w:numId="4">
    <w:abstractNumId w:val="19"/>
  </w:num>
  <w:num w:numId="5">
    <w:abstractNumId w:val="1"/>
  </w:num>
  <w:num w:numId="6">
    <w:abstractNumId w:val="50"/>
  </w:num>
  <w:num w:numId="7">
    <w:abstractNumId w:val="33"/>
  </w:num>
  <w:num w:numId="8">
    <w:abstractNumId w:val="20"/>
  </w:num>
  <w:num w:numId="9">
    <w:abstractNumId w:val="22"/>
  </w:num>
  <w:num w:numId="10">
    <w:abstractNumId w:val="49"/>
  </w:num>
  <w:num w:numId="11">
    <w:abstractNumId w:val="11"/>
  </w:num>
  <w:num w:numId="12">
    <w:abstractNumId w:val="52"/>
  </w:num>
  <w:num w:numId="13">
    <w:abstractNumId w:val="4"/>
  </w:num>
  <w:num w:numId="14">
    <w:abstractNumId w:val="41"/>
  </w:num>
  <w:num w:numId="15">
    <w:abstractNumId w:val="2"/>
  </w:num>
  <w:num w:numId="16">
    <w:abstractNumId w:val="29"/>
  </w:num>
  <w:num w:numId="17">
    <w:abstractNumId w:val="37"/>
  </w:num>
  <w:num w:numId="18">
    <w:abstractNumId w:val="12"/>
  </w:num>
  <w:num w:numId="19">
    <w:abstractNumId w:val="7"/>
  </w:num>
  <w:num w:numId="20">
    <w:abstractNumId w:val="51"/>
  </w:num>
  <w:num w:numId="21">
    <w:abstractNumId w:val="30"/>
  </w:num>
  <w:num w:numId="22">
    <w:abstractNumId w:val="44"/>
  </w:num>
  <w:num w:numId="23">
    <w:abstractNumId w:val="21"/>
  </w:num>
  <w:num w:numId="24">
    <w:abstractNumId w:val="10"/>
  </w:num>
  <w:num w:numId="25">
    <w:abstractNumId w:val="48"/>
  </w:num>
  <w:num w:numId="26">
    <w:abstractNumId w:val="40"/>
  </w:num>
  <w:num w:numId="27">
    <w:abstractNumId w:val="23"/>
  </w:num>
  <w:num w:numId="28">
    <w:abstractNumId w:val="25"/>
  </w:num>
  <w:num w:numId="29">
    <w:abstractNumId w:val="45"/>
  </w:num>
  <w:num w:numId="30">
    <w:abstractNumId w:val="18"/>
  </w:num>
  <w:num w:numId="31">
    <w:abstractNumId w:val="35"/>
  </w:num>
  <w:num w:numId="32">
    <w:abstractNumId w:val="42"/>
  </w:num>
  <w:num w:numId="33">
    <w:abstractNumId w:val="34"/>
  </w:num>
  <w:num w:numId="34">
    <w:abstractNumId w:val="16"/>
  </w:num>
  <w:num w:numId="35">
    <w:abstractNumId w:val="31"/>
  </w:num>
  <w:num w:numId="36">
    <w:abstractNumId w:val="38"/>
  </w:num>
  <w:num w:numId="37">
    <w:abstractNumId w:val="39"/>
  </w:num>
  <w:num w:numId="38">
    <w:abstractNumId w:val="3"/>
  </w:num>
  <w:num w:numId="39">
    <w:abstractNumId w:val="15"/>
  </w:num>
  <w:num w:numId="40">
    <w:abstractNumId w:val="14"/>
  </w:num>
  <w:num w:numId="41">
    <w:abstractNumId w:val="13"/>
  </w:num>
  <w:num w:numId="42">
    <w:abstractNumId w:val="5"/>
  </w:num>
  <w:num w:numId="43">
    <w:abstractNumId w:val="32"/>
  </w:num>
  <w:num w:numId="44">
    <w:abstractNumId w:val="0"/>
  </w:num>
  <w:num w:numId="45">
    <w:abstractNumId w:val="28"/>
  </w:num>
  <w:num w:numId="46">
    <w:abstractNumId w:val="47"/>
  </w:num>
  <w:num w:numId="47">
    <w:abstractNumId w:val="24"/>
  </w:num>
  <w:num w:numId="48">
    <w:abstractNumId w:val="43"/>
  </w:num>
  <w:num w:numId="49">
    <w:abstractNumId w:val="46"/>
  </w:num>
  <w:num w:numId="50">
    <w:abstractNumId w:val="8"/>
  </w:num>
  <w:num w:numId="51">
    <w:abstractNumId w:val="17"/>
  </w:num>
  <w:num w:numId="52">
    <w:abstractNumId w:val="27"/>
  </w:num>
  <w:num w:numId="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673"/>
    <w:rsid w:val="0000326E"/>
    <w:rsid w:val="00003804"/>
    <w:rsid w:val="00010D8B"/>
    <w:rsid w:val="000142FB"/>
    <w:rsid w:val="00030C6A"/>
    <w:rsid w:val="00031DE8"/>
    <w:rsid w:val="00036014"/>
    <w:rsid w:val="0003684A"/>
    <w:rsid w:val="0003709C"/>
    <w:rsid w:val="000429F1"/>
    <w:rsid w:val="000451F0"/>
    <w:rsid w:val="00055D57"/>
    <w:rsid w:val="00062681"/>
    <w:rsid w:val="00063604"/>
    <w:rsid w:val="00064313"/>
    <w:rsid w:val="000646B5"/>
    <w:rsid w:val="00064A4E"/>
    <w:rsid w:val="000664A5"/>
    <w:rsid w:val="000701E6"/>
    <w:rsid w:val="00071301"/>
    <w:rsid w:val="0007237C"/>
    <w:rsid w:val="00075EA3"/>
    <w:rsid w:val="00076977"/>
    <w:rsid w:val="000816F0"/>
    <w:rsid w:val="000955E2"/>
    <w:rsid w:val="00097E6A"/>
    <w:rsid w:val="000A0946"/>
    <w:rsid w:val="000A3A09"/>
    <w:rsid w:val="000A4811"/>
    <w:rsid w:val="000A5036"/>
    <w:rsid w:val="000A5D93"/>
    <w:rsid w:val="000A7464"/>
    <w:rsid w:val="000B1508"/>
    <w:rsid w:val="000B1C64"/>
    <w:rsid w:val="000B344A"/>
    <w:rsid w:val="000B48A6"/>
    <w:rsid w:val="000B7295"/>
    <w:rsid w:val="000C083E"/>
    <w:rsid w:val="000C1371"/>
    <w:rsid w:val="000C3DD7"/>
    <w:rsid w:val="000C685E"/>
    <w:rsid w:val="000C6962"/>
    <w:rsid w:val="000C770F"/>
    <w:rsid w:val="000D7B3D"/>
    <w:rsid w:val="000E0E2C"/>
    <w:rsid w:val="000E3935"/>
    <w:rsid w:val="000E6A1E"/>
    <w:rsid w:val="000F6802"/>
    <w:rsid w:val="000F739C"/>
    <w:rsid w:val="00101C7A"/>
    <w:rsid w:val="0010698A"/>
    <w:rsid w:val="001133E1"/>
    <w:rsid w:val="00115CB7"/>
    <w:rsid w:val="00125247"/>
    <w:rsid w:val="00130382"/>
    <w:rsid w:val="00132F81"/>
    <w:rsid w:val="00137665"/>
    <w:rsid w:val="00145B76"/>
    <w:rsid w:val="00155C97"/>
    <w:rsid w:val="00156CD4"/>
    <w:rsid w:val="0016315D"/>
    <w:rsid w:val="0016427B"/>
    <w:rsid w:val="00164C48"/>
    <w:rsid w:val="001671F4"/>
    <w:rsid w:val="00175F41"/>
    <w:rsid w:val="001815FA"/>
    <w:rsid w:val="00181F5F"/>
    <w:rsid w:val="00184E8A"/>
    <w:rsid w:val="0018579C"/>
    <w:rsid w:val="00192813"/>
    <w:rsid w:val="001A1DE7"/>
    <w:rsid w:val="001A234F"/>
    <w:rsid w:val="001A23B1"/>
    <w:rsid w:val="001B0F6F"/>
    <w:rsid w:val="001B1B6B"/>
    <w:rsid w:val="001B5CD8"/>
    <w:rsid w:val="001C1B87"/>
    <w:rsid w:val="001C3EEF"/>
    <w:rsid w:val="001C4EB9"/>
    <w:rsid w:val="001C79A7"/>
    <w:rsid w:val="001D0C33"/>
    <w:rsid w:val="001D2D87"/>
    <w:rsid w:val="001D3159"/>
    <w:rsid w:val="001D40DA"/>
    <w:rsid w:val="001D6458"/>
    <w:rsid w:val="001D7097"/>
    <w:rsid w:val="001D7B54"/>
    <w:rsid w:val="001E41C7"/>
    <w:rsid w:val="001E5A84"/>
    <w:rsid w:val="001E630E"/>
    <w:rsid w:val="001E6C66"/>
    <w:rsid w:val="001F0CA6"/>
    <w:rsid w:val="001F288C"/>
    <w:rsid w:val="001F3C1A"/>
    <w:rsid w:val="001F43D6"/>
    <w:rsid w:val="001F6AC2"/>
    <w:rsid w:val="00202E8D"/>
    <w:rsid w:val="002056A9"/>
    <w:rsid w:val="002074BA"/>
    <w:rsid w:val="00217E6C"/>
    <w:rsid w:val="0022487D"/>
    <w:rsid w:val="0023176C"/>
    <w:rsid w:val="00235A6C"/>
    <w:rsid w:val="002377F1"/>
    <w:rsid w:val="00237859"/>
    <w:rsid w:val="002422E6"/>
    <w:rsid w:val="0025280B"/>
    <w:rsid w:val="00252EBA"/>
    <w:rsid w:val="0025388A"/>
    <w:rsid w:val="00260103"/>
    <w:rsid w:val="00261F96"/>
    <w:rsid w:val="00262CC2"/>
    <w:rsid w:val="00267696"/>
    <w:rsid w:val="00270902"/>
    <w:rsid w:val="00271626"/>
    <w:rsid w:val="002757FB"/>
    <w:rsid w:val="0027631E"/>
    <w:rsid w:val="00277798"/>
    <w:rsid w:val="00281CAA"/>
    <w:rsid w:val="002844BD"/>
    <w:rsid w:val="00287E63"/>
    <w:rsid w:val="0029018B"/>
    <w:rsid w:val="002945AD"/>
    <w:rsid w:val="00294EF7"/>
    <w:rsid w:val="002957A3"/>
    <w:rsid w:val="00295D2A"/>
    <w:rsid w:val="002A0034"/>
    <w:rsid w:val="002A0A6A"/>
    <w:rsid w:val="002A108D"/>
    <w:rsid w:val="002A6CDD"/>
    <w:rsid w:val="002B10F0"/>
    <w:rsid w:val="002B3B6E"/>
    <w:rsid w:val="002B4F71"/>
    <w:rsid w:val="002B7F0C"/>
    <w:rsid w:val="002C0607"/>
    <w:rsid w:val="002C1984"/>
    <w:rsid w:val="002C1A51"/>
    <w:rsid w:val="002D300B"/>
    <w:rsid w:val="002E06ED"/>
    <w:rsid w:val="002E166F"/>
    <w:rsid w:val="002E2185"/>
    <w:rsid w:val="002F110A"/>
    <w:rsid w:val="002F3AA5"/>
    <w:rsid w:val="002F499D"/>
    <w:rsid w:val="00303697"/>
    <w:rsid w:val="003079FA"/>
    <w:rsid w:val="003114C6"/>
    <w:rsid w:val="00321328"/>
    <w:rsid w:val="003225F5"/>
    <w:rsid w:val="0032363F"/>
    <w:rsid w:val="00325E4F"/>
    <w:rsid w:val="00332267"/>
    <w:rsid w:val="00332C4D"/>
    <w:rsid w:val="0033559F"/>
    <w:rsid w:val="0033563B"/>
    <w:rsid w:val="0034147E"/>
    <w:rsid w:val="00341C39"/>
    <w:rsid w:val="00344797"/>
    <w:rsid w:val="00345ADB"/>
    <w:rsid w:val="00346692"/>
    <w:rsid w:val="0035020C"/>
    <w:rsid w:val="003535FD"/>
    <w:rsid w:val="00354973"/>
    <w:rsid w:val="00357D32"/>
    <w:rsid w:val="00364E0D"/>
    <w:rsid w:val="00366C81"/>
    <w:rsid w:val="00370B2E"/>
    <w:rsid w:val="0037286A"/>
    <w:rsid w:val="0037614C"/>
    <w:rsid w:val="0037685D"/>
    <w:rsid w:val="0038168C"/>
    <w:rsid w:val="003821A8"/>
    <w:rsid w:val="00390C6E"/>
    <w:rsid w:val="00396613"/>
    <w:rsid w:val="003968E8"/>
    <w:rsid w:val="00396D7C"/>
    <w:rsid w:val="003A1684"/>
    <w:rsid w:val="003A2E27"/>
    <w:rsid w:val="003B03CE"/>
    <w:rsid w:val="003B4F00"/>
    <w:rsid w:val="003B7DA1"/>
    <w:rsid w:val="003C1944"/>
    <w:rsid w:val="003C5CB4"/>
    <w:rsid w:val="003D0851"/>
    <w:rsid w:val="003D6392"/>
    <w:rsid w:val="003D7AAE"/>
    <w:rsid w:val="003E1E6D"/>
    <w:rsid w:val="003E2CF3"/>
    <w:rsid w:val="003E2D3A"/>
    <w:rsid w:val="003E51E5"/>
    <w:rsid w:val="003E5E28"/>
    <w:rsid w:val="003E630C"/>
    <w:rsid w:val="003F1411"/>
    <w:rsid w:val="003F431B"/>
    <w:rsid w:val="00400B2C"/>
    <w:rsid w:val="00403B04"/>
    <w:rsid w:val="00414268"/>
    <w:rsid w:val="004158B1"/>
    <w:rsid w:val="00417D8D"/>
    <w:rsid w:val="0042256D"/>
    <w:rsid w:val="004330D5"/>
    <w:rsid w:val="00437C61"/>
    <w:rsid w:val="0044025B"/>
    <w:rsid w:val="00442A95"/>
    <w:rsid w:val="00442B2D"/>
    <w:rsid w:val="00444123"/>
    <w:rsid w:val="0044421F"/>
    <w:rsid w:val="00445AC6"/>
    <w:rsid w:val="004647C3"/>
    <w:rsid w:val="004658BC"/>
    <w:rsid w:val="00467688"/>
    <w:rsid w:val="004B06A1"/>
    <w:rsid w:val="004B18D1"/>
    <w:rsid w:val="004B2EDC"/>
    <w:rsid w:val="004C1EDC"/>
    <w:rsid w:val="004C42E3"/>
    <w:rsid w:val="004C5BF2"/>
    <w:rsid w:val="004C67EE"/>
    <w:rsid w:val="004C6E08"/>
    <w:rsid w:val="004D59D8"/>
    <w:rsid w:val="004D6BFD"/>
    <w:rsid w:val="004E2815"/>
    <w:rsid w:val="004F138A"/>
    <w:rsid w:val="004F2117"/>
    <w:rsid w:val="004F5DFC"/>
    <w:rsid w:val="004F6A90"/>
    <w:rsid w:val="0050082B"/>
    <w:rsid w:val="00502EF2"/>
    <w:rsid w:val="00503103"/>
    <w:rsid w:val="0050650C"/>
    <w:rsid w:val="00506914"/>
    <w:rsid w:val="00514527"/>
    <w:rsid w:val="0051649F"/>
    <w:rsid w:val="00520A1B"/>
    <w:rsid w:val="00520A58"/>
    <w:rsid w:val="00520AA2"/>
    <w:rsid w:val="005232CC"/>
    <w:rsid w:val="00531A5A"/>
    <w:rsid w:val="00536C5A"/>
    <w:rsid w:val="005412BD"/>
    <w:rsid w:val="005429E5"/>
    <w:rsid w:val="00543478"/>
    <w:rsid w:val="0054398C"/>
    <w:rsid w:val="00543BF5"/>
    <w:rsid w:val="005445D6"/>
    <w:rsid w:val="00545445"/>
    <w:rsid w:val="0054576B"/>
    <w:rsid w:val="005464AE"/>
    <w:rsid w:val="00546FCA"/>
    <w:rsid w:val="00555FCC"/>
    <w:rsid w:val="00556EEA"/>
    <w:rsid w:val="00560CB5"/>
    <w:rsid w:val="00562868"/>
    <w:rsid w:val="00565912"/>
    <w:rsid w:val="00572102"/>
    <w:rsid w:val="00573C17"/>
    <w:rsid w:val="00574ABF"/>
    <w:rsid w:val="00575178"/>
    <w:rsid w:val="00577BC3"/>
    <w:rsid w:val="00585B60"/>
    <w:rsid w:val="00591C75"/>
    <w:rsid w:val="00591D58"/>
    <w:rsid w:val="00592D89"/>
    <w:rsid w:val="00594272"/>
    <w:rsid w:val="00595015"/>
    <w:rsid w:val="005B51DB"/>
    <w:rsid w:val="005B6EE8"/>
    <w:rsid w:val="005C15CA"/>
    <w:rsid w:val="005C1E40"/>
    <w:rsid w:val="005C3D7E"/>
    <w:rsid w:val="005C5443"/>
    <w:rsid w:val="005C7F1D"/>
    <w:rsid w:val="005D2325"/>
    <w:rsid w:val="005D52B3"/>
    <w:rsid w:val="005D670A"/>
    <w:rsid w:val="005D6B9C"/>
    <w:rsid w:val="005D7DFF"/>
    <w:rsid w:val="005E0C2F"/>
    <w:rsid w:val="005E1FB6"/>
    <w:rsid w:val="005E3585"/>
    <w:rsid w:val="005E3F86"/>
    <w:rsid w:val="005F08CE"/>
    <w:rsid w:val="005F0A1D"/>
    <w:rsid w:val="005F2D0B"/>
    <w:rsid w:val="005F47C2"/>
    <w:rsid w:val="005F72B2"/>
    <w:rsid w:val="00605F66"/>
    <w:rsid w:val="00606290"/>
    <w:rsid w:val="00610C37"/>
    <w:rsid w:val="006130A8"/>
    <w:rsid w:val="006137B8"/>
    <w:rsid w:val="00620220"/>
    <w:rsid w:val="00620941"/>
    <w:rsid w:val="00622C17"/>
    <w:rsid w:val="00624C3F"/>
    <w:rsid w:val="00627071"/>
    <w:rsid w:val="0062733D"/>
    <w:rsid w:val="006300C5"/>
    <w:rsid w:val="00630384"/>
    <w:rsid w:val="00630C49"/>
    <w:rsid w:val="00633DCF"/>
    <w:rsid w:val="0063558B"/>
    <w:rsid w:val="0064276B"/>
    <w:rsid w:val="00642C58"/>
    <w:rsid w:val="00654EDC"/>
    <w:rsid w:val="00662D41"/>
    <w:rsid w:val="006637B6"/>
    <w:rsid w:val="00663E2D"/>
    <w:rsid w:val="006658DD"/>
    <w:rsid w:val="00667E26"/>
    <w:rsid w:val="00667E34"/>
    <w:rsid w:val="00670C6C"/>
    <w:rsid w:val="00670DA4"/>
    <w:rsid w:val="00672793"/>
    <w:rsid w:val="00672FFB"/>
    <w:rsid w:val="00674AB7"/>
    <w:rsid w:val="0067714D"/>
    <w:rsid w:val="00684368"/>
    <w:rsid w:val="006868E4"/>
    <w:rsid w:val="00687136"/>
    <w:rsid w:val="00694EF5"/>
    <w:rsid w:val="006A1ABF"/>
    <w:rsid w:val="006A3AD2"/>
    <w:rsid w:val="006A6640"/>
    <w:rsid w:val="006B5FEA"/>
    <w:rsid w:val="006B65F8"/>
    <w:rsid w:val="006C5099"/>
    <w:rsid w:val="006C64F5"/>
    <w:rsid w:val="006C72E9"/>
    <w:rsid w:val="006E0141"/>
    <w:rsid w:val="006E579F"/>
    <w:rsid w:val="006E654D"/>
    <w:rsid w:val="006F13E9"/>
    <w:rsid w:val="006F2BA5"/>
    <w:rsid w:val="006F2E39"/>
    <w:rsid w:val="0070329D"/>
    <w:rsid w:val="007033AB"/>
    <w:rsid w:val="00704521"/>
    <w:rsid w:val="00704EB4"/>
    <w:rsid w:val="0070687D"/>
    <w:rsid w:val="00711A27"/>
    <w:rsid w:val="007152ED"/>
    <w:rsid w:val="00726245"/>
    <w:rsid w:val="00727DAA"/>
    <w:rsid w:val="0073077A"/>
    <w:rsid w:val="00731C0F"/>
    <w:rsid w:val="0073281F"/>
    <w:rsid w:val="00733296"/>
    <w:rsid w:val="00733833"/>
    <w:rsid w:val="00740115"/>
    <w:rsid w:val="00745BE4"/>
    <w:rsid w:val="00745CCD"/>
    <w:rsid w:val="00750463"/>
    <w:rsid w:val="00755173"/>
    <w:rsid w:val="00756F6A"/>
    <w:rsid w:val="0076175A"/>
    <w:rsid w:val="007617AB"/>
    <w:rsid w:val="0076218B"/>
    <w:rsid w:val="0077290E"/>
    <w:rsid w:val="00772F55"/>
    <w:rsid w:val="00773310"/>
    <w:rsid w:val="00774F76"/>
    <w:rsid w:val="00780BF3"/>
    <w:rsid w:val="0078467B"/>
    <w:rsid w:val="00785E58"/>
    <w:rsid w:val="0078724C"/>
    <w:rsid w:val="00793ECD"/>
    <w:rsid w:val="00797924"/>
    <w:rsid w:val="007979A8"/>
    <w:rsid w:val="007A00E3"/>
    <w:rsid w:val="007A0179"/>
    <w:rsid w:val="007A1D7D"/>
    <w:rsid w:val="007A52EA"/>
    <w:rsid w:val="007B358C"/>
    <w:rsid w:val="007B7DE1"/>
    <w:rsid w:val="007C3B34"/>
    <w:rsid w:val="007C5F2A"/>
    <w:rsid w:val="007D3355"/>
    <w:rsid w:val="007D5549"/>
    <w:rsid w:val="007E06E3"/>
    <w:rsid w:val="007E0D7F"/>
    <w:rsid w:val="007E3B42"/>
    <w:rsid w:val="007E4608"/>
    <w:rsid w:val="007E4BE1"/>
    <w:rsid w:val="007F3E0B"/>
    <w:rsid w:val="00802A6A"/>
    <w:rsid w:val="00806201"/>
    <w:rsid w:val="0081425E"/>
    <w:rsid w:val="0081519B"/>
    <w:rsid w:val="00824FA9"/>
    <w:rsid w:val="0082659E"/>
    <w:rsid w:val="00826F4B"/>
    <w:rsid w:val="00830597"/>
    <w:rsid w:val="00831CA6"/>
    <w:rsid w:val="008333ED"/>
    <w:rsid w:val="00833EB0"/>
    <w:rsid w:val="00833F75"/>
    <w:rsid w:val="008344AE"/>
    <w:rsid w:val="008358FF"/>
    <w:rsid w:val="00836F4D"/>
    <w:rsid w:val="00840B6C"/>
    <w:rsid w:val="00841F93"/>
    <w:rsid w:val="008438C7"/>
    <w:rsid w:val="00850E37"/>
    <w:rsid w:val="008549FA"/>
    <w:rsid w:val="00855274"/>
    <w:rsid w:val="008619A3"/>
    <w:rsid w:val="00862E05"/>
    <w:rsid w:val="0086633A"/>
    <w:rsid w:val="00866C79"/>
    <w:rsid w:val="00870FD5"/>
    <w:rsid w:val="008817F4"/>
    <w:rsid w:val="00885FF7"/>
    <w:rsid w:val="00893C96"/>
    <w:rsid w:val="008969CE"/>
    <w:rsid w:val="0089748E"/>
    <w:rsid w:val="008A0565"/>
    <w:rsid w:val="008A08C9"/>
    <w:rsid w:val="008A3237"/>
    <w:rsid w:val="008B0BF5"/>
    <w:rsid w:val="008B52DC"/>
    <w:rsid w:val="008B6810"/>
    <w:rsid w:val="008C261E"/>
    <w:rsid w:val="008D1DD7"/>
    <w:rsid w:val="008D6A94"/>
    <w:rsid w:val="008E5134"/>
    <w:rsid w:val="008E524B"/>
    <w:rsid w:val="008E7A63"/>
    <w:rsid w:val="008E7DF5"/>
    <w:rsid w:val="008E7E40"/>
    <w:rsid w:val="008F1FCD"/>
    <w:rsid w:val="008F334C"/>
    <w:rsid w:val="008F36A5"/>
    <w:rsid w:val="008F76A9"/>
    <w:rsid w:val="00900B1E"/>
    <w:rsid w:val="00906EB5"/>
    <w:rsid w:val="009074FA"/>
    <w:rsid w:val="00910517"/>
    <w:rsid w:val="00910E9B"/>
    <w:rsid w:val="00923419"/>
    <w:rsid w:val="009301F3"/>
    <w:rsid w:val="00930D8C"/>
    <w:rsid w:val="00935638"/>
    <w:rsid w:val="00937B33"/>
    <w:rsid w:val="00944FD9"/>
    <w:rsid w:val="00946386"/>
    <w:rsid w:val="0094773E"/>
    <w:rsid w:val="00952388"/>
    <w:rsid w:val="009533B7"/>
    <w:rsid w:val="00954EE2"/>
    <w:rsid w:val="009600C3"/>
    <w:rsid w:val="009604BE"/>
    <w:rsid w:val="00972981"/>
    <w:rsid w:val="00987693"/>
    <w:rsid w:val="0099045F"/>
    <w:rsid w:val="009A15D5"/>
    <w:rsid w:val="009A4BA5"/>
    <w:rsid w:val="009A5434"/>
    <w:rsid w:val="009A6DD3"/>
    <w:rsid w:val="009A761C"/>
    <w:rsid w:val="009B1EB5"/>
    <w:rsid w:val="009B64FE"/>
    <w:rsid w:val="009B679D"/>
    <w:rsid w:val="009C180D"/>
    <w:rsid w:val="009C373E"/>
    <w:rsid w:val="009C38AB"/>
    <w:rsid w:val="009C4C2A"/>
    <w:rsid w:val="009D1F50"/>
    <w:rsid w:val="009D231F"/>
    <w:rsid w:val="009D3DE9"/>
    <w:rsid w:val="009E0630"/>
    <w:rsid w:val="009E18C8"/>
    <w:rsid w:val="009E435A"/>
    <w:rsid w:val="009E4BBE"/>
    <w:rsid w:val="009F05CF"/>
    <w:rsid w:val="009F10E1"/>
    <w:rsid w:val="009F253F"/>
    <w:rsid w:val="009F2A72"/>
    <w:rsid w:val="009F3971"/>
    <w:rsid w:val="009F4EEF"/>
    <w:rsid w:val="009F5391"/>
    <w:rsid w:val="009F5C3A"/>
    <w:rsid w:val="009F5F02"/>
    <w:rsid w:val="009F6245"/>
    <w:rsid w:val="009F799B"/>
    <w:rsid w:val="00A0258E"/>
    <w:rsid w:val="00A03DD3"/>
    <w:rsid w:val="00A04DF4"/>
    <w:rsid w:val="00A10F62"/>
    <w:rsid w:val="00A12508"/>
    <w:rsid w:val="00A133DF"/>
    <w:rsid w:val="00A1403F"/>
    <w:rsid w:val="00A15961"/>
    <w:rsid w:val="00A20629"/>
    <w:rsid w:val="00A21F0E"/>
    <w:rsid w:val="00A22AFB"/>
    <w:rsid w:val="00A247D9"/>
    <w:rsid w:val="00A31EC0"/>
    <w:rsid w:val="00A33858"/>
    <w:rsid w:val="00A359B0"/>
    <w:rsid w:val="00A36ED3"/>
    <w:rsid w:val="00A40D24"/>
    <w:rsid w:val="00A431BA"/>
    <w:rsid w:val="00A44BB8"/>
    <w:rsid w:val="00A4612A"/>
    <w:rsid w:val="00A47FB6"/>
    <w:rsid w:val="00A5639D"/>
    <w:rsid w:val="00A62953"/>
    <w:rsid w:val="00A648AB"/>
    <w:rsid w:val="00A658FF"/>
    <w:rsid w:val="00A66997"/>
    <w:rsid w:val="00A71187"/>
    <w:rsid w:val="00A72CD3"/>
    <w:rsid w:val="00A730F5"/>
    <w:rsid w:val="00A77CB6"/>
    <w:rsid w:val="00A80E81"/>
    <w:rsid w:val="00A8285E"/>
    <w:rsid w:val="00A857ED"/>
    <w:rsid w:val="00A862BE"/>
    <w:rsid w:val="00A86A85"/>
    <w:rsid w:val="00A87E6C"/>
    <w:rsid w:val="00A97712"/>
    <w:rsid w:val="00AA2B8E"/>
    <w:rsid w:val="00AA5F8D"/>
    <w:rsid w:val="00AA65F3"/>
    <w:rsid w:val="00AB2D47"/>
    <w:rsid w:val="00AB67AA"/>
    <w:rsid w:val="00AC1D78"/>
    <w:rsid w:val="00AC2741"/>
    <w:rsid w:val="00AC36B4"/>
    <w:rsid w:val="00AD4FB9"/>
    <w:rsid w:val="00AD5595"/>
    <w:rsid w:val="00AD79FC"/>
    <w:rsid w:val="00AE0B0A"/>
    <w:rsid w:val="00AE161F"/>
    <w:rsid w:val="00AE723B"/>
    <w:rsid w:val="00AF2911"/>
    <w:rsid w:val="00AF40CB"/>
    <w:rsid w:val="00AF4AC3"/>
    <w:rsid w:val="00B00FDB"/>
    <w:rsid w:val="00B01F3A"/>
    <w:rsid w:val="00B03984"/>
    <w:rsid w:val="00B05B4A"/>
    <w:rsid w:val="00B103FE"/>
    <w:rsid w:val="00B17596"/>
    <w:rsid w:val="00B22AE6"/>
    <w:rsid w:val="00B261AC"/>
    <w:rsid w:val="00B34849"/>
    <w:rsid w:val="00B412DF"/>
    <w:rsid w:val="00B41696"/>
    <w:rsid w:val="00B461C9"/>
    <w:rsid w:val="00B4695C"/>
    <w:rsid w:val="00B536F6"/>
    <w:rsid w:val="00B53F10"/>
    <w:rsid w:val="00B56F9B"/>
    <w:rsid w:val="00B65BB0"/>
    <w:rsid w:val="00B72A24"/>
    <w:rsid w:val="00B73F64"/>
    <w:rsid w:val="00B76DAD"/>
    <w:rsid w:val="00B80463"/>
    <w:rsid w:val="00B83938"/>
    <w:rsid w:val="00BB1597"/>
    <w:rsid w:val="00BB2B99"/>
    <w:rsid w:val="00BC0EEE"/>
    <w:rsid w:val="00BC16AE"/>
    <w:rsid w:val="00BC16D4"/>
    <w:rsid w:val="00BC2485"/>
    <w:rsid w:val="00BC253F"/>
    <w:rsid w:val="00BC4338"/>
    <w:rsid w:val="00BC74B7"/>
    <w:rsid w:val="00BD1C61"/>
    <w:rsid w:val="00BD62B8"/>
    <w:rsid w:val="00BE0B12"/>
    <w:rsid w:val="00BE2447"/>
    <w:rsid w:val="00BE365F"/>
    <w:rsid w:val="00C07952"/>
    <w:rsid w:val="00C240A7"/>
    <w:rsid w:val="00C2417F"/>
    <w:rsid w:val="00C27D31"/>
    <w:rsid w:val="00C30086"/>
    <w:rsid w:val="00C34972"/>
    <w:rsid w:val="00C35999"/>
    <w:rsid w:val="00C373EC"/>
    <w:rsid w:val="00C40FCD"/>
    <w:rsid w:val="00C51371"/>
    <w:rsid w:val="00C516E0"/>
    <w:rsid w:val="00C51AEB"/>
    <w:rsid w:val="00C6200F"/>
    <w:rsid w:val="00C7348B"/>
    <w:rsid w:val="00C73ED1"/>
    <w:rsid w:val="00C748F5"/>
    <w:rsid w:val="00C800B7"/>
    <w:rsid w:val="00C85DE6"/>
    <w:rsid w:val="00C97936"/>
    <w:rsid w:val="00CA2AF4"/>
    <w:rsid w:val="00CA579A"/>
    <w:rsid w:val="00CA5F55"/>
    <w:rsid w:val="00CA643A"/>
    <w:rsid w:val="00CA6AB6"/>
    <w:rsid w:val="00CA6BB2"/>
    <w:rsid w:val="00CA6DA7"/>
    <w:rsid w:val="00CA7AC0"/>
    <w:rsid w:val="00CB1484"/>
    <w:rsid w:val="00CB215E"/>
    <w:rsid w:val="00CB24C6"/>
    <w:rsid w:val="00CB39C2"/>
    <w:rsid w:val="00CB49C6"/>
    <w:rsid w:val="00CB5141"/>
    <w:rsid w:val="00CC2544"/>
    <w:rsid w:val="00CC5BD5"/>
    <w:rsid w:val="00CC7E4E"/>
    <w:rsid w:val="00CD573C"/>
    <w:rsid w:val="00CD6546"/>
    <w:rsid w:val="00CD6D62"/>
    <w:rsid w:val="00CE1129"/>
    <w:rsid w:val="00CE4E7B"/>
    <w:rsid w:val="00CE503C"/>
    <w:rsid w:val="00CE7A8B"/>
    <w:rsid w:val="00CF12D4"/>
    <w:rsid w:val="00CF36E3"/>
    <w:rsid w:val="00CF48F5"/>
    <w:rsid w:val="00D01A5F"/>
    <w:rsid w:val="00D0368E"/>
    <w:rsid w:val="00D13505"/>
    <w:rsid w:val="00D14BB5"/>
    <w:rsid w:val="00D250FD"/>
    <w:rsid w:val="00D37E67"/>
    <w:rsid w:val="00D41CC0"/>
    <w:rsid w:val="00D43B77"/>
    <w:rsid w:val="00D522C5"/>
    <w:rsid w:val="00D535F0"/>
    <w:rsid w:val="00D547E2"/>
    <w:rsid w:val="00D6037A"/>
    <w:rsid w:val="00D6667D"/>
    <w:rsid w:val="00D66A16"/>
    <w:rsid w:val="00D71B0B"/>
    <w:rsid w:val="00D74842"/>
    <w:rsid w:val="00D76833"/>
    <w:rsid w:val="00D77006"/>
    <w:rsid w:val="00D80888"/>
    <w:rsid w:val="00D8181B"/>
    <w:rsid w:val="00D8282E"/>
    <w:rsid w:val="00D83B70"/>
    <w:rsid w:val="00D8631B"/>
    <w:rsid w:val="00D86792"/>
    <w:rsid w:val="00D93C64"/>
    <w:rsid w:val="00DA33A1"/>
    <w:rsid w:val="00DA52B9"/>
    <w:rsid w:val="00DA5364"/>
    <w:rsid w:val="00DB1662"/>
    <w:rsid w:val="00DB798F"/>
    <w:rsid w:val="00DB7ACC"/>
    <w:rsid w:val="00DC01D8"/>
    <w:rsid w:val="00DC25DD"/>
    <w:rsid w:val="00DC3016"/>
    <w:rsid w:val="00DD3ED4"/>
    <w:rsid w:val="00DD6334"/>
    <w:rsid w:val="00DD66FF"/>
    <w:rsid w:val="00DE11EE"/>
    <w:rsid w:val="00DE4869"/>
    <w:rsid w:val="00DE67C3"/>
    <w:rsid w:val="00DF1136"/>
    <w:rsid w:val="00DF14D8"/>
    <w:rsid w:val="00DF7713"/>
    <w:rsid w:val="00E00780"/>
    <w:rsid w:val="00E019AC"/>
    <w:rsid w:val="00E02002"/>
    <w:rsid w:val="00E03D56"/>
    <w:rsid w:val="00E03EE0"/>
    <w:rsid w:val="00E04719"/>
    <w:rsid w:val="00E07C1B"/>
    <w:rsid w:val="00E125F1"/>
    <w:rsid w:val="00E13148"/>
    <w:rsid w:val="00E15396"/>
    <w:rsid w:val="00E15B78"/>
    <w:rsid w:val="00E16594"/>
    <w:rsid w:val="00E175CF"/>
    <w:rsid w:val="00E17CA1"/>
    <w:rsid w:val="00E24786"/>
    <w:rsid w:val="00E306B8"/>
    <w:rsid w:val="00E3189E"/>
    <w:rsid w:val="00E31CFF"/>
    <w:rsid w:val="00E32B5B"/>
    <w:rsid w:val="00E46DBD"/>
    <w:rsid w:val="00E505E7"/>
    <w:rsid w:val="00E5243E"/>
    <w:rsid w:val="00E569E6"/>
    <w:rsid w:val="00E606DE"/>
    <w:rsid w:val="00E60C14"/>
    <w:rsid w:val="00E619A6"/>
    <w:rsid w:val="00E63AAA"/>
    <w:rsid w:val="00E64C02"/>
    <w:rsid w:val="00E67340"/>
    <w:rsid w:val="00E70D9E"/>
    <w:rsid w:val="00E7144E"/>
    <w:rsid w:val="00E75CDC"/>
    <w:rsid w:val="00E87879"/>
    <w:rsid w:val="00E905CD"/>
    <w:rsid w:val="00E913A5"/>
    <w:rsid w:val="00E9486D"/>
    <w:rsid w:val="00E97132"/>
    <w:rsid w:val="00EA1184"/>
    <w:rsid w:val="00EA1B83"/>
    <w:rsid w:val="00EA44D1"/>
    <w:rsid w:val="00EA7CC8"/>
    <w:rsid w:val="00EB0C83"/>
    <w:rsid w:val="00EB17B7"/>
    <w:rsid w:val="00EB2932"/>
    <w:rsid w:val="00EC04ED"/>
    <w:rsid w:val="00EC28EA"/>
    <w:rsid w:val="00EC2BDE"/>
    <w:rsid w:val="00EC2CF4"/>
    <w:rsid w:val="00ED1C8E"/>
    <w:rsid w:val="00ED71C7"/>
    <w:rsid w:val="00EF5C81"/>
    <w:rsid w:val="00F00150"/>
    <w:rsid w:val="00F00AE7"/>
    <w:rsid w:val="00F0608F"/>
    <w:rsid w:val="00F06894"/>
    <w:rsid w:val="00F11E24"/>
    <w:rsid w:val="00F1252C"/>
    <w:rsid w:val="00F13522"/>
    <w:rsid w:val="00F218E7"/>
    <w:rsid w:val="00F2209B"/>
    <w:rsid w:val="00F24E6F"/>
    <w:rsid w:val="00F375C1"/>
    <w:rsid w:val="00F425D0"/>
    <w:rsid w:val="00F46693"/>
    <w:rsid w:val="00F57A51"/>
    <w:rsid w:val="00F57F1C"/>
    <w:rsid w:val="00F62381"/>
    <w:rsid w:val="00F644E6"/>
    <w:rsid w:val="00F649C0"/>
    <w:rsid w:val="00F66BAE"/>
    <w:rsid w:val="00F67698"/>
    <w:rsid w:val="00F80774"/>
    <w:rsid w:val="00F8129D"/>
    <w:rsid w:val="00F849CE"/>
    <w:rsid w:val="00F87D96"/>
    <w:rsid w:val="00F9623A"/>
    <w:rsid w:val="00F96E20"/>
    <w:rsid w:val="00F97FE1"/>
    <w:rsid w:val="00FA7340"/>
    <w:rsid w:val="00FB057E"/>
    <w:rsid w:val="00FB63A8"/>
    <w:rsid w:val="00FB7A15"/>
    <w:rsid w:val="00FC0C82"/>
    <w:rsid w:val="00FC148B"/>
    <w:rsid w:val="00FC4A55"/>
    <w:rsid w:val="00FC587D"/>
    <w:rsid w:val="00FD09F4"/>
    <w:rsid w:val="00FD5937"/>
    <w:rsid w:val="00FD6AEF"/>
    <w:rsid w:val="00FD6EA7"/>
    <w:rsid w:val="00FE0003"/>
    <w:rsid w:val="00FE1EBE"/>
    <w:rsid w:val="00FE3BB9"/>
    <w:rsid w:val="00FE418A"/>
    <w:rsid w:val="00FE64E5"/>
    <w:rsid w:val="00FE6F0C"/>
    <w:rsid w:val="024C23EC"/>
    <w:rsid w:val="05035BC7"/>
    <w:rsid w:val="05DB5F9B"/>
    <w:rsid w:val="080171BE"/>
    <w:rsid w:val="09D32F2C"/>
    <w:rsid w:val="0A234BF3"/>
    <w:rsid w:val="0BB57529"/>
    <w:rsid w:val="0CA76DCE"/>
    <w:rsid w:val="0CB023E0"/>
    <w:rsid w:val="0DA9038E"/>
    <w:rsid w:val="0DD44416"/>
    <w:rsid w:val="0E6B5000"/>
    <w:rsid w:val="114607F2"/>
    <w:rsid w:val="124D6D53"/>
    <w:rsid w:val="137208A4"/>
    <w:rsid w:val="147D2C96"/>
    <w:rsid w:val="16633849"/>
    <w:rsid w:val="177C4303"/>
    <w:rsid w:val="19104CDD"/>
    <w:rsid w:val="19D54FFE"/>
    <w:rsid w:val="1A4127A1"/>
    <w:rsid w:val="1AF74669"/>
    <w:rsid w:val="1B731AB0"/>
    <w:rsid w:val="1BCF6A88"/>
    <w:rsid w:val="1DB70E1B"/>
    <w:rsid w:val="1F916BEB"/>
    <w:rsid w:val="21664758"/>
    <w:rsid w:val="22A63A15"/>
    <w:rsid w:val="23B81D36"/>
    <w:rsid w:val="25702AA1"/>
    <w:rsid w:val="27CA34B9"/>
    <w:rsid w:val="28E84B66"/>
    <w:rsid w:val="2AB770A3"/>
    <w:rsid w:val="2C0F64E6"/>
    <w:rsid w:val="2C107AF6"/>
    <w:rsid w:val="2C4B74B9"/>
    <w:rsid w:val="2D237039"/>
    <w:rsid w:val="2D8916E4"/>
    <w:rsid w:val="2E6676FD"/>
    <w:rsid w:val="307577CA"/>
    <w:rsid w:val="30E07EBD"/>
    <w:rsid w:val="30FF31C6"/>
    <w:rsid w:val="32DD3E90"/>
    <w:rsid w:val="33100189"/>
    <w:rsid w:val="337C4137"/>
    <w:rsid w:val="34662520"/>
    <w:rsid w:val="34C02C59"/>
    <w:rsid w:val="35567C0A"/>
    <w:rsid w:val="373527AA"/>
    <w:rsid w:val="378279B2"/>
    <w:rsid w:val="378E47B3"/>
    <w:rsid w:val="37D559F4"/>
    <w:rsid w:val="38B924DE"/>
    <w:rsid w:val="390022BB"/>
    <w:rsid w:val="3ABA6F61"/>
    <w:rsid w:val="3B3A4F7E"/>
    <w:rsid w:val="3C96577D"/>
    <w:rsid w:val="3CEE4445"/>
    <w:rsid w:val="3E5B6132"/>
    <w:rsid w:val="3EED0ECD"/>
    <w:rsid w:val="3F584EFF"/>
    <w:rsid w:val="3FEA296E"/>
    <w:rsid w:val="40A30EA9"/>
    <w:rsid w:val="410E7449"/>
    <w:rsid w:val="438D7C61"/>
    <w:rsid w:val="44E20167"/>
    <w:rsid w:val="466B41CD"/>
    <w:rsid w:val="466D7A42"/>
    <w:rsid w:val="4A104D7C"/>
    <w:rsid w:val="4A5C3ACE"/>
    <w:rsid w:val="4AEC0E99"/>
    <w:rsid w:val="4D67733B"/>
    <w:rsid w:val="4EC92939"/>
    <w:rsid w:val="4F150D16"/>
    <w:rsid w:val="4F190BD2"/>
    <w:rsid w:val="50571D3F"/>
    <w:rsid w:val="52A51838"/>
    <w:rsid w:val="536B5A43"/>
    <w:rsid w:val="541A39A2"/>
    <w:rsid w:val="5463036C"/>
    <w:rsid w:val="54966F57"/>
    <w:rsid w:val="56193C4E"/>
    <w:rsid w:val="59434402"/>
    <w:rsid w:val="5A436627"/>
    <w:rsid w:val="5A9B3DAC"/>
    <w:rsid w:val="5AC36B75"/>
    <w:rsid w:val="5BDA038B"/>
    <w:rsid w:val="5C063D09"/>
    <w:rsid w:val="5C921F73"/>
    <w:rsid w:val="5D0F7AD7"/>
    <w:rsid w:val="5F08358F"/>
    <w:rsid w:val="5F93425B"/>
    <w:rsid w:val="606345B3"/>
    <w:rsid w:val="62483D5B"/>
    <w:rsid w:val="631E4E2D"/>
    <w:rsid w:val="63894FB2"/>
    <w:rsid w:val="650025F6"/>
    <w:rsid w:val="651846F6"/>
    <w:rsid w:val="658B78BE"/>
    <w:rsid w:val="663B7635"/>
    <w:rsid w:val="67FE7F38"/>
    <w:rsid w:val="693B3CD7"/>
    <w:rsid w:val="6A936782"/>
    <w:rsid w:val="6BEA7587"/>
    <w:rsid w:val="6BF75553"/>
    <w:rsid w:val="6C34734D"/>
    <w:rsid w:val="6E0708CD"/>
    <w:rsid w:val="6E81358D"/>
    <w:rsid w:val="6E867547"/>
    <w:rsid w:val="6FAB1375"/>
    <w:rsid w:val="70EE07B0"/>
    <w:rsid w:val="71222CBF"/>
    <w:rsid w:val="72B95228"/>
    <w:rsid w:val="72BA14E4"/>
    <w:rsid w:val="74964153"/>
    <w:rsid w:val="74FF3719"/>
    <w:rsid w:val="772B760F"/>
    <w:rsid w:val="77AF0B80"/>
    <w:rsid w:val="78442F5D"/>
    <w:rsid w:val="7970564B"/>
    <w:rsid w:val="7A085BF4"/>
    <w:rsid w:val="7AC57910"/>
    <w:rsid w:val="7BDC1EC1"/>
    <w:rsid w:val="7C2A7B8E"/>
    <w:rsid w:val="7C57508E"/>
    <w:rsid w:val="7CEC3112"/>
    <w:rsid w:val="7E034D49"/>
    <w:rsid w:val="7E0C1B46"/>
    <w:rsid w:val="7E923F63"/>
    <w:rsid w:val="7EF014CF"/>
    <w:rsid w:val="7F716AB2"/>
    <w:rsid w:val="7F720D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1"/>
    <w:next w:val="1"/>
    <w:link w:val="75"/>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link w:val="76"/>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link w:val="77"/>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link w:val="78"/>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link w:val="79"/>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2">
    <w:name w:val="Default Paragraph Font"/>
    <w:uiPriority w:val="0"/>
  </w:style>
  <w:style w:type="table" w:default="1" w:styleId="20">
    <w:name w:val="Normal Table"/>
    <w:unhideWhenUsed/>
    <w:uiPriority w:val="99"/>
    <w:tblPr>
      <w:tblStyle w:val="20"/>
      <w:tblLayout w:type="fixed"/>
      <w:tblCellMar>
        <w:top w:w="0" w:type="dxa"/>
        <w:left w:w="108" w:type="dxa"/>
        <w:bottom w:w="0" w:type="dxa"/>
        <w:right w:w="108" w:type="dxa"/>
      </w:tblCellMar>
    </w:tblPr>
  </w:style>
  <w:style w:type="paragraph" w:styleId="11">
    <w:name w:val="annotation text"/>
    <w:basedOn w:val="1"/>
    <w:link w:val="80"/>
    <w:unhideWhenUsed/>
    <w:uiPriority w:val="99"/>
    <w:pPr>
      <w:jc w:val="left"/>
    </w:pPr>
  </w:style>
  <w:style w:type="paragraph" w:styleId="12">
    <w:name w:val="Body Text"/>
    <w:unhideWhenUsed/>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3">
    <w:name w:val="Plain Text"/>
    <w:basedOn w:val="1"/>
    <w:uiPriority w:val="0"/>
    <w:pPr>
      <w:spacing w:after="120" w:line="0" w:lineRule="atLeast"/>
    </w:pPr>
    <w:rPr>
      <w:rFonts w:ascii="宋体" w:hAnsi="Courier New"/>
      <w:sz w:val="28"/>
      <w:szCs w:val="24"/>
    </w:rPr>
  </w:style>
  <w:style w:type="paragraph" w:styleId="14">
    <w:name w:val="Balloon Text"/>
    <w:basedOn w:val="1"/>
    <w:link w:val="81"/>
    <w:uiPriority w:val="0"/>
    <w:rPr>
      <w:kern w:val="0"/>
      <w:sz w:val="18"/>
      <w:szCs w:val="18"/>
    </w:rPr>
  </w:style>
  <w:style w:type="paragraph" w:styleId="15">
    <w:name w:val="footer"/>
    <w:basedOn w:val="1"/>
    <w:link w:val="82"/>
    <w:uiPriority w:val="0"/>
    <w:pPr>
      <w:tabs>
        <w:tab w:val="center" w:pos="4153"/>
        <w:tab w:val="right" w:pos="8306"/>
      </w:tabs>
      <w:snapToGrid w:val="0"/>
      <w:jc w:val="left"/>
    </w:pPr>
    <w:rPr>
      <w:kern w:val="0"/>
      <w:sz w:val="18"/>
      <w:szCs w:val="18"/>
    </w:rPr>
  </w:style>
  <w:style w:type="paragraph" w:styleId="16">
    <w:name w:val="header"/>
    <w:basedOn w:val="1"/>
    <w:link w:val="83"/>
    <w:uiPriority w:val="0"/>
    <w:pPr>
      <w:pBdr>
        <w:bottom w:val="single" w:color="auto" w:sz="6" w:space="1"/>
      </w:pBdr>
      <w:tabs>
        <w:tab w:val="center" w:pos="4153"/>
        <w:tab w:val="right" w:pos="8306"/>
      </w:tabs>
      <w:snapToGrid w:val="0"/>
      <w:jc w:val="center"/>
    </w:pPr>
    <w:rPr>
      <w:kern w:val="0"/>
      <w:sz w:val="18"/>
      <w:szCs w:val="18"/>
    </w:rPr>
  </w:style>
  <w:style w:type="paragraph" w:styleId="17">
    <w:name w:val="Subtitle"/>
    <w:qFormat/>
    <w:uiPriority w:val="11"/>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8">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paragraph" w:styleId="19">
    <w:name w:val="annotation subject"/>
    <w:basedOn w:val="11"/>
    <w:next w:val="11"/>
    <w:link w:val="84"/>
    <w:unhideWhenUsed/>
    <w:uiPriority w:val="99"/>
    <w:rPr>
      <w:b/>
      <w:bCs/>
    </w:rPr>
  </w:style>
  <w:style w:type="table" w:styleId="21">
    <w:name w:val="Table Grid"/>
    <w:basedOn w:val="20"/>
    <w:uiPriority w:val="0"/>
    <w:pPr>
      <w:widowControl w:val="0"/>
      <w:jc w:val="both"/>
    </w:pPr>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3">
    <w:name w:val="FollowedHyperlink"/>
    <w:basedOn w:val="22"/>
    <w:uiPriority w:val="99"/>
    <w:rPr>
      <w:rFonts w:hint="eastAsia" w:ascii="微软雅黑" w:hAnsi="微软雅黑" w:eastAsia="微软雅黑" w:cs="微软雅黑"/>
      <w:color w:val="2777A7"/>
      <w:sz w:val="21"/>
      <w:szCs w:val="21"/>
      <w:u w:val="none"/>
    </w:rPr>
  </w:style>
  <w:style w:type="character" w:styleId="24">
    <w:name w:val="Emphasis"/>
    <w:basedOn w:val="22"/>
    <w:qFormat/>
    <w:uiPriority w:val="20"/>
  </w:style>
  <w:style w:type="character" w:styleId="25">
    <w:name w:val="Hyperlink"/>
    <w:basedOn w:val="22"/>
    <w:uiPriority w:val="99"/>
    <w:rPr>
      <w:rFonts w:ascii="微软雅黑" w:hAnsi="微软雅黑" w:eastAsia="微软雅黑" w:cs="微软雅黑"/>
      <w:color w:val="2777A7"/>
      <w:sz w:val="21"/>
      <w:szCs w:val="21"/>
      <w:u w:val="none"/>
    </w:rPr>
  </w:style>
  <w:style w:type="character" w:styleId="26">
    <w:name w:val="annotation reference"/>
    <w:unhideWhenUsed/>
    <w:uiPriority w:val="99"/>
    <w:rPr>
      <w:sz w:val="21"/>
      <w:szCs w:val="21"/>
    </w:rPr>
  </w:style>
  <w:style w:type="paragraph" w:customStyle="1" w:styleId="27">
    <w:name w:val="Plain Text"/>
    <w:basedOn w:val="1"/>
    <w:link w:val="96"/>
    <w:uiPriority w:val="0"/>
    <w:rPr>
      <w:rFonts w:ascii="宋体" w:hAnsi="Courier New"/>
      <w:kern w:val="0"/>
      <w:sz w:val="20"/>
    </w:rPr>
  </w:style>
  <w:style w:type="paragraph" w:customStyle="1" w:styleId="28">
    <w:name w:val="样式 段前: 0.5 行 行距: 固定值 23 磅"/>
    <w:basedOn w:val="1"/>
    <w:link w:val="98"/>
    <w:uiPriority w:val="0"/>
    <w:pPr>
      <w:spacing w:beforeLines="50"/>
    </w:pPr>
    <w:rPr>
      <w:kern w:val="0"/>
      <w:sz w:val="24"/>
    </w:rPr>
  </w:style>
  <w:style w:type="paragraph" w:customStyle="1" w:styleId="29">
    <w:name w:val="标题 21"/>
    <w:basedOn w:val="1"/>
    <w:next w:val="1"/>
    <w:link w:val="103"/>
    <w:uiPriority w:val="0"/>
    <w:pPr>
      <w:keepNext/>
      <w:keepLines/>
      <w:spacing w:before="260" w:beforeLines="0" w:after="260" w:afterLines="0" w:line="412" w:lineRule="auto"/>
      <w:outlineLvl w:val="1"/>
    </w:pPr>
    <w:rPr>
      <w:rFonts w:ascii="Cambria" w:hAnsi="Cambria"/>
      <w:b/>
      <w:kern w:val="0"/>
      <w:sz w:val="32"/>
    </w:rPr>
  </w:style>
  <w:style w:type="paragraph" w:customStyle="1" w:styleId="30">
    <w:name w:val="Body Text Indent 2"/>
    <w:basedOn w:val="1"/>
    <w:link w:val="112"/>
    <w:uiPriority w:val="0"/>
    <w:pPr>
      <w:spacing w:line="700" w:lineRule="exact"/>
      <w:ind w:firstLine="771" w:firstLineChars="257"/>
    </w:pPr>
    <w:rPr>
      <w:rFonts w:ascii="楷体_GB2312" w:hAnsi="宋体" w:eastAsia="楷体_GB2312"/>
      <w:kern w:val="0"/>
      <w:sz w:val="30"/>
    </w:rPr>
  </w:style>
  <w:style w:type="paragraph" w:customStyle="1" w:styleId="31">
    <w:name w:val="Document Map"/>
    <w:basedOn w:val="1"/>
    <w:link w:val="115"/>
    <w:uiPriority w:val="0"/>
    <w:pPr>
      <w:shd w:val="clear" w:color="auto" w:fill="000080"/>
    </w:pPr>
    <w:rPr>
      <w:kern w:val="0"/>
      <w:sz w:val="20"/>
      <w:shd w:val="clear" w:color="auto" w:fill="000080"/>
    </w:rPr>
  </w:style>
  <w:style w:type="paragraph" w:customStyle="1" w:styleId="32">
    <w:name w:val="无间隔1"/>
    <w:link w:val="128"/>
    <w:uiPriority w:val="0"/>
    <w:rPr>
      <w:rFonts w:ascii="Calibri" w:hAnsi="Calibri" w:cs="Calibri"/>
      <w:sz w:val="22"/>
      <w:lang w:val="en-US" w:eastAsia="zh-CN" w:bidi="ar-SA"/>
    </w:rPr>
  </w:style>
  <w:style w:type="paragraph" w:customStyle="1" w:styleId="33">
    <w:name w:val="Date"/>
    <w:basedOn w:val="1"/>
    <w:next w:val="1"/>
    <w:link w:val="134"/>
    <w:uiPriority w:val="0"/>
    <w:pPr>
      <w:ind w:left="100" w:leftChars="2500"/>
    </w:pPr>
    <w:rPr>
      <w:kern w:val="0"/>
      <w:sz w:val="20"/>
    </w:rPr>
  </w:style>
  <w:style w:type="paragraph" w:customStyle="1" w:styleId="34">
    <w:name w:val="标题 31"/>
    <w:basedOn w:val="1"/>
    <w:next w:val="1"/>
    <w:link w:val="135"/>
    <w:uiPriority w:val="0"/>
    <w:pPr>
      <w:keepNext/>
      <w:keepLines/>
      <w:spacing w:before="260" w:beforeLines="0" w:after="260" w:afterLines="0" w:line="412" w:lineRule="auto"/>
      <w:outlineLvl w:val="2"/>
    </w:pPr>
    <w:rPr>
      <w:b/>
      <w:kern w:val="0"/>
      <w:sz w:val="32"/>
    </w:rPr>
  </w:style>
  <w:style w:type="paragraph" w:customStyle="1" w:styleId="35">
    <w:name w:val="font6"/>
    <w:basedOn w:val="1"/>
    <w:uiPriority w:val="0"/>
    <w:pPr>
      <w:widowControl/>
      <w:spacing w:before="100" w:beforeLines="0" w:beforeAutospacing="1" w:after="100" w:afterLines="0" w:afterAutospacing="1"/>
      <w:jc w:val="left"/>
    </w:pPr>
    <w:rPr>
      <w:rFonts w:ascii="Calibri" w:hAnsi="Calibri"/>
      <w:sz w:val="22"/>
    </w:rPr>
  </w:style>
  <w:style w:type="paragraph" w:customStyle="1" w:styleId="36">
    <w:name w:val="xl83"/>
    <w:basedOn w:val="1"/>
    <w:uiPriority w:val="0"/>
    <w:pPr>
      <w:widowControl/>
      <w:pBdr>
        <w:bottom w:val="single" w:color="000000" w:sz="4" w:space="0"/>
        <w:right w:val="single" w:color="000000" w:sz="4" w:space="0"/>
      </w:pBdr>
      <w:shd w:val="clear" w:color="000000" w:fill="FFFFFF"/>
      <w:spacing w:before="100" w:beforeAutospacing="1" w:after="100" w:afterAutospacing="1"/>
      <w:jc w:val="right"/>
    </w:pPr>
    <w:rPr>
      <w:rFonts w:ascii="宋体" w:hAnsi="宋体" w:cs="宋体"/>
      <w:color w:val="000000"/>
      <w:kern w:val="0"/>
      <w:sz w:val="18"/>
      <w:szCs w:val="18"/>
    </w:rPr>
  </w:style>
  <w:style w:type="paragraph" w:customStyle="1" w:styleId="37">
    <w:name w:val="节"/>
    <w:basedOn w:val="1"/>
    <w:next w:val="38"/>
    <w:uiPriority w:val="0"/>
    <w:pPr>
      <w:tabs>
        <w:tab w:val="left" w:pos="1140"/>
      </w:tabs>
      <w:ind w:left="1140" w:hanging="720"/>
    </w:pPr>
    <w:rPr>
      <w:rFonts w:eastAsia="黑体"/>
      <w:sz w:val="28"/>
    </w:rPr>
  </w:style>
  <w:style w:type="paragraph" w:customStyle="1" w:styleId="38">
    <w:name w:val="Normal Indent"/>
    <w:basedOn w:val="1"/>
    <w:uiPriority w:val="0"/>
    <w:pPr>
      <w:ind w:firstLine="420" w:firstLineChars="200"/>
    </w:pPr>
    <w:rPr>
      <w:sz w:val="28"/>
    </w:rPr>
  </w:style>
  <w:style w:type="paragraph" w:customStyle="1" w:styleId="39">
    <w:name w:val="xl76"/>
    <w:basedOn w:val="1"/>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Lines="0" w:beforeAutospacing="1" w:after="100" w:afterLines="0" w:afterAutospacing="1"/>
      <w:jc w:val="center"/>
    </w:pPr>
    <w:rPr>
      <w:rFonts w:ascii="宋体" w:hAnsi="宋体"/>
      <w:sz w:val="24"/>
    </w:rPr>
  </w:style>
  <w:style w:type="paragraph" w:customStyle="1" w:styleId="40">
    <w:name w:val="正文2"/>
    <w:basedOn w:val="1"/>
    <w:next w:val="1"/>
    <w:uiPriority w:val="0"/>
    <w:pPr>
      <w:tabs>
        <w:tab w:val="left" w:pos="1276"/>
      </w:tabs>
      <w:spacing w:line="360" w:lineRule="auto"/>
      <w:ind w:left="1276" w:hanging="425"/>
    </w:pPr>
    <w:rPr>
      <w:sz w:val="24"/>
    </w:rPr>
  </w:style>
  <w:style w:type="paragraph" w:customStyle="1" w:styleId="41">
    <w:name w:val="xl65"/>
    <w:basedOn w:val="1"/>
    <w:uiPriority w:val="0"/>
    <w:pPr>
      <w:widowControl/>
      <w:pBdr>
        <w:top w:val="single" w:color="000000" w:sz="4" w:space="0"/>
        <w:left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b/>
      <w:sz w:val="24"/>
    </w:rPr>
  </w:style>
  <w:style w:type="paragraph" w:customStyle="1" w:styleId="42">
    <w:name w:val="默认段落字体 Para Char Char Char Char"/>
    <w:basedOn w:val="1"/>
    <w:uiPriority w:val="0"/>
  </w:style>
  <w:style w:type="paragraph" w:customStyle="1" w:styleId="43">
    <w:name w:val="xl73"/>
    <w:basedOn w:val="1"/>
    <w:uiPriority w:val="0"/>
    <w:pPr>
      <w:widowControl/>
      <w:pBdr>
        <w:top w:val="single" w:color="000000" w:sz="4" w:space="0"/>
        <w:left w:val="single" w:color="000000" w:sz="4" w:space="0"/>
        <w:bottom w:val="single" w:color="000000" w:sz="4" w:space="0"/>
      </w:pBdr>
      <w:shd w:val="clear" w:color="auto" w:fill="FFFFFF"/>
      <w:spacing w:before="100" w:beforeLines="0" w:beforeAutospacing="1" w:after="100" w:afterLines="0" w:afterAutospacing="1"/>
      <w:jc w:val="center"/>
    </w:pPr>
    <w:rPr>
      <w:rFonts w:ascii="Calibri" w:hAnsi="Calibri"/>
      <w:sz w:val="24"/>
    </w:rPr>
  </w:style>
  <w:style w:type="paragraph" w:customStyle="1" w:styleId="44">
    <w:name w:val="font7"/>
    <w:basedOn w:val="1"/>
    <w:uiPriority w:val="0"/>
    <w:pPr>
      <w:widowControl/>
      <w:spacing w:before="100" w:beforeLines="0" w:beforeAutospacing="1" w:after="100" w:afterLines="0" w:afterAutospacing="1"/>
      <w:jc w:val="left"/>
    </w:pPr>
    <w:rPr>
      <w:rFonts w:ascii="宋体" w:hAnsi="宋体"/>
      <w:sz w:val="22"/>
    </w:rPr>
  </w:style>
  <w:style w:type="paragraph" w:customStyle="1" w:styleId="45">
    <w:name w:val="xl79"/>
    <w:basedOn w:val="1"/>
    <w:uiPriority w:val="0"/>
    <w:pPr>
      <w:widowControl/>
      <w:pBdr>
        <w:left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sz w:val="24"/>
    </w:rPr>
  </w:style>
  <w:style w:type="paragraph" w:customStyle="1" w:styleId="46">
    <w:name w:val="xl82"/>
    <w:basedOn w:val="1"/>
    <w:uiPriority w:val="0"/>
    <w:pPr>
      <w:widowControl/>
      <w:pBdr>
        <w:left w:val="single" w:color="000000" w:sz="4" w:space="0"/>
        <w:bottom w:val="single" w:color="000000" w:sz="4" w:space="0"/>
      </w:pBdr>
      <w:shd w:val="clear" w:color="000000" w:fill="FFFFFF"/>
      <w:spacing w:before="100" w:beforeAutospacing="1" w:after="100" w:afterAutospacing="1"/>
      <w:jc w:val="right"/>
    </w:pPr>
    <w:rPr>
      <w:rFonts w:ascii="宋体" w:hAnsi="宋体" w:cs="宋体"/>
      <w:color w:val="000000"/>
      <w:kern w:val="0"/>
      <w:sz w:val="18"/>
      <w:szCs w:val="18"/>
    </w:rPr>
  </w:style>
  <w:style w:type="paragraph" w:customStyle="1" w:styleId="47">
    <w:name w:val="xl68"/>
    <w:basedOn w:val="1"/>
    <w:uiPriority w:val="0"/>
    <w:pPr>
      <w:widowControl/>
      <w:pBdr>
        <w:top w:val="single" w:color="000000" w:sz="4" w:space="0"/>
        <w:left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sz w:val="24"/>
    </w:rPr>
  </w:style>
  <w:style w:type="paragraph" w:customStyle="1" w:styleId="48">
    <w:name w:val="xl66"/>
    <w:basedOn w:val="1"/>
    <w:uiPriority w:val="0"/>
    <w:pPr>
      <w:widowControl/>
      <w:pBdr>
        <w:top w:val="single" w:color="000000" w:sz="4" w:space="0"/>
        <w:bottom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b/>
      <w:sz w:val="24"/>
    </w:rPr>
  </w:style>
  <w:style w:type="paragraph" w:customStyle="1" w:styleId="49">
    <w:name w:val="xl80"/>
    <w:basedOn w:val="1"/>
    <w:uiPriority w:val="0"/>
    <w:pPr>
      <w:widowControl/>
      <w:pBdr>
        <w:left w:val="single" w:color="000000" w:sz="4" w:space="0"/>
        <w:bottom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sz w:val="24"/>
    </w:rPr>
  </w:style>
  <w:style w:type="paragraph" w:customStyle="1" w:styleId="50">
    <w:name w:val="表头"/>
    <w:basedOn w:val="1"/>
    <w:uiPriority w:val="0"/>
    <w:pPr>
      <w:tabs>
        <w:tab w:val="left" w:pos="851"/>
      </w:tabs>
      <w:spacing w:after="120" w:afterLines="0" w:line="360" w:lineRule="auto"/>
      <w:ind w:firstLine="480"/>
    </w:pPr>
    <w:rPr>
      <w:rFonts w:ascii="黑体" w:eastAsia="黑体"/>
      <w:sz w:val="24"/>
    </w:rPr>
  </w:style>
  <w:style w:type="paragraph" w:customStyle="1" w:styleId="51">
    <w:name w:val="xl77"/>
    <w:basedOn w:val="1"/>
    <w:uiPriority w:val="0"/>
    <w:pPr>
      <w:widowControl/>
      <w:pBdr>
        <w:left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b/>
      <w:sz w:val="24"/>
    </w:rPr>
  </w:style>
  <w:style w:type="paragraph" w:customStyle="1" w:styleId="52">
    <w:name w:val="xl72"/>
    <w:basedOn w:val="1"/>
    <w:uiPriority w:val="0"/>
    <w:pPr>
      <w:widowControl/>
      <w:pBdr>
        <w:top w:val="single" w:color="000000" w:sz="4" w:space="0"/>
        <w:left w:val="single" w:color="000000" w:sz="4" w:space="0"/>
      </w:pBdr>
      <w:shd w:val="clear" w:color="auto" w:fill="FFFFFF"/>
      <w:spacing w:before="100" w:beforeLines="0" w:beforeAutospacing="1" w:after="100" w:afterLines="0" w:afterAutospacing="1"/>
      <w:jc w:val="center"/>
    </w:pPr>
    <w:rPr>
      <w:rFonts w:ascii="Calibri" w:hAnsi="Calibri"/>
      <w:sz w:val="24"/>
    </w:rPr>
  </w:style>
  <w:style w:type="paragraph" w:customStyle="1" w:styleId="53">
    <w:name w:val="font0"/>
    <w:basedOn w:val="1"/>
    <w:uiPriority w:val="0"/>
    <w:pPr>
      <w:widowControl/>
      <w:spacing w:before="100" w:beforeLines="0" w:beforeAutospacing="1" w:after="100" w:afterLines="0" w:afterAutospacing="1"/>
      <w:jc w:val="left"/>
    </w:pPr>
    <w:rPr>
      <w:rFonts w:ascii="宋体" w:hAnsi="宋体"/>
      <w:color w:val="000000"/>
      <w:sz w:val="22"/>
    </w:rPr>
  </w:style>
  <w:style w:type="paragraph" w:customStyle="1" w:styleId="54">
    <w:name w:val="xl81"/>
    <w:basedOn w:val="1"/>
    <w:uiPriority w:val="0"/>
    <w:pPr>
      <w:widowControl/>
      <w:pBdr>
        <w:top w:val="single" w:color="000000" w:sz="4" w:space="0"/>
        <w:left w:val="single" w:color="000000" w:sz="4" w:space="0"/>
        <w:right w:val="single" w:color="000000" w:sz="4" w:space="0"/>
      </w:pBdr>
      <w:shd w:val="clear" w:color="auto" w:fill="FFFFFF"/>
      <w:spacing w:before="100" w:beforeLines="0" w:beforeAutospacing="1" w:after="100" w:afterLines="0" w:afterAutospacing="1"/>
      <w:jc w:val="center"/>
    </w:pPr>
    <w:rPr>
      <w:rFonts w:ascii="宋体" w:hAnsi="宋体"/>
      <w:sz w:val="24"/>
    </w:rPr>
  </w:style>
  <w:style w:type="paragraph" w:customStyle="1" w:styleId="55">
    <w:name w:val="xl70"/>
    <w:basedOn w:val="1"/>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Lines="0" w:beforeAutospacing="1" w:after="100" w:afterLines="0" w:afterAutospacing="1"/>
      <w:jc w:val="left"/>
    </w:pPr>
    <w:rPr>
      <w:rFonts w:ascii="宋体" w:hAnsi="宋体"/>
      <w:sz w:val="24"/>
    </w:rPr>
  </w:style>
  <w:style w:type="paragraph" w:customStyle="1" w:styleId="56">
    <w:name w:val="xl74"/>
    <w:basedOn w:val="1"/>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Lines="0" w:beforeAutospacing="1" w:after="100" w:afterLines="0" w:afterAutospacing="1"/>
      <w:jc w:val="left"/>
    </w:pPr>
    <w:rPr>
      <w:rFonts w:ascii="Calibri" w:hAnsi="Calibri"/>
      <w:sz w:val="24"/>
    </w:rPr>
  </w:style>
  <w:style w:type="paragraph" w:customStyle="1" w:styleId="57">
    <w:name w:val="表格1"/>
    <w:basedOn w:val="1"/>
    <w:uiPriority w:val="0"/>
    <w:pPr>
      <w:spacing w:before="40" w:beforeLines="0" w:after="40" w:afterLines="0"/>
    </w:pPr>
    <w:rPr>
      <w:kern w:val="24"/>
    </w:rPr>
  </w:style>
  <w:style w:type="paragraph" w:customStyle="1" w:styleId="58">
    <w:name w:val="xl64"/>
    <w:basedOn w:val="1"/>
    <w:uiPriority w:val="0"/>
    <w:pPr>
      <w:widowControl/>
      <w:spacing w:before="100" w:beforeLines="0" w:beforeAutospacing="1" w:after="100" w:afterLines="0" w:afterAutospacing="1"/>
      <w:jc w:val="center"/>
    </w:pPr>
    <w:rPr>
      <w:rFonts w:ascii="Calibri" w:hAnsi="Calibri"/>
      <w:sz w:val="24"/>
    </w:rPr>
  </w:style>
  <w:style w:type="paragraph" w:customStyle="1" w:styleId="59">
    <w:name w:val="xl78"/>
    <w:basedOn w:val="1"/>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Lines="0" w:beforeAutospacing="1" w:after="100" w:afterLines="0" w:afterAutospacing="1"/>
      <w:jc w:val="right"/>
    </w:pPr>
    <w:rPr>
      <w:rFonts w:ascii="Calibri" w:hAnsi="Calibri"/>
      <w:sz w:val="24"/>
    </w:rPr>
  </w:style>
  <w:style w:type="paragraph" w:customStyle="1" w:styleId="60">
    <w:name w:val="xl63"/>
    <w:basedOn w:val="1"/>
    <w:uiPriority w:val="0"/>
    <w:pPr>
      <w:widowControl/>
      <w:spacing w:before="100" w:beforeLines="0" w:beforeAutospacing="1" w:after="100" w:afterLines="0" w:afterAutospacing="1"/>
      <w:jc w:val="left"/>
    </w:pPr>
    <w:rPr>
      <w:rFonts w:ascii="Calibri" w:hAnsi="Calibri"/>
      <w:sz w:val="24"/>
    </w:rPr>
  </w:style>
  <w:style w:type="paragraph" w:styleId="61">
    <w:name w:val=""/>
    <w:unhideWhenUsed/>
    <w:uiPriority w:val="99"/>
    <w:rPr>
      <w:kern w:val="2"/>
      <w:sz w:val="21"/>
      <w:lang w:val="en-US" w:eastAsia="zh-CN" w:bidi="ar-SA"/>
    </w:rPr>
  </w:style>
  <w:style w:type="paragraph" w:customStyle="1" w:styleId="62">
    <w:name w:val="font5"/>
    <w:basedOn w:val="1"/>
    <w:uiPriority w:val="0"/>
    <w:pPr>
      <w:widowControl/>
      <w:spacing w:before="100" w:beforeLines="0" w:beforeAutospacing="1" w:after="100" w:afterLines="0" w:afterAutospacing="1"/>
      <w:jc w:val="left"/>
    </w:pPr>
    <w:rPr>
      <w:rFonts w:ascii="宋体" w:hAnsi="宋体"/>
      <w:b/>
      <w:sz w:val="22"/>
    </w:rPr>
  </w:style>
  <w:style w:type="paragraph" w:customStyle="1" w:styleId="63">
    <w:name w:val="xl69"/>
    <w:basedOn w:val="1"/>
    <w:uiPriority w:val="0"/>
    <w:pPr>
      <w:widowControl/>
      <w:pBdr>
        <w:top w:val="single" w:color="000000" w:sz="4" w:space="0"/>
        <w:left w:val="single" w:color="000000" w:sz="4" w:space="0"/>
        <w:bottom w:val="single" w:color="000000" w:sz="4" w:space="0"/>
      </w:pBdr>
      <w:shd w:val="clear" w:color="auto" w:fill="FFFFFF"/>
      <w:spacing w:before="100" w:beforeLines="0" w:beforeAutospacing="1" w:after="100" w:afterLines="0" w:afterAutospacing="1"/>
      <w:jc w:val="center"/>
    </w:pPr>
    <w:rPr>
      <w:rFonts w:ascii="Calibri" w:hAnsi="Calibri"/>
      <w:sz w:val="24"/>
    </w:rPr>
  </w:style>
  <w:style w:type="paragraph" w:customStyle="1" w:styleId="64">
    <w:name w:val="文本"/>
    <w:basedOn w:val="15"/>
    <w:next w:val="15"/>
    <w:uiPriority w:val="0"/>
    <w:pPr>
      <w:tabs>
        <w:tab w:val="right" w:pos="4153"/>
        <w:tab w:val="clear" w:pos="8306"/>
      </w:tabs>
    </w:pPr>
    <w:rPr>
      <w:szCs w:val="20"/>
    </w:rPr>
  </w:style>
  <w:style w:type="paragraph" w:customStyle="1" w:styleId="65">
    <w:name w:val="xl75"/>
    <w:basedOn w:val="1"/>
    <w:uiPriority w:val="0"/>
    <w:pPr>
      <w:widowControl/>
      <w:pBdr>
        <w:top w:val="single" w:color="000000" w:sz="4" w:space="0"/>
        <w:left w:val="single" w:color="000000" w:sz="4" w:space="0"/>
        <w:bottom w:val="single" w:color="000000" w:sz="4" w:space="0"/>
      </w:pBdr>
      <w:shd w:val="clear" w:color="auto" w:fill="FFFFFF"/>
      <w:spacing w:before="100" w:beforeLines="0" w:beforeAutospacing="1" w:after="100" w:afterLines="0" w:afterAutospacing="1"/>
      <w:jc w:val="center"/>
    </w:pPr>
    <w:rPr>
      <w:rFonts w:ascii="宋体" w:hAnsi="宋体"/>
      <w:sz w:val="24"/>
    </w:rPr>
  </w:style>
  <w:style w:type="paragraph" w:customStyle="1" w:styleId="66">
    <w:name w:val="样式6 正文"/>
    <w:uiPriority w:val="0"/>
    <w:pPr>
      <w:spacing w:line="360" w:lineRule="auto"/>
      <w:ind w:firstLine="510"/>
    </w:pPr>
    <w:rPr>
      <w:sz w:val="24"/>
      <w:lang w:val="en-US" w:eastAsia="zh-CN" w:bidi="ar-SA"/>
    </w:rPr>
  </w:style>
  <w:style w:type="paragraph" w:customStyle="1" w:styleId="67">
    <w:name w:val="_Style 44"/>
    <w:basedOn w:val="1"/>
    <w:uiPriority w:val="0"/>
    <w:pPr>
      <w:topLinePunct/>
    </w:pPr>
  </w:style>
  <w:style w:type="paragraph" w:customStyle="1" w:styleId="68">
    <w:name w:val="图表"/>
    <w:basedOn w:val="1"/>
    <w:uiPriority w:val="0"/>
    <w:pPr>
      <w:jc w:val="center"/>
    </w:pPr>
    <w:rPr>
      <w:rFonts w:ascii="宋体"/>
      <w:sz w:val="24"/>
    </w:rPr>
  </w:style>
  <w:style w:type="paragraph" w:customStyle="1" w:styleId="69">
    <w:name w:val="Char"/>
    <w:basedOn w:val="1"/>
    <w:uiPriority w:val="0"/>
    <w:rPr>
      <w:rFonts w:ascii="仿宋_GB2312" w:eastAsia="仿宋_GB2312"/>
      <w:b/>
      <w:sz w:val="32"/>
    </w:rPr>
  </w:style>
  <w:style w:type="paragraph" w:customStyle="1" w:styleId="70">
    <w:name w:val="Char Char Char Char Char Char Char"/>
    <w:basedOn w:val="1"/>
    <w:uiPriority w:val="0"/>
  </w:style>
  <w:style w:type="paragraph" w:customStyle="1" w:styleId="71">
    <w:name w:val="xl71"/>
    <w:basedOn w:val="1"/>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sz w:val="24"/>
    </w:rPr>
  </w:style>
  <w:style w:type="paragraph" w:customStyle="1" w:styleId="72">
    <w:name w:val="font8"/>
    <w:basedOn w:val="1"/>
    <w:uiPriority w:val="0"/>
    <w:pPr>
      <w:widowControl/>
      <w:spacing w:before="100" w:beforeLines="0" w:beforeAutospacing="1" w:after="100" w:afterLines="0" w:afterAutospacing="1"/>
      <w:jc w:val="left"/>
    </w:pPr>
    <w:rPr>
      <w:rFonts w:ascii="Calibri" w:hAnsi="Calibri"/>
      <w:sz w:val="22"/>
    </w:rPr>
  </w:style>
  <w:style w:type="paragraph" w:customStyle="1" w:styleId="73">
    <w:name w:val="xl42"/>
    <w:basedOn w:val="1"/>
    <w:uiPriority w:val="0"/>
    <w:pPr>
      <w:widowControl/>
      <w:spacing w:before="100" w:beforeLines="0" w:beforeAutospacing="1" w:after="100" w:afterLines="0" w:afterAutospacing="1"/>
      <w:jc w:val="right"/>
    </w:pPr>
    <w:rPr>
      <w:rFonts w:ascii="宋体" w:hAnsi="宋体"/>
      <w:sz w:val="18"/>
    </w:rPr>
  </w:style>
  <w:style w:type="paragraph" w:customStyle="1" w:styleId="74">
    <w:name w:val="xl67"/>
    <w:basedOn w:val="1"/>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Lines="0" w:beforeAutospacing="1" w:after="100" w:afterLines="0" w:afterAutospacing="1"/>
      <w:jc w:val="center"/>
    </w:pPr>
    <w:rPr>
      <w:rFonts w:ascii="Calibri" w:hAnsi="Calibri"/>
      <w:b/>
      <w:sz w:val="24"/>
    </w:rPr>
  </w:style>
  <w:style w:type="character" w:customStyle="1" w:styleId="75">
    <w:name w:val="标题 1 Char"/>
    <w:basedOn w:val="22"/>
    <w:link w:val="2"/>
    <w:uiPriority w:val="0"/>
    <w:rPr>
      <w:rFonts w:ascii="Times New Roman" w:hAnsi="Times New Roman" w:eastAsia="黑体" w:cs="Times New Roman"/>
      <w:color w:val="000000"/>
      <w:kern w:val="44"/>
      <w:sz w:val="32"/>
      <w:szCs w:val="44"/>
    </w:rPr>
  </w:style>
  <w:style w:type="character" w:customStyle="1" w:styleId="76">
    <w:name w:val="标题 4 Char"/>
    <w:basedOn w:val="22"/>
    <w:link w:val="5"/>
    <w:uiPriority w:val="0"/>
    <w:rPr>
      <w:rFonts w:ascii="Times New Roman" w:hAnsi="Times New Roman" w:eastAsia="黑体" w:cs="Times New Roman"/>
      <w:bCs/>
      <w:kern w:val="2"/>
      <w:sz w:val="28"/>
      <w:szCs w:val="28"/>
    </w:rPr>
  </w:style>
  <w:style w:type="character" w:customStyle="1" w:styleId="77">
    <w:name w:val="标题 5 Char"/>
    <w:basedOn w:val="22"/>
    <w:link w:val="6"/>
    <w:uiPriority w:val="0"/>
    <w:rPr>
      <w:rFonts w:ascii="Times New Roman" w:hAnsi="Times New Roman" w:eastAsia="黑体" w:cs="Times New Roman"/>
      <w:bCs/>
      <w:kern w:val="2"/>
      <w:sz w:val="28"/>
      <w:szCs w:val="28"/>
    </w:rPr>
  </w:style>
  <w:style w:type="character" w:customStyle="1" w:styleId="78">
    <w:name w:val="标题 6 Char"/>
    <w:basedOn w:val="22"/>
    <w:link w:val="7"/>
    <w:uiPriority w:val="0"/>
    <w:rPr>
      <w:rFonts w:ascii="Times New Roman" w:hAnsi="Times New Roman" w:eastAsia="黑体" w:cs="Times New Roman"/>
      <w:bCs/>
      <w:kern w:val="2"/>
      <w:sz w:val="28"/>
      <w:szCs w:val="24"/>
    </w:rPr>
  </w:style>
  <w:style w:type="character" w:customStyle="1" w:styleId="79">
    <w:name w:val="标题 7 Char"/>
    <w:basedOn w:val="22"/>
    <w:link w:val="8"/>
    <w:uiPriority w:val="0"/>
    <w:rPr>
      <w:rFonts w:ascii="Times New Roman" w:hAnsi="Times New Roman" w:eastAsia="黑体" w:cs="Times New Roman"/>
      <w:bCs/>
      <w:kern w:val="2"/>
      <w:sz w:val="24"/>
      <w:szCs w:val="24"/>
    </w:rPr>
  </w:style>
  <w:style w:type="character" w:customStyle="1" w:styleId="80">
    <w:name w:val="批注文字 Char"/>
    <w:link w:val="11"/>
    <w:semiHidden/>
    <w:uiPriority w:val="99"/>
    <w:rPr>
      <w:kern w:val="2"/>
      <w:sz w:val="21"/>
    </w:rPr>
  </w:style>
  <w:style w:type="character" w:customStyle="1" w:styleId="81">
    <w:name w:val="批注框文本 Char"/>
    <w:link w:val="14"/>
    <w:uiPriority w:val="0"/>
    <w:rPr>
      <w:rFonts w:ascii="Times New Roman" w:hAnsi="Times New Roman" w:eastAsia="宋体" w:cs="Times New Roman"/>
      <w:sz w:val="18"/>
      <w:szCs w:val="18"/>
    </w:rPr>
  </w:style>
  <w:style w:type="character" w:customStyle="1" w:styleId="82">
    <w:name w:val="页脚 Char"/>
    <w:link w:val="15"/>
    <w:uiPriority w:val="0"/>
    <w:rPr>
      <w:sz w:val="18"/>
      <w:szCs w:val="18"/>
    </w:rPr>
  </w:style>
  <w:style w:type="character" w:customStyle="1" w:styleId="83">
    <w:name w:val="页眉 Char"/>
    <w:link w:val="16"/>
    <w:uiPriority w:val="0"/>
    <w:rPr>
      <w:sz w:val="18"/>
      <w:szCs w:val="18"/>
    </w:rPr>
  </w:style>
  <w:style w:type="character" w:customStyle="1" w:styleId="84">
    <w:name w:val="批注主题 Char"/>
    <w:link w:val="19"/>
    <w:semiHidden/>
    <w:uiPriority w:val="99"/>
    <w:rPr>
      <w:b/>
      <w:bCs/>
      <w:kern w:val="2"/>
      <w:sz w:val="21"/>
    </w:rPr>
  </w:style>
  <w:style w:type="character" w:customStyle="1" w:styleId="85">
    <w:name w:val="标题 2 Char"/>
    <w:uiPriority w:val="0"/>
    <w:rPr>
      <w:rFonts w:ascii="Cambria" w:hAnsi="Cambria" w:eastAsia="宋体" w:cs="黑体"/>
      <w:b/>
      <w:bCs/>
      <w:sz w:val="32"/>
      <w:szCs w:val="32"/>
    </w:rPr>
  </w:style>
  <w:style w:type="character" w:customStyle="1" w:styleId="86">
    <w:name w:val="space"/>
    <w:basedOn w:val="22"/>
    <w:uiPriority w:val="0"/>
  </w:style>
  <w:style w:type="character" w:customStyle="1" w:styleId="87">
    <w:name w:val="media_progress_loading"/>
    <w:basedOn w:val="22"/>
    <w:uiPriority w:val="0"/>
    <w:rPr>
      <w:shd w:val="clear" w:color="auto" w:fill="5089C0"/>
    </w:rPr>
  </w:style>
  <w:style w:type="character" w:customStyle="1" w:styleId="88">
    <w:name w:val="纯文本 Char2"/>
    <w:semiHidden/>
    <w:uiPriority w:val="99"/>
    <w:rPr>
      <w:rFonts w:ascii="宋体" w:hAnsi="Courier New" w:cs="Courier New"/>
      <w:kern w:val="2"/>
      <w:sz w:val="21"/>
      <w:szCs w:val="21"/>
    </w:rPr>
  </w:style>
  <w:style w:type="character" w:customStyle="1" w:styleId="89">
    <w:name w:val="font111"/>
    <w:uiPriority w:val="0"/>
    <w:rPr>
      <w:rFonts w:hint="eastAsia" w:ascii="宋体" w:hAnsi="宋体" w:eastAsia="宋体" w:cs="宋体"/>
      <w:color w:val="000000"/>
      <w:sz w:val="18"/>
      <w:szCs w:val="18"/>
      <w:u w:val="none"/>
    </w:rPr>
  </w:style>
  <w:style w:type="character" w:customStyle="1" w:styleId="90">
    <w:name w:val="delete_con"/>
    <w:basedOn w:val="22"/>
    <w:uiPriority w:val="0"/>
  </w:style>
  <w:style w:type="character" w:customStyle="1" w:styleId="91">
    <w:name w:val="font141"/>
    <w:uiPriority w:val="0"/>
    <w:rPr>
      <w:rFonts w:hint="default" w:ascii="Arial" w:hAnsi="Arial" w:cs="Arial"/>
      <w:b/>
      <w:color w:val="000000"/>
      <w:sz w:val="22"/>
      <w:szCs w:val="22"/>
      <w:u w:val="single"/>
    </w:rPr>
  </w:style>
  <w:style w:type="character" w:customStyle="1" w:styleId="92">
    <w:name w:val="font81"/>
    <w:uiPriority w:val="0"/>
    <w:rPr>
      <w:rFonts w:hint="eastAsia" w:ascii="宋体" w:hAnsi="宋体" w:eastAsia="宋体" w:cs="宋体"/>
      <w:color w:val="000000"/>
      <w:sz w:val="18"/>
      <w:szCs w:val="18"/>
      <w:u w:val="none"/>
    </w:rPr>
  </w:style>
  <w:style w:type="character" w:customStyle="1" w:styleId="93">
    <w:name w:val="icon_search1"/>
    <w:basedOn w:val="22"/>
    <w:uiPriority w:val="0"/>
  </w:style>
  <w:style w:type="character" w:customStyle="1" w:styleId="94">
    <w:name w:val="lemmatitleh1"/>
    <w:basedOn w:val="22"/>
    <w:uiPriority w:val="0"/>
  </w:style>
  <w:style w:type="character" w:customStyle="1" w:styleId="95">
    <w:name w:val="纯文本 Char1"/>
    <w:uiPriority w:val="0"/>
    <w:rPr>
      <w:rFonts w:hint="eastAsia" w:ascii="宋体" w:hAnsi="Courier New" w:eastAsia="宋体"/>
      <w:kern w:val="2"/>
      <w:sz w:val="21"/>
    </w:rPr>
  </w:style>
  <w:style w:type="character" w:customStyle="1" w:styleId="96">
    <w:name w:val="纯文本 Char"/>
    <w:link w:val="27"/>
    <w:uiPriority w:val="0"/>
    <w:rPr>
      <w:rFonts w:ascii="宋体" w:hAnsi="Courier New" w:eastAsia="宋体" w:cs="Times New Roman"/>
      <w:szCs w:val="20"/>
    </w:rPr>
  </w:style>
  <w:style w:type="character" w:customStyle="1" w:styleId="97">
    <w:name w:val="font11"/>
    <w:uiPriority w:val="0"/>
    <w:rPr>
      <w:rFonts w:hint="eastAsia" w:ascii="宋体" w:hAnsi="宋体" w:eastAsia="宋体" w:cs="宋体"/>
      <w:color w:val="000000"/>
      <w:sz w:val="24"/>
      <w:szCs w:val="24"/>
      <w:u w:val="none"/>
      <w:vertAlign w:val="superscript"/>
    </w:rPr>
  </w:style>
  <w:style w:type="character" w:customStyle="1" w:styleId="98">
    <w:name w:val="样式 段前: 0.5 行 行距: 固定值 23 磅 Char"/>
    <w:link w:val="28"/>
    <w:uiPriority w:val="0"/>
    <w:rPr>
      <w:rFonts w:cs="宋体"/>
      <w:sz w:val="24"/>
      <w:szCs w:val="20"/>
    </w:rPr>
  </w:style>
  <w:style w:type="character" w:customStyle="1" w:styleId="99">
    <w:name w:val="font131"/>
    <w:uiPriority w:val="0"/>
    <w:rPr>
      <w:rFonts w:hint="default" w:ascii="Arial" w:hAnsi="Arial" w:cs="Arial"/>
      <w:color w:val="000000"/>
      <w:sz w:val="18"/>
      <w:szCs w:val="18"/>
      <w:u w:val="none"/>
    </w:rPr>
  </w:style>
  <w:style w:type="character" w:customStyle="1" w:styleId="100">
    <w:name w:val="progress_loading6"/>
    <w:basedOn w:val="22"/>
    <w:uiPriority w:val="0"/>
    <w:rPr>
      <w:shd w:val="clear" w:color="auto" w:fill="5089C0"/>
    </w:rPr>
  </w:style>
  <w:style w:type="character" w:customStyle="1" w:styleId="101">
    <w:name w:val="fl1"/>
    <w:basedOn w:val="22"/>
    <w:uiPriority w:val="0"/>
  </w:style>
  <w:style w:type="character" w:customStyle="1" w:styleId="102">
    <w:name w:val="font01"/>
    <w:uiPriority w:val="0"/>
    <w:rPr>
      <w:rFonts w:ascii="Arial" w:hAnsi="Arial" w:cs="Arial"/>
      <w:color w:val="000000"/>
      <w:sz w:val="20"/>
      <w:szCs w:val="20"/>
      <w:u w:val="none"/>
    </w:rPr>
  </w:style>
  <w:style w:type="character" w:customStyle="1" w:styleId="103">
    <w:name w:val="标题 2 Char Char"/>
    <w:link w:val="29"/>
    <w:uiPriority w:val="0"/>
    <w:rPr>
      <w:rFonts w:ascii="Cambria" w:hAnsi="Cambria"/>
      <w:b/>
      <w:sz w:val="32"/>
    </w:rPr>
  </w:style>
  <w:style w:type="character" w:customStyle="1" w:styleId="104">
    <w:name w:val="look_show_list"/>
    <w:basedOn w:val="22"/>
    <w:uiPriority w:val="0"/>
  </w:style>
  <w:style w:type="character" w:customStyle="1" w:styleId="105">
    <w:name w:val="font21"/>
    <w:uiPriority w:val="0"/>
    <w:rPr>
      <w:rFonts w:hint="default" w:ascii="Arial" w:hAnsi="Arial" w:cs="Arial"/>
      <w:color w:val="000000"/>
      <w:sz w:val="18"/>
      <w:szCs w:val="18"/>
      <w:u w:val="none"/>
    </w:rPr>
  </w:style>
  <w:style w:type="character" w:customStyle="1" w:styleId="106">
    <w:name w:val="font161"/>
    <w:uiPriority w:val="0"/>
    <w:rPr>
      <w:rFonts w:hint="default" w:ascii="Arial" w:hAnsi="Arial" w:cs="Arial"/>
      <w:color w:val="000000"/>
      <w:sz w:val="18"/>
      <w:szCs w:val="18"/>
      <w:u w:val="none"/>
    </w:rPr>
  </w:style>
  <w:style w:type="character" w:customStyle="1" w:styleId="107">
    <w:name w:val="fe-font3"/>
    <w:basedOn w:val="22"/>
    <w:uiPriority w:val="0"/>
    <w:rPr>
      <w:color w:val="00B4FF"/>
      <w:sz w:val="27"/>
      <w:szCs w:val="27"/>
    </w:rPr>
  </w:style>
  <w:style w:type="character" w:customStyle="1" w:styleId="108">
    <w:name w:val="media_progress_loading1"/>
    <w:basedOn w:val="22"/>
    <w:uiPriority w:val="0"/>
    <w:rPr>
      <w:shd w:val="clear" w:color="auto" w:fill="5089C0"/>
    </w:rPr>
  </w:style>
  <w:style w:type="character" w:customStyle="1" w:styleId="109">
    <w:name w:val="cdropright"/>
    <w:basedOn w:val="22"/>
    <w:uiPriority w:val="0"/>
  </w:style>
  <w:style w:type="character" w:customStyle="1" w:styleId="110">
    <w:name w:val="progress_done"/>
    <w:basedOn w:val="22"/>
    <w:uiPriority w:val="0"/>
    <w:rPr>
      <w:shd w:val="clear" w:color="auto" w:fill="009900"/>
    </w:rPr>
  </w:style>
  <w:style w:type="character" w:customStyle="1" w:styleId="111">
    <w:name w:val="font31"/>
    <w:uiPriority w:val="0"/>
    <w:rPr>
      <w:rFonts w:hint="eastAsia" w:ascii="宋体" w:hAnsi="宋体" w:eastAsia="宋体" w:cs="宋体"/>
      <w:color w:val="000000"/>
      <w:sz w:val="20"/>
      <w:szCs w:val="20"/>
      <w:u w:val="none"/>
    </w:rPr>
  </w:style>
  <w:style w:type="character" w:customStyle="1" w:styleId="112">
    <w:name w:val="正文文本缩进 2 Char"/>
    <w:link w:val="30"/>
    <w:uiPriority w:val="0"/>
    <w:rPr>
      <w:rFonts w:ascii="楷体_GB2312" w:hAnsi="宋体" w:eastAsia="楷体_GB2312" w:cs="Times New Roman"/>
      <w:sz w:val="30"/>
      <w:szCs w:val="20"/>
    </w:rPr>
  </w:style>
  <w:style w:type="character" w:customStyle="1" w:styleId="113">
    <w:name w:val="fl"/>
    <w:basedOn w:val="22"/>
    <w:uiPriority w:val="0"/>
    <w:rPr>
      <w:color w:val="999999"/>
    </w:rPr>
  </w:style>
  <w:style w:type="character" w:customStyle="1" w:styleId="114">
    <w:name w:val="fe-font2"/>
    <w:basedOn w:val="22"/>
    <w:uiPriority w:val="0"/>
    <w:rPr>
      <w:sz w:val="39"/>
      <w:szCs w:val="39"/>
    </w:rPr>
  </w:style>
  <w:style w:type="character" w:customStyle="1" w:styleId="115">
    <w:name w:val="文档结构图 Char"/>
    <w:link w:val="31"/>
    <w:uiPriority w:val="0"/>
    <w:rPr>
      <w:rFonts w:ascii="Times New Roman" w:hAnsi="Times New Roman" w:eastAsia="宋体" w:cs="Times New Roman"/>
      <w:szCs w:val="20"/>
      <w:shd w:val="clear" w:color="auto" w:fill="000080"/>
    </w:rPr>
  </w:style>
  <w:style w:type="character" w:customStyle="1" w:styleId="116">
    <w:name w:val="font61"/>
    <w:uiPriority w:val="0"/>
    <w:rPr>
      <w:rFonts w:hint="eastAsia" w:ascii="宋体" w:hAnsi="宋体" w:eastAsia="宋体" w:cs="宋体"/>
      <w:color w:val="000000"/>
      <w:sz w:val="18"/>
      <w:szCs w:val="18"/>
      <w:u w:val="none"/>
      <w:vertAlign w:val="superscript"/>
    </w:rPr>
  </w:style>
  <w:style w:type="character" w:customStyle="1" w:styleId="117">
    <w:name w:val="media_progress_done1"/>
    <w:basedOn w:val="22"/>
    <w:uiPriority w:val="0"/>
    <w:rPr>
      <w:shd w:val="clear" w:color="auto" w:fill="009900"/>
    </w:rPr>
  </w:style>
  <w:style w:type="character" w:customStyle="1" w:styleId="118">
    <w:name w:val="font51"/>
    <w:uiPriority w:val="0"/>
    <w:rPr>
      <w:rFonts w:hint="eastAsia" w:ascii="宋体" w:hAnsi="宋体" w:eastAsia="宋体" w:cs="宋体"/>
      <w:b/>
      <w:color w:val="000000"/>
      <w:sz w:val="22"/>
      <w:szCs w:val="22"/>
      <w:u w:val="single"/>
    </w:rPr>
  </w:style>
  <w:style w:type="character" w:customStyle="1" w:styleId="119">
    <w:name w:val="delete_con1"/>
    <w:basedOn w:val="22"/>
    <w:uiPriority w:val="0"/>
  </w:style>
  <w:style w:type="character" w:customStyle="1" w:styleId="120">
    <w:name w:val="font71"/>
    <w:uiPriority w:val="0"/>
    <w:rPr>
      <w:rFonts w:hint="default" w:ascii="Arial" w:hAnsi="Arial" w:cs="Arial"/>
      <w:b/>
      <w:color w:val="000000"/>
      <w:sz w:val="18"/>
      <w:szCs w:val="18"/>
      <w:u w:val="none"/>
    </w:rPr>
  </w:style>
  <w:style w:type="character" w:customStyle="1" w:styleId="121">
    <w:name w:val="访问过的超链接1"/>
    <w:uiPriority w:val="0"/>
    <w:rPr>
      <w:color w:val="800080"/>
      <w:u w:val="single"/>
    </w:rPr>
  </w:style>
  <w:style w:type="character" w:customStyle="1" w:styleId="122">
    <w:name w:val="media_progress_done"/>
    <w:basedOn w:val="22"/>
    <w:uiPriority w:val="0"/>
    <w:rPr>
      <w:shd w:val="clear" w:color="auto" w:fill="009900"/>
    </w:rPr>
  </w:style>
  <w:style w:type="character" w:customStyle="1" w:styleId="123">
    <w:name w:val="fl4"/>
    <w:basedOn w:val="22"/>
    <w:uiPriority w:val="0"/>
  </w:style>
  <w:style w:type="character" w:customStyle="1" w:styleId="124">
    <w:name w:val="font171"/>
    <w:uiPriority w:val="0"/>
    <w:rPr>
      <w:rFonts w:hint="eastAsia" w:ascii="宋体" w:hAnsi="宋体" w:eastAsia="宋体" w:cs="宋体"/>
      <w:color w:val="000000"/>
      <w:sz w:val="18"/>
      <w:szCs w:val="18"/>
      <w:u w:val="none"/>
    </w:rPr>
  </w:style>
  <w:style w:type="character" w:customStyle="1" w:styleId="125">
    <w:name w:val="正文文本缩进 2 Char1"/>
    <w:uiPriority w:val="0"/>
    <w:rPr>
      <w:rFonts w:hint="default" w:ascii="Times New Roman" w:hAnsi="Times New Roman" w:cs="Times New Roman"/>
      <w:kern w:val="2"/>
      <w:sz w:val="21"/>
    </w:rPr>
  </w:style>
  <w:style w:type="character" w:customStyle="1" w:styleId="126">
    <w:name w:val="cdropleft"/>
    <w:basedOn w:val="22"/>
    <w:uiPriority w:val="0"/>
  </w:style>
  <w:style w:type="character" w:customStyle="1" w:styleId="127">
    <w:name w:val="icon_search"/>
    <w:basedOn w:val="22"/>
    <w:uiPriority w:val="0"/>
  </w:style>
  <w:style w:type="character" w:customStyle="1" w:styleId="128">
    <w:name w:val="无间隔 Char"/>
    <w:link w:val="32"/>
    <w:uiPriority w:val="0"/>
    <w:rPr>
      <w:rFonts w:ascii="Calibri" w:hAnsi="Calibri" w:cs="Calibri"/>
      <w:sz w:val="22"/>
      <w:lang w:val="en-US" w:eastAsia="zh-CN" w:bidi="ar-SA"/>
    </w:rPr>
  </w:style>
  <w:style w:type="character" w:customStyle="1" w:styleId="129">
    <w:name w:val="font91"/>
    <w:uiPriority w:val="0"/>
    <w:rPr>
      <w:rFonts w:hint="eastAsia" w:ascii="宋体" w:hAnsi="宋体" w:eastAsia="宋体" w:cs="宋体"/>
      <w:b/>
      <w:color w:val="000000"/>
      <w:sz w:val="22"/>
      <w:szCs w:val="22"/>
      <w:u w:val="none"/>
    </w:rPr>
  </w:style>
  <w:style w:type="character" w:customStyle="1" w:styleId="130">
    <w:name w:val="font101"/>
    <w:uiPriority w:val="0"/>
    <w:rPr>
      <w:rFonts w:hint="eastAsia" w:ascii="宋体" w:hAnsi="宋体" w:eastAsia="宋体" w:cs="宋体"/>
      <w:color w:val="000000"/>
      <w:sz w:val="20"/>
      <w:szCs w:val="20"/>
      <w:u w:val="none"/>
    </w:rPr>
  </w:style>
  <w:style w:type="character" w:customStyle="1" w:styleId="131">
    <w:name w:val="fl3"/>
    <w:basedOn w:val="22"/>
    <w:uiPriority w:val="0"/>
    <w:rPr>
      <w:color w:val="999999"/>
    </w:rPr>
  </w:style>
  <w:style w:type="character" w:customStyle="1" w:styleId="132">
    <w:name w:val="font41"/>
    <w:uiPriority w:val="0"/>
    <w:rPr>
      <w:rFonts w:hint="eastAsia" w:ascii="宋体" w:hAnsi="宋体" w:eastAsia="宋体" w:cs="宋体"/>
      <w:color w:val="000000"/>
      <w:sz w:val="18"/>
      <w:szCs w:val="18"/>
      <w:u w:val="none"/>
      <w:vertAlign w:val="superscript"/>
    </w:rPr>
  </w:style>
  <w:style w:type="character" w:customStyle="1" w:styleId="133">
    <w:name w:val="font151"/>
    <w:uiPriority w:val="0"/>
    <w:rPr>
      <w:rFonts w:hint="default" w:ascii="Arial" w:hAnsi="Arial" w:cs="Arial"/>
      <w:b/>
      <w:color w:val="000000"/>
      <w:sz w:val="22"/>
      <w:szCs w:val="22"/>
      <w:u w:val="single"/>
    </w:rPr>
  </w:style>
  <w:style w:type="character" w:customStyle="1" w:styleId="134">
    <w:name w:val="日期 Char"/>
    <w:link w:val="33"/>
    <w:uiPriority w:val="0"/>
    <w:rPr>
      <w:rFonts w:ascii="Times New Roman" w:hAnsi="Times New Roman" w:eastAsia="宋体" w:cs="Times New Roman"/>
      <w:szCs w:val="20"/>
    </w:rPr>
  </w:style>
  <w:style w:type="character" w:customStyle="1" w:styleId="135">
    <w:name w:val="标题 3 Char"/>
    <w:link w:val="34"/>
    <w:uiPriority w:val="0"/>
    <w:rPr>
      <w:b/>
      <w:sz w:val="32"/>
    </w:rPr>
  </w:style>
  <w:style w:type="character" w:customStyle="1" w:styleId="136">
    <w:name w:val="progress_done6"/>
    <w:basedOn w:val="22"/>
    <w:uiPriority w:val="0"/>
    <w:rPr>
      <w:shd w:val="clear" w:color="auto" w:fill="0099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27</Pages>
  <Words>7252</Words>
  <Characters>7522</Characters>
  <Lines>52</Lines>
  <Paragraphs>14</Paragraphs>
  <TotalTime>2</TotalTime>
  <ScaleCrop>false</ScaleCrop>
  <LinksUpToDate>false</LinksUpToDate>
  <CharactersWithSpaces>7620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2018-12-14T08:23:00Z</dcterms:created>
  <dc:creator>李娜</dc:creator>
  <cp:lastModifiedBy>许丹绮</cp:lastModifiedBy>
  <cp:lastPrinted>2019-01-18T09:21:00Z</cp:lastPrinted>
  <dcterms:modified xsi:type="dcterms:W3CDTF">2026-07-16T07:43:31Z</dcterms:modified>
  <dc:title>田巍巍</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KSOTemplateDocerSaveRecord">
    <vt:lpwstr>eyJoZGlkIjoiMzE1ZGRiODkzNzI5YmJhZDQ3YjIyYjk1Njk0ZTk5MjEiLCJ1c2VySWQiOiI0NTMxNTEyMDEifQ==</vt:lpwstr>
  </property>
  <property fmtid="{D5CDD505-2E9C-101B-9397-08002B2CF9AE}" pid="4" name="ICV">
    <vt:lpwstr>09CBE76244024C2E9345C663B0B57BCF_12</vt:lpwstr>
  </property>
</Properties>
</file>