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/>
          <w:spacing w:val="-6"/>
          <w:sz w:val="52"/>
          <w:szCs w:val="52"/>
          <w:lang w:eastAsia="zh-CN"/>
        </w:rPr>
        <w:t>珠海正方资产运营管理有限公司</w:t>
      </w: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/>
          <w:spacing w:val="-6"/>
          <w:sz w:val="52"/>
          <w:szCs w:val="52"/>
          <w:lang w:eastAsia="zh-CN"/>
        </w:rPr>
        <w:t>数据采集项目</w:t>
      </w: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宋体" w:hAnsi="宋体"/>
          <w:b/>
          <w:spacing w:val="-6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spacing w:val="-6"/>
          <w:sz w:val="52"/>
          <w:szCs w:val="52"/>
          <w:lang w:eastAsia="zh-CN"/>
        </w:rPr>
        <w:t>技术任务书</w:t>
      </w: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1000" w:lineRule="exact"/>
        <w:jc w:val="center"/>
        <w:rPr>
          <w:rFonts w:ascii="黑体" w:hAnsi="黑体" w:eastAsia="黑体" w:cs="黑体"/>
          <w:b/>
          <w:spacing w:val="-6"/>
          <w:sz w:val="52"/>
          <w:szCs w:val="52"/>
          <w:lang w:eastAsia="zh-CN"/>
        </w:rPr>
      </w:pPr>
    </w:p>
    <w:p>
      <w:pPr>
        <w:spacing w:line="360" w:lineRule="auto"/>
        <w:jc w:val="center"/>
        <w:outlineLvl w:val="0"/>
        <w:rPr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编制日期：202</w:t>
      </w:r>
      <w:r>
        <w:rPr>
          <w:rFonts w:ascii="黑体" w:hAnsi="黑体" w:eastAsia="黑体" w:cs="黑体"/>
          <w:sz w:val="30"/>
          <w:szCs w:val="30"/>
          <w:lang w:eastAsia="zh-CN"/>
        </w:rPr>
        <w:t>6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年</w:t>
      </w:r>
      <w:r>
        <w:rPr>
          <w:rFonts w:ascii="黑体" w:hAnsi="黑体" w:eastAsia="黑体" w:cs="黑体"/>
          <w:sz w:val="30"/>
          <w:szCs w:val="30"/>
          <w:lang w:eastAsia="zh-CN"/>
        </w:rPr>
        <w:t>6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月</w:t>
      </w: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一、项目名称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数据采集项目</w:t>
      </w: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二、项目背景</w:t>
      </w:r>
    </w:p>
    <w:p>
      <w:pPr>
        <w:spacing w:after="120"/>
        <w:rPr>
          <w:lang w:eastAsia="zh-CN"/>
        </w:rPr>
      </w:pPr>
      <w:r>
        <w:rPr>
          <w:lang w:eastAsia="zh-CN"/>
        </w:rPr>
        <w:t>为提升我司旗下商业项目商户销售数据管理水平，规范商户销售数据上报、采集、核对及分析流程，减少人工统计工作量，提高销售数据的及时性、准确性和可追溯性，拟建设数据采集系统。通过建设统一的数据采集平台，实现我司旗下所有商业项目商户销售数据统一管理。</w:t>
      </w:r>
    </w:p>
    <w:p>
      <w:pPr>
        <w:pStyle w:val="3"/>
      </w:pPr>
      <w:r>
        <w:rPr>
          <w:rFonts w:ascii="微软雅黑" w:hAnsi="微软雅黑" w:eastAsia="微软雅黑"/>
          <w:color w:val="000000"/>
          <w:sz w:val="30"/>
        </w:rPr>
        <w:t>三、建设目标</w:t>
      </w:r>
    </w:p>
    <w:p>
      <w:pPr>
        <w:pStyle w:val="14"/>
        <w:spacing w:after="60"/>
        <w:rPr>
          <w:lang w:eastAsia="zh-CN"/>
        </w:rPr>
      </w:pPr>
      <w:bookmarkStart w:id="0" w:name="_Hlk232587355"/>
      <w:r>
        <w:rPr>
          <w:lang w:eastAsia="zh-CN"/>
        </w:rPr>
        <w:t>建立统一的数据采集管理平台，覆盖我司旗下所有商业项目商户。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实现所有商户销售数据手工上报、查询、审核、统计及导出。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对首批约40家商户安装硬件采集设备，实现销售数据自动采集。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支持销售数据采集、手报数据、日结数据等多来源数据核对。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支持项目、商户、业态、楼层、日期等多维度销售统计分析。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建立采集设备在线监控及异常管理机制。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支持后续新增项目、新增商户、新增采集点位和新增采集方式。</w:t>
      </w:r>
    </w:p>
    <w:p>
      <w:pPr>
        <w:pStyle w:val="14"/>
        <w:spacing w:after="60"/>
        <w:rPr>
          <w:lang w:eastAsia="zh-CN"/>
        </w:rPr>
      </w:pPr>
      <w:r>
        <w:rPr>
          <w:lang w:eastAsia="zh-CN"/>
        </w:rPr>
        <w:t>具备与其他业务系统对接的能力，为后续商管系统、</w:t>
      </w:r>
      <w:r>
        <w:rPr>
          <w:rFonts w:hint="eastAsia"/>
          <w:lang w:eastAsia="zh-CN"/>
        </w:rPr>
        <w:t>E</w:t>
      </w:r>
      <w:r>
        <w:rPr>
          <w:lang w:eastAsia="zh-CN"/>
        </w:rPr>
        <w:t>RP系统、BI系统等系统联动提供基础。</w:t>
      </w:r>
    </w:p>
    <w:bookmarkEnd w:id="0"/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四、总体要求</w:t>
      </w:r>
    </w:p>
    <w:p>
      <w:pPr>
        <w:spacing w:after="120" w:line="240" w:lineRule="auto"/>
        <w:rPr>
          <w:szCs w:val="21"/>
          <w:lang w:eastAsia="zh-CN"/>
        </w:rPr>
      </w:pPr>
      <w:r>
        <w:rPr>
          <w:szCs w:val="21"/>
          <w:lang w:eastAsia="zh-CN"/>
        </w:rPr>
        <w:t>本项目建设应以“覆盖全商户、重点商户自动采集、数据可核对、报表可分析、系统可扩展”为原则。</w:t>
      </w:r>
    </w:p>
    <w:p>
      <w:pPr>
        <w:spacing w:after="120" w:line="240" w:lineRule="auto"/>
        <w:rPr>
          <w:szCs w:val="21"/>
          <w:lang w:eastAsia="zh-CN"/>
        </w:rPr>
      </w:pPr>
      <w:r>
        <w:rPr>
          <w:szCs w:val="21"/>
          <w:lang w:eastAsia="zh-CN"/>
        </w:rPr>
        <w:t>投标方应提供完整的数据采集项目解决方案，满足我司旗下商业项目商户销售数据管理需要，提升商户销售数据采集效率和管理规范性，为后续经营分析、商户评估和系统对接提供数据基础。</w:t>
      </w:r>
    </w:p>
    <w:p>
      <w:pPr>
        <w:spacing w:after="120" w:line="240" w:lineRule="auto"/>
        <w:rPr>
          <w:szCs w:val="21"/>
          <w:lang w:eastAsia="zh-CN"/>
        </w:rPr>
      </w:pPr>
      <w:r>
        <w:rPr>
          <w:szCs w:val="21"/>
          <w:lang w:eastAsia="zh-CN"/>
        </w:rPr>
        <w:t>系统建设及实施过程中，应尽量减少对商户原有经营流程和收银流程的影响，保障系统稳定运行、数据安全可靠、后续扩展便利。</w:t>
      </w:r>
    </w:p>
    <w:p>
      <w:pPr>
        <w:pStyle w:val="3"/>
      </w:pPr>
      <w:r>
        <w:rPr>
          <w:rFonts w:ascii="微软雅黑" w:hAnsi="微软雅黑" w:eastAsia="微软雅黑"/>
          <w:color w:val="000000"/>
          <w:sz w:val="30"/>
        </w:rPr>
        <w:t>五、实施范围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范围类别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覆盖范围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本项目实施范围为我司旗下所有商业项目商户。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手工上报范围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所有商户均需纳入系统管理，支持销售数据手工上报、查询、审核、统计及导出。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硬件采集范围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首批约40家商户需安装硬件采集设备，实现销售数据自动采集。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商户清单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具体需安装硬件设备的商户名单、点位数量及安装位置，以甲方最终确认的商户清单和现场勘察结果为准。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扩展范围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系统需支持后续新增项目、新增商户、新增采集点位及新增采集方式。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对接范围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系统需具备与其他系统进行数据对接的能力，满足后续业务扩展需要。</w:t>
            </w:r>
          </w:p>
        </w:tc>
      </w:tr>
    </w:tbl>
    <w:p>
      <w:pPr>
        <w:rPr>
          <w:lang w:eastAsia="zh-CN"/>
        </w:rPr>
      </w:pP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六、投标方及项目实施要求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要求类别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投标方能力要求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投标方应具备成熟的数据采集系统建设及实施能力，具备商业项目、购物中心或类似场景的数据采集项目经验。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系统产品能力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投标方应具备稳定的数据采集系统产品能力，能够满足多项目、多商户统一管理需求。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硬件实施能力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投标方应具备硬件设备供应、安装、调试及后续维护能力。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SaaS运维能力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投标方应具备SaaS系统运行维护能力，保障系统稳定、安全运行。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数据核对能力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投标方应具备销售数据采集、手报数据管理、数据核对及异常处理能力。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商户培训能力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投标方应具备面向甲方人员及项目商户的培训和推广能力。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系统对接能力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投标方应具备后续与</w:t>
            </w:r>
            <w:r>
              <w:rPr>
                <w:rFonts w:hint="eastAsia"/>
                <w:sz w:val="18"/>
                <w:lang w:eastAsia="zh-CN"/>
              </w:rPr>
              <w:t>商管系统、</w:t>
            </w:r>
            <w:r>
              <w:rPr>
                <w:sz w:val="18"/>
                <w:lang w:eastAsia="zh-CN"/>
              </w:rPr>
              <w:t>ERP系统、BI系统等系统对接的能力。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项目负责人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投标方应指定项目负责人，负责项目实施全过程沟通协调。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数据保密要求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投标方应对项目实施过程中接触到的甲方经营数据、商户信息、销售数据及其他商业信息承担保密义务。未经甲方书面同意，不得将相关数据用于本项目以外的任何用途。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文档交付要求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投标方应提交项目实施计划、系统功能说明、系统操作手册、商户操作指引、培训视频、设备安装清单、设备维护说明、接口能力说明、运维服务说明及验收资料。</w:t>
            </w:r>
          </w:p>
        </w:tc>
      </w:tr>
    </w:tbl>
    <w:p>
      <w:pPr>
        <w:rPr>
          <w:lang w:eastAsia="zh-CN"/>
        </w:rPr>
      </w:pP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七、系统功能需求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投标方应提供成熟、稳定的数据采集系统，系统应支持多项目、多商户统一管理，满足商户销售数据手工上报、自动采集、数据核对、报表分析、设备管理、权限管理、日志追溯及系统对接等需求。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814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2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序号</w:t>
            </w:r>
          </w:p>
        </w:tc>
        <w:tc>
          <w:tcPr>
            <w:tcW w:w="181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功能模块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功能要求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系统总体功能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系统应支持SaaS方式部署，支持多项目、多商户统一管理，满足我司旗下所有商业项目商户的数据采集、手工上报、数据核对、报表分析和后续扩展使用需求。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项目管理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系统应支持我司旗下多个商业项目统一管理，可按项目查看商户信息、销售数据、设备状态、报表统计及异常情况。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商户管理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系统应支持商户基础信息维护，包括项目名称、商户名称、店铺编号、铺位号、楼层、业态、联系人、联系方式、商户状态、是否安装采集设备等信息。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商户查询筛选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系统应支持按项目、楼层、业态、商户名称、商户状态、是否安装采集设备等条件进行查询、筛选和导出。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销售数据手工上报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系统应支持所有商户按日填报销售数据，支持补录历史销售数据，满足未安装硬件设备商户的日常销售数据填报需求。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手报数据管理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系统应支持手报数据提交、修改、审核、退回、查询、导出，并支持上传相关凭证或说明材料。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填报状态管理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系统应支持后台查看商户填报状态，可对未填报、迟填报、异常填报商户进行统计和提醒。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自动采集功能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系统应支持通过硬件设备对约40家商户销售数据进行自动采集，支持采集商户日常交易流水、日结数据或其他销售相关数据。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9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采集数据上传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系统应支持采集数据自动上传至后台，并可按项目、商户、日期等条件进行查询、筛选和导出。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10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采集数据处理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系统应支持采集数据补采、重新处理、异常提示和数据状态查看。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11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数据核对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系统应支持采集数据与商户手报数据、日结数据进行比对，显示差异金额、差异比例等信息。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12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异常数据管理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系统应支持对异常数据进行标记、查询、处理、审核、确认、退回，并支持填写异常原因和处理说明。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13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数据追溯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系统应支持形成数据核对记录和异常处理记录，便于后续查询和追溯。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14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销售日报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系统应支持按项目、商户、日期生成销售日报，展示每日销售数据、填报情况、采集情况及异常情况。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15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销售月报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系统应支持按项目、商户、月份生成销售月报，展示月度销售汇总、趋势及商户表现。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16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商户销售报表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系统应支持商户销售明细表、商户销售汇总表、商户销售排名等报表。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17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项目销售报表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系统应支持项目销售汇总表，能够按项目维度查看销售总额、商户销售情况及整体经营数据。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18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业态及楼层分析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系统应支持按业态、楼层等维度进行销售统计分析，支撑经营分析和商户评估。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19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手报与采集对比报表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系统应支持生成手报数据与自动采集数据对比表，用于发现销售数据差异。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20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异常统计报表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系统应支持异常数据统计表，包括未填报、迟填报、数据差异、设备异常等统计内容。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21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设备管理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系统应支持采集设备基础信息管理、设备与商户绑定、设备变更、解绑、更换及安装记录管理。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22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设备状态监控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系统应支持查看设备在线、离线、故障等状态，并支持设备运行记录查询。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23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设备异常提醒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系统应支持设备异常提示或提醒，便于后台人员及时发现设备离线、异常或采集失败情况。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24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权限管理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系统应支持不同角色、不同权限的账号管理，至少包括系统管理员、项目管理人员、运营人员、审核人员、商户账号等角色。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25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角色权限配置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系统应支持按角色配置数据查看、数据填报、数据审核、数据导出、商户管理、设备管理、系统配置等权限。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26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操作日志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系统应支持用户登录、数据新增、数据修改、数据审核、数据退回、数据导出、设备变更等操作日志记录。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27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数据导出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系统应支持商户数据、销售数据、手报数据、采集数据、核对数据、报表数据、设备数据等信息导出。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28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系统对接能力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系统应具备标准化数据接口能力，支持后续与</w:t>
            </w:r>
            <w:r>
              <w:rPr>
                <w:rFonts w:hint="eastAsia"/>
                <w:sz w:val="17"/>
                <w:lang w:eastAsia="zh-CN"/>
              </w:rPr>
              <w:t>商管系统、</w:t>
            </w:r>
            <w:r>
              <w:rPr>
                <w:sz w:val="17"/>
                <w:lang w:eastAsia="zh-CN"/>
              </w:rPr>
              <w:t>ERP系统、BI系统等及其他甲方指定系统进行数据对接。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29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系统扩展能力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系统应支持后续新增商业项目、新增商户、新增采集点位、新增采集方式、新增报表及新增接口。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30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数据安全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系统应具备账号权限控制、操作日志、数据备份、数据导出及数据安全保障机制，甲方数据归甲方所有。</w:t>
            </w:r>
          </w:p>
        </w:tc>
      </w:tr>
    </w:tbl>
    <w:p>
      <w:pPr>
        <w:rPr>
          <w:lang w:eastAsia="zh-CN"/>
        </w:rPr>
      </w:pPr>
    </w:p>
    <w:p>
      <w:pPr>
        <w:pStyle w:val="4"/>
        <w:rPr>
          <w:lang w:eastAsia="zh-CN"/>
        </w:rPr>
      </w:pPr>
      <w:r>
        <w:rPr>
          <w:rFonts w:ascii="微软雅黑" w:hAnsi="微软雅黑" w:eastAsia="微软雅黑"/>
          <w:color w:val="000000"/>
          <w:sz w:val="24"/>
          <w:lang w:eastAsia="zh-CN"/>
        </w:rPr>
        <w:t>系统对接能力说明</w:t>
      </w:r>
    </w:p>
    <w:p>
      <w:pPr>
        <w:spacing w:after="120"/>
        <w:rPr>
          <w:lang w:eastAsia="zh-CN"/>
        </w:rPr>
      </w:pPr>
      <w:r>
        <w:rPr>
          <w:lang w:eastAsia="zh-CN"/>
        </w:rPr>
        <w:t>系统需具备与其他系统进行数据对接的能力。投标方应在技术方案中说明系统的数据接口能力、可对接范围、接口开放方式、数据交换能力及相关实施经验。</w:t>
      </w:r>
    </w:p>
    <w:p>
      <w:pPr>
        <w:spacing w:after="120"/>
        <w:rPr>
          <w:lang w:eastAsia="zh-CN"/>
        </w:rPr>
      </w:pPr>
      <w:r>
        <w:rPr>
          <w:lang w:eastAsia="zh-CN"/>
        </w:rPr>
        <w:t>本次技术标重点考察投标方系统对接能力、接口开放能力、系统扩展能力及类似项目经验。具体对接系统、接口字段、开发工作量及实施范围，以甲方后续实际需求确认为准。</w:t>
      </w:r>
    </w:p>
    <w:p>
      <w:pPr>
        <w:spacing w:after="120"/>
        <w:rPr>
          <w:lang w:eastAsia="zh-CN"/>
        </w:rPr>
      </w:pPr>
      <w:r>
        <w:rPr>
          <w:lang w:eastAsia="zh-CN"/>
        </w:rPr>
        <w:t>涉及个性化接口开发、二次开发或定制开发的工作内容，不在技术标中限定具体开发范围。投标方应在价格标中单独填报二次开发人天单价，后续根据甲方实际需求、开发工作量及双方确认结果另行实施。</w:t>
      </w: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八、数据采集模式要求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投标方应根据不同商户类型、收银环境和管理要求，提供适用的数据采集方案。</w:t>
      </w:r>
    </w:p>
    <w:tbl>
      <w:tblPr>
        <w:tblStyle w:val="33"/>
        <w:tblW w:w="8844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814"/>
        <w:gridCol w:w="3402"/>
        <w:gridCol w:w="2948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8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81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采集方式</w:t>
            </w:r>
          </w:p>
        </w:tc>
        <w:tc>
          <w:tcPr>
            <w:tcW w:w="3402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说明</w:t>
            </w:r>
          </w:p>
        </w:tc>
        <w:tc>
          <w:tcPr>
            <w:tcW w:w="2948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适用场景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硬件设备采集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通过安装采集设备获取商户销售数据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适用于需自动采集的重点商户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小票数据采集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通过商户打印小票获取销售数据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适用于有小票打印场景的餐饮、零售商户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日结数据采集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通过商户日结单获取每日销售汇总数据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适用于需进行销售核对的商户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手工上报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商户通过系统填报销售数据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适用于所有商户，作为基础覆盖方式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外部平台数据采集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支持外卖、团购等线上订单数据采集或对接能力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适用于餐饮、茶饮等存在线上销售的商户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系统对接采集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通过系统接口获取销售数据</w:t>
            </w:r>
          </w:p>
        </w:tc>
        <w:tc>
          <w:tcPr>
            <w:tcW w:w="294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适用于连锁品牌、重点商户或后续系统对接场景</w:t>
            </w:r>
          </w:p>
        </w:tc>
      </w:tr>
    </w:tbl>
    <w:p>
      <w:pPr>
        <w:rPr>
          <w:lang w:eastAsia="zh-CN"/>
        </w:rPr>
      </w:pP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投标方应结合甲方实际商户情况，提供合理的采集组合方案，确保数据采集方式具备可落地性和可扩展性。</w:t>
      </w:r>
    </w:p>
    <w:p>
      <w:pPr>
        <w:pStyle w:val="3"/>
      </w:pPr>
      <w:r>
        <w:rPr>
          <w:rFonts w:ascii="微软雅黑" w:hAnsi="微软雅黑" w:eastAsia="微软雅黑"/>
          <w:color w:val="000000"/>
          <w:sz w:val="30"/>
        </w:rPr>
        <w:t>九、部署方式要求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要求类别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部署方式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本项目采用SaaS部署方式。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系统访问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系统应支持通过网页端访问，商户端应支持便捷填报方式。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多项目管理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SaaS系统应支持多项目、多商户统一管理。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账号权限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系统应支持账号、角色及权限配置。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系统维护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投标方应负责SaaS系统的日常维护、升级和运行保障。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数据备份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系统应具备数据备份机制，保障数据安全。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安全防护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系统应具备必要的安全防护能力，防止数据泄露、丢失或被非法访问。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数据归属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甲方数据归甲方所有。未经甲方书面同意，投标方不得向第三方披露、转让或使用甲方数据。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数据导出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系统应支持按甲方要求导出相关数据。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服务终止处理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项目终止或合同结束后，投标方应按甲方要求配合完成数据导出、移交或删除。</w:t>
            </w:r>
          </w:p>
        </w:tc>
      </w:tr>
    </w:tbl>
    <w:p>
      <w:pPr>
        <w:rPr>
          <w:lang w:eastAsia="zh-CN"/>
        </w:rPr>
      </w:pPr>
    </w:p>
    <w:p>
      <w:pPr>
        <w:pStyle w:val="3"/>
      </w:pPr>
      <w:r>
        <w:rPr>
          <w:rFonts w:ascii="微软雅黑" w:hAnsi="微软雅黑" w:eastAsia="微软雅黑"/>
          <w:color w:val="000000"/>
          <w:sz w:val="30"/>
        </w:rPr>
        <w:t>十、硬件设备要求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要求类别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设备数量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本项目首批约40家商户需安装硬件采集设备，具体设备数量以现场勘察和甲方确认的商户清单为准。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适配要求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采集设备应支持主流商户收银及小票打印场景，能够适配不同商户现场环境。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小票规格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采集设备应支持常见小票打印规格。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数据采集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设备应支持稳定采集商户销售数据，并自动上传至后台系统。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断网续传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设备应支持断网后数据缓存，网络恢复后自动上传。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状态监控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设备应支持在线、离线、故障等状态监控。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异常提醒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系统应支持设备异常提醒，便于后台人员及时发现问题。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绑定管理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设备应支持与商户进行绑定管理，并支持后续新增、迁移、解绑或更换设备。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使用影响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设备安装及运行不得明显影响商户原有收银流程。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现场勘察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投标方应负责需安装硬件设备商户的现场环境勘察。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安装调试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投标方应负责设备安装、联网调试、收银流程测试、销售数据采集测试及后台数据核对。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安装记录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投标方应整理设备安装记录、设备与商户绑定清单，并提交甲方确认。</w:t>
            </w:r>
          </w:p>
        </w:tc>
      </w:tr>
    </w:tbl>
    <w:p>
      <w:pPr>
        <w:rPr>
          <w:lang w:eastAsia="zh-CN"/>
        </w:rPr>
      </w:pPr>
    </w:p>
    <w:p>
      <w:pPr>
        <w:pStyle w:val="4"/>
      </w:pPr>
      <w:r>
        <w:rPr>
          <w:rFonts w:ascii="微软雅黑" w:hAnsi="微软雅黑" w:eastAsia="微软雅黑"/>
          <w:color w:val="000000"/>
          <w:sz w:val="24"/>
        </w:rPr>
        <w:t>10.4 硬件质保及更换要求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要求类别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质保范围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投标方提供的硬件采集设备应包含质保服务，质保范围包括设备本身质量问题、非人为原因导致的设备故障、设备无法正常采集或上传数据等情况。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质保期限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硬件设备质保期限</w:t>
            </w:r>
            <w:r>
              <w:rPr>
                <w:rFonts w:hint="eastAsia"/>
                <w:sz w:val="18"/>
                <w:lang w:eastAsia="zh-CN"/>
              </w:rPr>
              <w:t>2年</w:t>
            </w:r>
            <w:r>
              <w:rPr>
                <w:sz w:val="18"/>
                <w:lang w:eastAsia="zh-CN"/>
              </w:rPr>
              <w:t>，具体以合同约定为准。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故障处理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设备发生故障后，投标方应在约定运维服务时间内及时响应，并协助甲方判断故障原因。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设备更换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对于无法通过远程或现场处理恢复正常使用的设备，投标方应及时提供备用设备或更换设备，保障数据采集连续性。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更换时限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因设备故障影响数据采集的，投标方应在确认设备故障后尽快完成维修或更换；涉及现场更换的，应与甲方及商户确认时间后实施。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设备迁移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如因商户调整、闭店、换铺、设备位置调整等原因需要迁移设备，投标方应配合甲方完成设备解绑、迁移、重新绑定及调试工作。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备件保障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投标方应具备必要的备件或替换设备保障能力，避免因设备故障长期影响数据采集。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更换记录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设备维修、更换、迁移、解绑等操作应形成记录，包括商户名称、设备编号、处理原因、处理时间、处理结果等信息，并提交甲方留存。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人为损坏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因商户或第三方人为损坏、私自拆除、私自断电、私自改线等原因导致设备故障或丢失的，投标方应协助甲方核查并提出处理建议，相关责任以合同约定为准。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数据连续性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设备维修、更换或迁移过程中，投标方应尽量减少对商户正常经营和数据采集连续性的影响。</w:t>
            </w:r>
          </w:p>
        </w:tc>
      </w:tr>
    </w:tbl>
    <w:p>
      <w:pPr>
        <w:rPr>
          <w:lang w:eastAsia="zh-CN"/>
        </w:rPr>
      </w:pP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十一、工期要求</w:t>
      </w:r>
    </w:p>
    <w:p>
      <w:pPr>
        <w:spacing w:after="120"/>
        <w:rPr>
          <w:lang w:eastAsia="zh-CN"/>
        </w:rPr>
      </w:pPr>
      <w:r>
        <w:rPr>
          <w:lang w:eastAsia="zh-CN"/>
        </w:rPr>
        <w:t>本项目总工期为20个工作日。</w:t>
      </w:r>
    </w:p>
    <w:p>
      <w:pPr>
        <w:spacing w:after="120"/>
        <w:rPr>
          <w:lang w:eastAsia="zh-CN"/>
        </w:rPr>
      </w:pPr>
      <w:r>
        <w:rPr>
          <w:lang w:eastAsia="zh-CN"/>
        </w:rPr>
        <w:t>工期自合同签订并具备实施条件之日起计算。投标方应在20个工作日内完成系统部署、商户信息初始化、硬件设备安装调试、数据采集测试、培训及初步验收工作。</w:t>
      </w:r>
    </w:p>
    <w:tbl>
      <w:tblPr>
        <w:tblStyle w:val="33"/>
        <w:tblW w:w="8787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535"/>
        <w:gridCol w:w="2551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阶段</w:t>
            </w:r>
          </w:p>
        </w:tc>
        <w:tc>
          <w:tcPr>
            <w:tcW w:w="4535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主要工作</w:t>
            </w:r>
          </w:p>
        </w:tc>
        <w:tc>
          <w:tcPr>
            <w:tcW w:w="255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时间要求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项目启动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项目启动会、实施计划确认、商户清单确认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第1-2个工作日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现场勘察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对需安装硬件的商户进行现场环境确认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第3-5个工作日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系统配置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项目、商户、账号、权限、基础数据配置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第3-7个工作日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硬件安装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完成约40家商户硬件设备安装与调试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第6-14个工作日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数据调试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完成手报、采集、核对、报表等功能测试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第10-17个工作日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培训与试运行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完成甲方人员及商户培训，进入试运行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第15-19个工作日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初步验收</w:t>
            </w:r>
          </w:p>
        </w:tc>
        <w:tc>
          <w:tcPr>
            <w:tcW w:w="453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完成问题整改、资料提交及验收确认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第20个工作日</w:t>
            </w:r>
          </w:p>
        </w:tc>
      </w:tr>
    </w:tbl>
    <w:p/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投标方应根据甲方实际情况提交详细实施计划。因投标方原因造成延期的，应承担相应责任。</w:t>
      </w: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十二、培训要求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投标方需提供现场培训，并提供完整的操作文档和培训视频。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68"/>
        <w:gridCol w:w="5953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2268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培训对象</w:t>
            </w:r>
          </w:p>
        </w:tc>
        <w:tc>
          <w:tcPr>
            <w:tcW w:w="5953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培训内容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甲方系统管理员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系统配置、账号权限、商户管理、设备管理、日志查询。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甲方运营管理人员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销售数据查询、手报审核、异常处理、报表导出。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甲方财务或数据审核人员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数据核对、差异查看、审核确认、异常说明。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项目现场管理人员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现场商户推广、设备状态查看、常见问题判断、问题反馈流程。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项目商户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销售数据手工上报、数据查询、异常反馈、日常操作流程。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其他甲方指定人员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根据甲方实际管理需要进行培训。</w:t>
            </w:r>
          </w:p>
        </w:tc>
      </w:tr>
    </w:tbl>
    <w:p>
      <w:pPr>
        <w:rPr>
          <w:lang w:eastAsia="zh-CN"/>
        </w:rPr>
      </w:pP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68"/>
        <w:gridCol w:w="5953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2268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交付内容</w:t>
            </w:r>
          </w:p>
        </w:tc>
        <w:tc>
          <w:tcPr>
            <w:tcW w:w="5953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现场培训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现场培训不少于1次，培训对象包括甲方人员和项目商户。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系统操作手册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提供完整系统操作说明，便于甲方人员使用。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商户操作指引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提供适合商户使用的简明操作指引。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管理后台操作文档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提供后台管理、审核、报表、设备管理等操作说明。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常见问题说明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提供常见问题及处理方式说明。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培训视频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提供系统操作及商户填报相关培训视频。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培训记录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提供培训签到记录和培训答疑记录。</w:t>
            </w:r>
          </w:p>
        </w:tc>
      </w:tr>
    </w:tbl>
    <w:p>
      <w:pPr>
        <w:rPr>
          <w:lang w:eastAsia="zh-CN"/>
        </w:rPr>
      </w:pP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十三、运维服务要求</w:t>
      </w:r>
    </w:p>
    <w:p>
      <w:pPr>
        <w:pStyle w:val="4"/>
        <w:rPr>
          <w:lang w:eastAsia="zh-CN"/>
        </w:rPr>
      </w:pPr>
      <w:r>
        <w:rPr>
          <w:rFonts w:ascii="微软雅黑" w:hAnsi="微软雅黑" w:eastAsia="微软雅黑"/>
          <w:color w:val="000000"/>
          <w:sz w:val="24"/>
          <w:lang w:eastAsia="zh-CN"/>
        </w:rPr>
        <w:t>13.1 运维服务时间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投标方应提供每日10:00-22:00的运维服务支持。</w:t>
      </w:r>
    </w:p>
    <w:p>
      <w:pPr>
        <w:pStyle w:val="4"/>
      </w:pPr>
      <w:r>
        <w:rPr>
          <w:rFonts w:ascii="微软雅黑" w:hAnsi="微软雅黑" w:eastAsia="微软雅黑"/>
          <w:color w:val="000000"/>
          <w:sz w:val="24"/>
        </w:rPr>
        <w:t>13.2 运维服务内容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68"/>
        <w:gridCol w:w="5953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2268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服务内容</w:t>
            </w:r>
          </w:p>
        </w:tc>
        <w:tc>
          <w:tcPr>
            <w:tcW w:w="5953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系统使用支持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提供系统使用问题解答、账号权限问题处理、报表查询及导出问题处理。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商户手报支持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提供商户手报问题处理、填报异常协助和操作指导。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数据采集支持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提供数据采集异常处理、数据异常核查协助。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设备运维支持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提供设备离线、故障、采集失败等问题处理。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系统运行支持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提供系统运行异常处理、系统升级维护通知。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服务渠道</w:t>
            </w:r>
          </w:p>
        </w:tc>
        <w:tc>
          <w:tcPr>
            <w:tcW w:w="595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提供固定服务联系人、联系电话、服务群或工单反馈渠道。</w:t>
            </w:r>
          </w:p>
        </w:tc>
      </w:tr>
    </w:tbl>
    <w:p>
      <w:pPr>
        <w:rPr>
          <w:lang w:eastAsia="zh-CN"/>
        </w:rPr>
      </w:pPr>
    </w:p>
    <w:p>
      <w:pPr>
        <w:pStyle w:val="4"/>
      </w:pPr>
      <w:r>
        <w:rPr>
          <w:rFonts w:ascii="微软雅黑" w:hAnsi="微软雅黑" w:eastAsia="微软雅黑"/>
          <w:color w:val="000000"/>
          <w:sz w:val="24"/>
        </w:rPr>
        <w:t>13.3 运维响应时限</w:t>
      </w:r>
    </w:p>
    <w:tbl>
      <w:tblPr>
        <w:tblStyle w:val="33"/>
        <w:tblW w:w="9071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3515"/>
        <w:gridCol w:w="1984"/>
        <w:gridCol w:w="2268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30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问题等级</w:t>
            </w:r>
          </w:p>
        </w:tc>
        <w:tc>
          <w:tcPr>
            <w:tcW w:w="3515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问题说明</w:t>
            </w:r>
          </w:p>
        </w:tc>
        <w:tc>
          <w:tcPr>
            <w:tcW w:w="198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响应要求</w:t>
            </w:r>
          </w:p>
        </w:tc>
        <w:tc>
          <w:tcPr>
            <w:tcW w:w="2268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处理要求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一般咨询</w:t>
            </w:r>
          </w:p>
        </w:tc>
        <w:tc>
          <w:tcPr>
            <w:tcW w:w="351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系统操作、报表查询、账号使用、普通功能咨询等问题</w:t>
            </w: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服务时间内2小时内响应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1个工作日内处理或反馈处理意见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普通故障</w:t>
            </w:r>
          </w:p>
        </w:tc>
        <w:tc>
          <w:tcPr>
            <w:tcW w:w="351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单个商户手报异常、单个账号异常、单个设备离线或采集异常等问题</w:t>
            </w: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服务时间内1小时内响应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1个工作日内处理或提出解决方案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重要故障</w:t>
            </w:r>
          </w:p>
        </w:tc>
        <w:tc>
          <w:tcPr>
            <w:tcW w:w="351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多个商户无法填报、多个设备异常、报表统计异常、数据采集明显异常等问题</w:t>
            </w: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服务时间内30分钟内响应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当日处理或持续反馈处理进展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重大故障</w:t>
            </w:r>
          </w:p>
        </w:tc>
        <w:tc>
          <w:tcPr>
            <w:tcW w:w="3515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系统无法访问、大范围数据异常、影响项目正常使用等问题</w:t>
            </w: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服务时间内15分钟内响应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立即启动应急处理机制，并持续反馈至系统恢复</w:t>
            </w:r>
          </w:p>
        </w:tc>
      </w:tr>
    </w:tbl>
    <w:p>
      <w:pPr>
        <w:rPr>
          <w:lang w:eastAsia="zh-CN"/>
        </w:rPr>
      </w:pPr>
    </w:p>
    <w:p>
      <w:pPr>
        <w:pStyle w:val="4"/>
      </w:pPr>
      <w:r>
        <w:rPr>
          <w:rFonts w:ascii="微软雅黑" w:hAnsi="微软雅黑" w:eastAsia="微软雅黑"/>
          <w:color w:val="000000"/>
          <w:sz w:val="24"/>
        </w:rPr>
        <w:t>13.4 运维处理要求</w:t>
      </w:r>
    </w:p>
    <w:tbl>
      <w:tblPr>
        <w:tblStyle w:val="33"/>
        <w:tblW w:w="8958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01"/>
        <w:gridCol w:w="6520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序号</w:t>
            </w:r>
          </w:p>
        </w:tc>
        <w:tc>
          <w:tcPr>
            <w:tcW w:w="1701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要求类别</w:t>
            </w:r>
          </w:p>
        </w:tc>
        <w:tc>
          <w:tcPr>
            <w:tcW w:w="652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具体要求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问题记录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投标方应对运维问题进行记录，包括问题描述、反馈时间、处理过程、处理结果等。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处理反馈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对暂时无法立即解决的问题，投标方应向甲方说明原因、临时处理措施及后续计划。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重大故障说明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发生重大故障时，投标方应向甲方说明故障原因、影响范围、处理措施和恢复情况。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服务配合</w:t>
            </w:r>
          </w:p>
        </w:tc>
        <w:tc>
          <w:tcPr>
            <w:tcW w:w="6520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投标方应配合甲方进行系统使用、数据核查、设备状态检查及商户问题处理。</w:t>
            </w:r>
          </w:p>
        </w:tc>
      </w:tr>
    </w:tbl>
    <w:p>
      <w:pPr>
        <w:rPr>
          <w:lang w:eastAsia="zh-CN"/>
        </w:rPr>
      </w:pPr>
    </w:p>
    <w:p>
      <w:pPr>
        <w:pStyle w:val="3"/>
        <w:rPr>
          <w:lang w:eastAsia="zh-CN"/>
        </w:rPr>
      </w:pPr>
      <w:r>
        <w:rPr>
          <w:rFonts w:ascii="微软雅黑" w:hAnsi="微软雅黑" w:eastAsia="微软雅黑"/>
          <w:color w:val="000000"/>
          <w:sz w:val="30"/>
          <w:lang w:eastAsia="zh-CN"/>
        </w:rPr>
        <w:t>十四、</w:t>
      </w:r>
      <w:r>
        <w:rPr>
          <w:rFonts w:hint="eastAsia" w:ascii="微软雅黑" w:hAnsi="微软雅黑" w:eastAsia="微软雅黑"/>
          <w:color w:val="000000"/>
          <w:sz w:val="30"/>
          <w:lang w:eastAsia="zh-CN"/>
        </w:rPr>
        <w:t xml:space="preserve"> </w:t>
      </w:r>
    </w:p>
    <w:p>
      <w:pPr>
        <w:spacing w:after="120" w:line="300" w:lineRule="auto"/>
        <w:rPr>
          <w:lang w:eastAsia="zh-CN"/>
        </w:rPr>
      </w:pPr>
      <w:r>
        <w:rPr>
          <w:lang w:eastAsia="zh-CN"/>
        </w:rPr>
        <w:t>项目验收应包括系统功能验收、硬件安装验收、数据采集验收、数据准确性验收、培训验收和资料验收。</w:t>
      </w:r>
    </w:p>
    <w:tbl>
      <w:tblPr>
        <w:tblStyle w:val="33"/>
        <w:tblW w:w="8957" w:type="dxa"/>
        <w:jc w:val="center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814"/>
        <w:gridCol w:w="6463"/>
      </w:tblGrid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80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序号</w:t>
            </w:r>
          </w:p>
        </w:tc>
        <w:tc>
          <w:tcPr>
            <w:tcW w:w="1814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验收类别</w:t>
            </w:r>
          </w:p>
        </w:tc>
        <w:tc>
          <w:tcPr>
            <w:tcW w:w="6463" w:type="dxa"/>
            <w:shd w:val="clear" w:color="auto" w:fill="DDEBF7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7"/>
              </w:rPr>
              <w:t>验收要求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系统功能验收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系统应满足本任务书中约定的商户管理、手工上报、自动采集、数据核对、报表统计、设备管理、权限管理、日志管理、数据导出、系统对接能力等主要功能要求。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硬件安装验收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设备安装完成，设备与商户绑定正确，设备能够正常联网，设备状态可在后台查看。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采集能力验收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设备能够正常采集数据，后台能够查询对应采集数据，商户现场操作不受明显影响。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数据准确性验收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项目试运行期间，应对硬件采集商户的采集数据进行核验，整体采集数据准确率应达到95%及以上。准确率可结合商户日结数据、手报数据、原始小票、后台交易记录等进行核对确认。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手报功能验收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手报数据可正常提交、审核、查询和导出。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数据核对验收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采集数据与商户信息匹配正确，数据核对、异常处理及追溯功能正常。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报表验收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报表数据统计正常，支持按项目、商户、日期等条件查询和导出。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培训验收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投标方完成甲方人员及商户培训，并提交培训签到记录、培训资料和培训视频。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9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资料验收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投标方提交系统操作手册、商户操作手册、管理后台操作说明、培训视频、设备安装清单、设备与商户绑定清单、项目实施报告、试运行问题及整改记录、验收报告等资料。</w:t>
            </w:r>
          </w:p>
        </w:tc>
      </w:tr>
      <w:tr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10</w:t>
            </w:r>
          </w:p>
        </w:tc>
        <w:tc>
          <w:tcPr>
            <w:tcW w:w="1814" w:type="dxa"/>
            <w:vAlign w:val="center"/>
          </w:tcPr>
          <w:p>
            <w:pPr>
              <w:spacing w:after="0" w:line="240" w:lineRule="auto"/>
            </w:pPr>
            <w:r>
              <w:rPr>
                <w:sz w:val="17"/>
              </w:rPr>
              <w:t>问题整改</w:t>
            </w:r>
          </w:p>
        </w:tc>
        <w:tc>
          <w:tcPr>
            <w:tcW w:w="6463" w:type="dxa"/>
            <w:vAlign w:val="center"/>
          </w:tcPr>
          <w:p>
            <w:pPr>
              <w:spacing w:after="0" w:line="240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试运行期间发现的问题应完成整改，暂无法立即整改的问题应形成处理计划并经甲方确认。</w:t>
            </w:r>
          </w:p>
        </w:tc>
      </w:tr>
    </w:tbl>
    <w:p>
      <w:pPr>
        <w:rPr>
          <w:lang w:eastAsia="zh-CN"/>
        </w:rPr>
      </w:pPr>
    </w:p>
    <w:p>
      <w:pPr>
        <w:pStyle w:val="4"/>
        <w:rPr>
          <w:lang w:eastAsia="zh-CN"/>
        </w:rPr>
      </w:pPr>
      <w:r>
        <w:rPr>
          <w:rFonts w:ascii="微软雅黑" w:hAnsi="微软雅黑" w:eastAsia="微软雅黑"/>
          <w:color w:val="000000"/>
          <w:sz w:val="24"/>
          <w:lang w:eastAsia="zh-CN"/>
        </w:rPr>
        <w:t>数据准确性补充说明</w:t>
      </w:r>
    </w:p>
    <w:p>
      <w:pPr>
        <w:spacing w:after="120"/>
        <w:rPr>
          <w:lang w:eastAsia="zh-CN"/>
        </w:rPr>
      </w:pPr>
      <w:r>
        <w:rPr>
          <w:lang w:eastAsia="zh-CN"/>
        </w:rPr>
        <w:t>数据准确性验收应以甲方认可的核验数据为依据，包括但不限于商户日结数据、商户手报数据、原始小票、后台交易记录等。</w:t>
      </w:r>
    </w:p>
    <w:p>
      <w:pPr>
        <w:spacing w:after="120"/>
        <w:rPr>
          <w:lang w:eastAsia="zh-CN"/>
        </w:rPr>
      </w:pPr>
      <w:r>
        <w:rPr>
          <w:lang w:eastAsia="zh-CN"/>
        </w:rPr>
        <w:t>对于因商户未打印小票、未做日结、主动漏报、收银口径不一致、外卖平台未授权等非系统或设备原因导致的数据差异，应由投标方协助甲方进行差异说明，不应简单认定为系统采集错误。</w:t>
      </w:r>
    </w:p>
    <w:p>
      <w:pPr>
        <w:spacing w:after="120"/>
        <w:rPr>
          <w:lang w:eastAsia="zh-CN"/>
        </w:rPr>
      </w:pPr>
      <w:r>
        <w:rPr>
          <w:lang w:eastAsia="zh-CN"/>
        </w:rPr>
        <w:t>整体采集数据准确率应达到95%及以上，具体核验周期、核验商户范围及核验方式，由甲方在试运行阶段结合实际情况确认。</w:t>
      </w:r>
    </w:p>
    <w:p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W w:w="9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087"/>
        <w:gridCol w:w="1516"/>
        <w:gridCol w:w="3790"/>
        <w:gridCol w:w="27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rlito" w:hAnsi="Carlito" w:eastAsia="Carlito" w:cs="Carlito"/>
                <w:b/>
                <w:i w:val="0"/>
                <w:color w:val="FFFFFF"/>
                <w:sz w:val="32"/>
                <w:szCs w:val="3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FFFFFF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附件：数据采集项目供应商响应表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333333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填表说明：请供应商根据自身产品及服务能力如实填写“填写内容/响应说明”列；如不适用，请填写“不适用”并说明原因。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5B9BD5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5B9BD5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5B9BD5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填写项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5B9BD5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填写内容/响应说明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156082" w:fill="156082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基础属性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硬件设备属性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请填写：原厂家 / 合作采购 / 自研 / 其他，并说明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基础属性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是否为SaaS系统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 / 否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必须为SaaS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基础属性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系统是否支持二开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 / 否；如支持，请说明二开方式及响应机制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必须支持二开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数采打印机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支持的打印接口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请填写支持的接口，如USB、串口、网口、蓝牙等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5"/>
                <w:bdr w:val="none" w:color="auto" w:sz="0" w:space="0"/>
                <w:lang w:val="en-US" w:eastAsia="zh-CN" w:bidi="ar"/>
              </w:rPr>
              <w:t>△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U/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网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/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数采打印机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支持的联网方式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请填写支持的联网方式，如有线网络、WiFi、4G等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5"/>
                <w:bdr w:val="none" w:color="auto" w:sz="0" w:space="0"/>
                <w:lang w:val="en-US" w:eastAsia="zh-CN" w:bidi="ar"/>
              </w:rPr>
              <w:t>△有线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/wifi/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数采打印机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支持的小票尺寸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请填写支持的小票尺寸，如58mm、80mm等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数采打印机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是否支持断网后续传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 / 否；如支持，请说明缓存能力及续传机制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必须支持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数采盒子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支持的打印接口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请填写支持的接口，如USB、串口、网口等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5"/>
                <w:bdr w:val="none" w:color="auto" w:sz="0" w:space="0"/>
                <w:lang w:val="en-US" w:eastAsia="zh-CN" w:bidi="ar"/>
              </w:rPr>
              <w:t>△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U/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网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数采盒子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支持的联网方式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请填写支持的联网方式，如有线网络、WiFi、4G等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5"/>
                <w:bdr w:val="none" w:color="auto" w:sz="0" w:space="0"/>
                <w:lang w:val="en-US" w:eastAsia="zh-CN" w:bidi="ar"/>
              </w:rPr>
              <w:t>△有线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/wifi/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数采盒子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是否支持断网后续传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 / 否；如支持，请说明缓存能力及续传机制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必须支持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软件采集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支持的操作系统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请填写支持的系统，如Windows、Android、iOS等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必须支持外卖采集美团、淘宝、京东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软件采集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是否支持断网后续传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 / 否；如支持，请说明缓存能力及续传机制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⭐️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必须支持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软件采集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是否有其他特殊要求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请填写安装权限、收银系统适配、网络环境等特殊要求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支付交易采集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支持方式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请填写支持方式，如收款码、POS、聚合支付、支付接口等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支付交易采集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商家费率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请填写费率标准及是否含平台服务费、通道费等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支付交易采集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资金流向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8FBFD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请说明资金进入商户账户、甲方账户、监管账户或其他路径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" w:type="dxa"/>
            <w:tcBorders>
              <w:top w:val="single" w:color="44B3E1" w:sz="4" w:space="0"/>
              <w:left w:val="single" w:color="44B3E1" w:sz="4" w:space="0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7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b/>
                <w:i w:val="0"/>
                <w:color w:val="1F4E78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i w:val="0"/>
                <w:color w:val="1F4E78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1516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其他说明</w:t>
            </w:r>
          </w:p>
        </w:tc>
        <w:tc>
          <w:tcPr>
            <w:tcW w:w="3790" w:type="dxa"/>
            <w:tcBorders>
              <w:top w:val="single" w:color="44B3E1" w:sz="4" w:space="0"/>
              <w:left w:val="nil"/>
              <w:bottom w:val="single" w:color="44B3E1" w:sz="4" w:space="0"/>
              <w:right w:val="nil"/>
            </w:tcBorders>
            <w:shd w:val="clear" w:color="auto" w:fill="FDFEFE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rlito" w:hAnsi="Carlito" w:eastAsia="Carlito" w:cs="Carlito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请填写供应商认为需要补充说明的内容</w:t>
            </w:r>
          </w:p>
        </w:tc>
        <w:tc>
          <w:tcPr>
            <w:tcW w:w="2792" w:type="dxa"/>
            <w:tcBorders>
              <w:top w:val="single" w:color="44B3E1" w:sz="4" w:space="0"/>
              <w:left w:val="nil"/>
              <w:bottom w:val="single" w:color="44B3E1" w:sz="4" w:space="0"/>
              <w:right w:val="single" w:color="44B3E1" w:sz="4" w:space="0"/>
            </w:tcBorders>
            <w:shd w:val="clear" w:color="C0E6F5" w:fill="C0E6F5"/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rPr>
                <w:rFonts w:hint="default" w:ascii="Carlito" w:hAnsi="Carlito" w:eastAsia="Carlito" w:cs="Carlito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9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1" w:name="_GoBack"/>
            <w:r>
              <w:rPr>
                <w:rStyle w:val="165"/>
                <w:bdr w:val="none" w:color="auto" w:sz="0" w:space="0"/>
                <w:lang w:val="en-US" w:eastAsia="zh-CN" w:bidi="ar"/>
              </w:rPr>
              <w:t>打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★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号条款为实质性条款，若有任何一条负偏离或不满足则导致投标无效。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打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“▲”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号条款为重要技术参数，若有部分</w:t>
            </w:r>
            <w:r>
              <w:rPr>
                <w:rStyle w:val="164"/>
                <w:bdr w:val="none" w:color="auto" w:sz="0" w:space="0"/>
                <w:lang w:val="en-US" w:eastAsia="zh-CN" w:bidi="ar"/>
              </w:rPr>
              <w:t>“▲”</w:t>
            </w:r>
            <w:r>
              <w:rPr>
                <w:rStyle w:val="165"/>
                <w:bdr w:val="none" w:color="auto" w:sz="0" w:space="0"/>
                <w:lang w:val="en-US" w:eastAsia="zh-CN" w:bidi="ar"/>
              </w:rPr>
              <w:t>条款未响应或不满足，不作为无效投标条款。</w:t>
            </w:r>
          </w:p>
        </w:tc>
      </w:tr>
      <w:bookmarkEnd w:id="1"/>
    </w:tbl>
    <w:p>
      <w:pPr>
        <w:spacing w:after="120"/>
        <w:rPr>
          <w:lang w:eastAsia="zh-CN"/>
        </w:rPr>
      </w:pPr>
    </w:p>
    <w:p>
      <w:pPr>
        <w:rPr>
          <w:lang w:eastAsia="zh-CN"/>
        </w:rPr>
      </w:pPr>
      <w:r>
        <w:rPr>
          <w:lang w:eastAsia="zh-CN"/>
        </w:rPr>
        <w:br w:type="page"/>
      </w:r>
    </w:p>
    <w:p>
      <w:pPr>
        <w:spacing w:after="1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清单：</w:t>
      </w:r>
    </w:p>
    <w:tbl>
      <w:tblPr>
        <w:tblStyle w:val="32"/>
        <w:tblW w:w="9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112"/>
        <w:gridCol w:w="2495"/>
        <w:gridCol w:w="786"/>
        <w:gridCol w:w="759"/>
        <w:gridCol w:w="1234"/>
        <w:gridCol w:w="1438"/>
        <w:gridCol w:w="14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全费用综合单价(元) 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合计(元) 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3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数据采集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1、包含现场踏勘、系统配置、硬件安装、数据调试、培训与试运行、验收等完成数据采集所需的所有费用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2、满足覆盖全商户、重点商户自动采集、数据可核对、报表可分析、系统可扩展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3、支持多项目、多商户统一管理，满足商户销售数据手工上报、自动采集、数据核对、报表分析、设备管理、权限管理、日志追溯及系统对接等需求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4、满足不同商户类型、收银环境和管理要求的各类数据采集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5、硬件设备质保期2年，另包含首年维保服务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6、其他具体详见技术任务书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1、计价依据：市场询价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2、承包方式：综合单价包干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第二年起维保服务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1、数据集采系统维护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2、软硬件维护、升级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3、客服专员服务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4、按项目要求提供定期数据核查报告服务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点位/年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after="120"/>
        <w:rPr>
          <w:lang w:eastAsia="zh-CN"/>
        </w:rPr>
      </w:pPr>
    </w:p>
    <w:sectPr>
      <w:headerReference r:id="rId3" w:type="default"/>
      <w:footerReference r:id="rId4" w:type="default"/>
      <w:pgSz w:w="12240" w:h="15840"/>
      <w:pgMar w:top="1304" w:right="1134" w:bottom="1134" w:left="124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rli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jc w:val="center"/>
    </w:pPr>
    <w:r>
      <w:rPr>
        <w:sz w:val="18"/>
      </w:rPr>
      <w:t xml:space="preserve">—  第 </w:t>
    </w:r>
    <w:r>
      <w:rPr>
        <w:sz w:val="18"/>
      </w:rPr>
      <w:fldChar w:fldCharType="begin"/>
    </w:r>
    <w:r>
      <w:rPr>
        <w:sz w:val="18"/>
      </w:rPr>
      <w:instrText xml:space="preserve">PAGE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页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ind w:right="840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5814"/>
    <w:rsid w:val="0029639D"/>
    <w:rsid w:val="003022B8"/>
    <w:rsid w:val="00326F90"/>
    <w:rsid w:val="00364180"/>
    <w:rsid w:val="00777892"/>
    <w:rsid w:val="00863CAD"/>
    <w:rsid w:val="00AA1D8D"/>
    <w:rsid w:val="00B47730"/>
    <w:rsid w:val="00B87B15"/>
    <w:rsid w:val="00C13EEA"/>
    <w:rsid w:val="00CB0664"/>
    <w:rsid w:val="00D01CF7"/>
    <w:rsid w:val="00DE7486"/>
    <w:rsid w:val="00F4603D"/>
    <w:rsid w:val="00FC693F"/>
    <w:rsid w:val="12C17021"/>
    <w:rsid w:val="6EE1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font71"/>
    <w:basedOn w:val="132"/>
    <w:uiPriority w:val="0"/>
    <w:rPr>
      <w:rFonts w:hint="default" w:ascii="Carlito" w:hAnsi="Carlito" w:eastAsia="Carlito" w:cs="Carlito"/>
      <w:color w:val="000000"/>
      <w:sz w:val="22"/>
      <w:szCs w:val="22"/>
      <w:u w:val="none"/>
    </w:rPr>
  </w:style>
  <w:style w:type="character" w:customStyle="1" w:styleId="165">
    <w:name w:val="font61"/>
    <w:basedOn w:val="13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1165</Words>
  <Characters>6645</Characters>
  <Lines>55</Lines>
  <Paragraphs>15</Paragraphs>
  <TotalTime>20</TotalTime>
  <ScaleCrop>false</ScaleCrop>
  <LinksUpToDate>false</LinksUpToDate>
  <CharactersWithSpaces>7795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琦丽</cp:lastModifiedBy>
  <dcterms:modified xsi:type="dcterms:W3CDTF">2026-07-17T09:49:54Z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