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</w:t>
      </w:r>
      <w:bookmarkStart w:id="4" w:name="_GoBack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</w:t>
      </w:r>
      <w:bookmarkEnd w:id="4"/>
      <w:r>
        <w:rPr>
          <w:rFonts w:ascii="宋体" w:hAnsi="宋体" w:eastAsia="宋体" w:cs="宋体"/>
          <w:sz w:val="24"/>
          <w:szCs w:val="24"/>
        </w:rPr>
        <w:t>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0"/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 xml:space="preserve">社保证明示例：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付款银行流水示例：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6563995"/>
            <wp:effectExtent l="0" t="0" r="8255" b="82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9FB08BD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BD37B2E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12</TotalTime>
  <ScaleCrop>false</ScaleCrop>
  <LinksUpToDate>false</LinksUpToDate>
  <CharactersWithSpaces>1178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林辉昭</cp:lastModifiedBy>
  <cp:lastPrinted>2026-03-26T03:27:00Z</cp:lastPrinted>
  <dcterms:modified xsi:type="dcterms:W3CDTF">2026-06-09T01:23:46Z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34E6755B77BA47A09A16B589F6031A6B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