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cs="Times New Roman"/>
          <w:b/>
          <w:bCs w:val="0"/>
          <w:color w:val="auto"/>
          <w:spacing w:val="-10"/>
          <w:sz w:val="56"/>
          <w:szCs w:val="56"/>
          <w:lang w:eastAsia="zh-CN"/>
        </w:rPr>
        <w:t>食品加工中心水泵房设备检修（第二次）</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（珠海正方食品生产管理有限公司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7月</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20"/>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20"/>
        <w:rPr>
          <w:rFonts w:hint="default" w:ascii="Times New Roman" w:hAnsi="Times New Roman" w:cs="Times New Roman"/>
          <w:color w:val="auto"/>
        </w:rPr>
      </w:pP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一、</w:t>
      </w:r>
      <w:r>
        <w:rPr>
          <w:rFonts w:hint="default" w:ascii="Times New Roman" w:hAnsi="Times New Roman" w:eastAsia="宋体" w:cs="Times New Roman"/>
          <w:b/>
          <w:bCs/>
          <w:color w:val="auto"/>
          <w:sz w:val="24"/>
        </w:rPr>
        <w:t>采购人：</w:t>
      </w: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珠海正方食品生产管理有限公司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r>
        <w:rPr>
          <w:rFonts w:hint="eastAsia" w:cs="Times New Roman"/>
          <w:b w:val="0"/>
          <w:bCs w:val="0"/>
          <w:color w:val="auto"/>
          <w:sz w:val="24"/>
          <w:lang w:val="en-US" w:eastAsia="zh-CN"/>
        </w:rPr>
        <w:t>食品加工中心水泵房部分设备久失修，出现阀门失效、水管漏水等问题，为保证厂区内正常运营，消除潜在隐患，拟计划对损坏的设施设备进行检修。</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三、</w:t>
      </w:r>
      <w:r>
        <w:rPr>
          <w:rFonts w:hint="default" w:ascii="Times New Roman" w:hAnsi="Times New Roman" w:eastAsia="宋体" w:cs="Times New Roman"/>
          <w:b/>
          <w:bCs/>
          <w:color w:val="auto"/>
          <w:sz w:val="24"/>
        </w:rPr>
        <w:t>采购预算总额：</w:t>
      </w: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val="en-US" w:eastAsia="zh-CN"/>
        </w:rPr>
        <w:t>伍仟玖佰捌拾柒元伍角贰分</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5,987.52</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报价上限：人民币</w:t>
      </w:r>
      <w:r>
        <w:rPr>
          <w:rFonts w:hint="eastAsia" w:cs="Times New Roman"/>
          <w:color w:val="auto"/>
          <w:sz w:val="24"/>
          <w:u w:val="none"/>
          <w:lang w:val="en-US" w:eastAsia="zh-CN"/>
        </w:rPr>
        <w:t>伍仟玖佰捌拾柒元伍角贰分</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5,987.52</w:t>
      </w:r>
      <w:r>
        <w:rPr>
          <w:rFonts w:hint="default" w:ascii="Times New Roman" w:hAnsi="Times New Roman" w:eastAsia="宋体" w:cs="Times New Roman"/>
          <w:color w:val="auto"/>
          <w:sz w:val="24"/>
          <w:u w:val="none"/>
        </w:rPr>
        <w:t>元）</w:t>
      </w:r>
      <w:r>
        <w:rPr>
          <w:rFonts w:hint="eastAsia" w:cs="Times New Roman"/>
          <w:color w:val="auto"/>
          <w:sz w:val="24"/>
          <w:szCs w:val="24"/>
          <w:lang w:val="en-US"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36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食品加工中心水泵房设备检修（第二次）</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进行询价，具体详见</w:t>
      </w:r>
      <w:r>
        <w:rPr>
          <w:rFonts w:hint="eastAsia" w:cs="Times New Roman"/>
          <w:color w:val="auto"/>
          <w:sz w:val="24"/>
          <w:lang w:eastAsia="zh-CN"/>
        </w:rPr>
        <w:t>《</w:t>
      </w:r>
      <w:r>
        <w:rPr>
          <w:rFonts w:hint="eastAsia" w:cs="Times New Roman"/>
          <w:color w:val="auto"/>
          <w:sz w:val="24"/>
          <w:lang w:val="en-US" w:eastAsia="zh-CN"/>
        </w:rPr>
        <w:t>经济价格文件</w:t>
      </w:r>
      <w:r>
        <w:rPr>
          <w:rFonts w:hint="default" w:ascii="Times New Roman" w:hAnsi="Times New Roman" w:eastAsia="宋体" w:cs="Times New Roman"/>
          <w:color w:val="auto"/>
          <w:sz w:val="24"/>
        </w:rPr>
        <w:t>》</w:t>
      </w:r>
      <w:r>
        <w:rPr>
          <w:rFonts w:hint="eastAsia" w:cs="Times New Roman"/>
          <w:color w:val="auto"/>
          <w:sz w:val="24"/>
          <w:lang w:eastAsia="zh-CN"/>
        </w:rPr>
        <w:t>。</w:t>
      </w:r>
    </w:p>
    <w:p>
      <w:pPr>
        <w:numPr>
          <w:ilvl w:val="0"/>
          <w:numId w:val="0"/>
        </w:numPr>
        <w:tabs>
          <w:tab w:val="left" w:pos="720"/>
        </w:tabs>
        <w:spacing w:beforeLines="0" w:afterLines="0" w:line="36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1、投标人必须是在中华人民共和国境内注册的、具有独立承担民事责任能力的企业法人或其他组织；</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360" w:lineRule="auto"/>
        <w:ind w:firstLine="480"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36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r>
        <w:rPr>
          <w:rFonts w:hint="default" w:ascii="Times New Roman" w:hAnsi="Times New Roman" w:eastAsia="宋体" w:cs="Times New Roman"/>
          <w:b/>
          <w:bCs/>
          <w:color w:val="auto"/>
          <w:sz w:val="24"/>
        </w:rPr>
        <w:t>：</w:t>
      </w:r>
    </w:p>
    <w:p>
      <w:pPr>
        <w:pStyle w:val="7"/>
        <w:spacing w:beforeLines="0" w:afterLines="0" w:line="360" w:lineRule="auto"/>
        <w:ind w:firstLine="0" w:firstLineChars="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auto"/>
          <w:kern w:val="2"/>
          <w:sz w:val="24"/>
          <w:lang w:val="en-US" w:eastAsia="zh-CN"/>
        </w:rPr>
        <w:t>要求</w:t>
      </w:r>
      <w:r>
        <w:rPr>
          <w:rFonts w:hint="eastAsia" w:ascii="Times New Roman" w:hAnsi="Times New Roman"/>
          <w:b/>
          <w:bCs/>
          <w:color w:val="auto"/>
          <w:kern w:val="2"/>
          <w:sz w:val="24"/>
          <w:lang w:val="en-US" w:eastAsia="zh-CN"/>
        </w:rPr>
        <w:t>在</w:t>
      </w:r>
      <w:r>
        <w:rPr>
          <w:rFonts w:hint="default" w:ascii="Times New Roman" w:hAnsi="Times New Roman"/>
          <w:b/>
          <w:bCs/>
          <w:color w:val="FF0000"/>
          <w:kern w:val="2"/>
          <w:sz w:val="24"/>
          <w:lang w:val="en-US" w:eastAsia="zh-CN"/>
        </w:rPr>
        <w:t>文件盖章后扫描上传</w:t>
      </w:r>
      <w:r>
        <w:rPr>
          <w:rFonts w:hint="default" w:ascii="Times New Roman" w:hAnsi="Times New Roman"/>
          <w:b/>
          <w:bCs/>
          <w:color w:val="auto"/>
          <w:kern w:val="2"/>
          <w:sz w:val="24"/>
          <w:lang w:val="en-US" w:eastAsia="zh-CN"/>
        </w:rPr>
        <w:t>。</w:t>
      </w:r>
    </w:p>
    <w:p>
      <w:pPr>
        <w:pStyle w:val="7"/>
        <w:spacing w:beforeLines="0" w:afterLines="0" w:line="360" w:lineRule="auto"/>
        <w:ind w:firstLine="0" w:firstLineChars="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360" w:lineRule="auto"/>
        <w:ind w:firstLine="0" w:firstLineChars="0"/>
        <w:rPr>
          <w:rFonts w:hint="eastAsia" w:hAnsi="宋体" w:cs="仿宋"/>
          <w:color w:val="0000FF"/>
          <w:sz w:val="24"/>
          <w:u w:val="none"/>
          <w:lang w:val="en-US" w:eastAsia="zh-CN"/>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如报价人开具发票可抵扣税率不一致的，经评审的投标报价=所报含税投标报价/（1+可抵扣税率）；普通发票可抵扣税率视为零税率；如未填写税率的视为零税率。</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7月28</w:t>
      </w:r>
      <w:bookmarkStart w:id="94" w:name="_GoBack"/>
      <w:bookmarkEnd w:id="94"/>
      <w:r>
        <w:rPr>
          <w:rFonts w:hint="eastAsia" w:cs="Times New Roman"/>
          <w:color w:val="auto"/>
          <w:sz w:val="24"/>
          <w:lang w:val="en-US" w:eastAsia="zh-CN"/>
        </w:rPr>
        <w:t>日</w:t>
      </w:r>
      <w:r>
        <w:rPr>
          <w:rFonts w:hint="default" w:ascii="Times New Roman" w:hAnsi="Times New Roman" w:eastAsia="宋体" w:cs="Times New Roman"/>
          <w:color w:val="auto"/>
          <w:sz w:val="24"/>
        </w:rPr>
        <w:t xml:space="preserve"> 1</w:t>
      </w:r>
      <w:r>
        <w:rPr>
          <w:rFonts w:hint="eastAsia" w:cs="Times New Roman"/>
          <w:color w:val="auto"/>
          <w:sz w:val="24"/>
          <w:lang w:val="en-US" w:eastAsia="zh-CN"/>
        </w:rPr>
        <w:t>8</w:t>
      </w:r>
      <w:r>
        <w:rPr>
          <w:rFonts w:hint="default" w:ascii="Times New Roman" w:hAnsi="Times New Roman" w:eastAsia="宋体" w:cs="Times New Roman"/>
          <w:color w:val="auto"/>
          <w:sz w:val="24"/>
        </w:rPr>
        <w:t>：</w:t>
      </w:r>
      <w:r>
        <w:rPr>
          <w:rFonts w:hint="eastAsia" w:cs="Times New Roman"/>
          <w:color w:val="auto"/>
          <w:sz w:val="24"/>
          <w:lang w:val="en-US" w:eastAsia="zh-CN"/>
        </w:rPr>
        <w:t>0</w:t>
      </w:r>
      <w:r>
        <w:rPr>
          <w:rFonts w:hint="default" w:ascii="Times New Roman" w:hAnsi="Times New Roman" w:eastAsia="宋体" w:cs="Times New Roman"/>
          <w:color w:val="auto"/>
          <w:sz w:val="24"/>
        </w:rPr>
        <w:t>0（北京时间）；</w:t>
      </w:r>
    </w:p>
    <w:permEnd w:id="5"/>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b/>
          <w:bCs/>
          <w:color w:val="auto"/>
          <w:sz w:val="24"/>
          <w:lang w:val="en-US" w:eastAsia="zh-CN"/>
        </w:rPr>
        <w:t>投标单位全称+</w:t>
      </w:r>
      <w:r>
        <w:rPr>
          <w:rFonts w:hint="eastAsia" w:cs="Times New Roman"/>
          <w:b/>
          <w:bCs/>
          <w:color w:val="auto"/>
          <w:sz w:val="24"/>
          <w:lang w:eastAsia="zh-CN"/>
        </w:rPr>
        <w:t>食品加工中心水泵房设备检修（第二次）</w:t>
      </w:r>
      <w:r>
        <w:rPr>
          <w:rFonts w:hint="default" w:ascii="Times New Roman" w:hAnsi="Times New Roman" w:eastAsia="宋体" w:cs="Times New Roman"/>
          <w:b/>
          <w:bCs/>
          <w:color w:val="auto"/>
          <w:sz w:val="24"/>
        </w:rPr>
        <w:t>+</w:t>
      </w:r>
      <w:r>
        <w:rPr>
          <w:rFonts w:hint="eastAsia" w:cs="Times New Roman"/>
          <w:b/>
          <w:bCs/>
          <w:color w:val="auto"/>
          <w:sz w:val="24"/>
          <w:lang w:val="en-US" w:eastAsia="zh-CN"/>
        </w:rPr>
        <w:t>钟工</w:t>
      </w:r>
      <w:permEnd w:id="6"/>
      <w:r>
        <w:rPr>
          <w:rFonts w:hint="default" w:ascii="Times New Roman" w:hAnsi="Times New Roman" w:eastAsia="宋体" w:cs="Times New Roman"/>
          <w:color w:val="auto"/>
          <w:sz w:val="24"/>
        </w:rPr>
        <w:t>）。</w:t>
      </w:r>
    </w:p>
    <w:p>
      <w:pPr>
        <w:spacing w:beforeLines="0" w:afterLines="0"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w:t>
      </w:r>
      <w:r>
        <w:rPr>
          <w:rFonts w:hint="default" w:ascii="Times New Roman" w:hAnsi="Times New Roman" w:eastAsia="宋体" w:cs="Times New Roman"/>
          <w:color w:val="auto"/>
          <w:sz w:val="24"/>
          <w:lang w:val="en-US" w:eastAsia="zh-CN"/>
        </w:rPr>
        <w:t>邮箱</w:t>
      </w:r>
      <w:r>
        <w:rPr>
          <w:rFonts w:hint="default" w:ascii="Times New Roman" w:hAnsi="Times New Roman" w:eastAsia="宋体" w:cs="Times New Roman"/>
          <w:color w:val="auto"/>
          <w:sz w:val="24"/>
        </w:rPr>
        <w:t>地点的或者不按照询价文件要求格式的报价文件，</w:t>
      </w:r>
      <w:r>
        <w:rPr>
          <w:rFonts w:hint="eastAsia" w:cs="Times New Roman"/>
          <w:color w:val="auto"/>
          <w:sz w:val="24"/>
          <w:lang w:val="en-US" w:eastAsia="zh-CN"/>
        </w:rPr>
        <w:t>将视为无效报价</w:t>
      </w:r>
      <w:r>
        <w:rPr>
          <w:rFonts w:hint="default" w:ascii="Times New Roman" w:hAnsi="Times New Roman" w:eastAsia="宋体" w:cs="Times New Roman"/>
          <w:color w:val="auto"/>
          <w:sz w:val="24"/>
        </w:rPr>
        <w:t>。</w:t>
      </w:r>
    </w:p>
    <w:p>
      <w:pPr>
        <w:numPr>
          <w:ilvl w:val="0"/>
          <w:numId w:val="0"/>
        </w:numPr>
        <w:spacing w:before="0" w:beforeLines="0" w:after="0" w:afterLines="0" w:line="36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5"/>
        <w:spacing w:beforeLines="0" w:afterLines="0" w:line="36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36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36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Next w:val="0"/>
        <w:keepLines/>
        <w:pageBreakBefore w:val="0"/>
        <w:widowControl/>
        <w:tabs>
          <w:tab w:val="left" w:pos="201"/>
        </w:tabs>
        <w:kinsoku/>
        <w:wordWrap/>
        <w:overflowPunct/>
        <w:topLinePunct w:val="0"/>
        <w:autoSpaceDE/>
        <w:autoSpaceDN/>
        <w:bidi w:val="0"/>
        <w:adjustRightInd w:val="0"/>
        <w:snapToGrid w:val="0"/>
        <w:spacing w:beforeLines="0" w:afterLines="0" w:line="360" w:lineRule="auto"/>
        <w:ind w:firstLine="480" w:firstLineChars="200"/>
        <w:textAlignment w:val="auto"/>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baseline"/>
        <w:rPr>
          <w:rFonts w:hint="eastAsia"/>
        </w:rPr>
      </w:pPr>
      <w:r>
        <w:rPr>
          <w:rFonts w:hint="eastAsia" w:ascii="宋体" w:hAnsi="宋体"/>
          <w:sz w:val="24"/>
          <w:lang w:val="en-US" w:eastAsia="zh-CN"/>
        </w:rPr>
        <w:t>2.8</w:t>
      </w:r>
      <w:r>
        <w:rPr>
          <w:rFonts w:hint="eastAsia" w:hAnsi="宋体"/>
          <w:sz w:val="24"/>
          <w:lang w:val="en-US" w:eastAsia="zh-CN"/>
        </w:rPr>
        <w:t xml:space="preserve"> </w:t>
      </w:r>
      <w:r>
        <w:rPr>
          <w:rFonts w:hint="eastAsia" w:ascii="宋体" w:hAnsi="宋体" w:eastAsia="宋体" w:cs="Times New Roman"/>
          <w:kern w:val="2"/>
          <w:sz w:val="24"/>
          <w:szCs w:val="24"/>
          <w:lang w:val="en-US" w:eastAsia="zh-CN" w:bidi="ar-SA"/>
        </w:rPr>
        <w:t>若中标供应商放弃中标资格、不符合中标条件的、因不可抗力不能履行合同或者被查实存在影响中标结果的违法行为等情形，招标人可按照确定的</w:t>
      </w:r>
      <w:r>
        <w:rPr>
          <w:rFonts w:hint="eastAsia" w:hAnsi="宋体" w:cs="Times New Roman"/>
          <w:kern w:val="2"/>
          <w:sz w:val="24"/>
          <w:szCs w:val="24"/>
          <w:lang w:val="en-US" w:eastAsia="zh-CN" w:bidi="ar-SA"/>
        </w:rPr>
        <w:t>报价</w:t>
      </w:r>
      <w:r>
        <w:rPr>
          <w:rFonts w:hint="eastAsia" w:ascii="宋体" w:hAnsi="宋体" w:eastAsia="宋体" w:cs="Times New Roman"/>
          <w:kern w:val="2"/>
          <w:sz w:val="24"/>
          <w:szCs w:val="24"/>
          <w:lang w:val="en-US" w:eastAsia="zh-CN" w:bidi="ar-SA"/>
        </w:rPr>
        <w:t>由低到高排名顺序依次确定增补为中标供应商，也可重新招标。</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lang w:val="en-US" w:eastAsia="zh-CN"/>
        </w:rPr>
      </w:pPr>
      <w:bookmarkStart w:id="1" w:name="_Toc47961947"/>
      <w:r>
        <w:rPr>
          <w:rFonts w:hint="default" w:ascii="Times New Roman" w:hAnsi="Times New Roman" w:eastAsia="宋体" w:cs="Times New Roman"/>
          <w:b/>
          <w:bCs/>
          <w:color w:val="auto"/>
          <w:sz w:val="24"/>
          <w:lang w:val="en-US" w:eastAsia="zh-CN"/>
        </w:rPr>
        <w:t>十、细微偏差修正</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2．存在细微偏差的报价文件，采购人应评标时进行认定并要求报价人书面补正细微偏差。报价人书面作出补正之后，应当视为有效报价文件。若报价人拒绝补正，其报价文件将被拒绝。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3．细微偏差按照下列原则进行补正（次序排先者优先）：</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（1）投标报价大写金额与小写金额不一致的，除非大写金额存在明显的小数点错误，否则，应当以大写金额为准，修改小写金额。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（2）投标总价金额与分项报价合计金额不一致的，除非投标总价金额存在明显的小数点错误，否则，应当以投标总价金额为准，修改分项报价合计金额。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（3）若用文字表示的数值与用数字表示的数值不一致，以文字表示的数值为准。</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（4）其他细微偏差按照有利于采购人的原则进行补正。</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eastAsia" w:cs="Times New Roman"/>
          <w:b/>
          <w:bCs/>
          <w:color w:val="auto"/>
          <w:sz w:val="24"/>
          <w:lang w:val="en-US" w:eastAsia="zh-CN"/>
        </w:rPr>
        <w:t>十一、</w:t>
      </w:r>
      <w:r>
        <w:rPr>
          <w:rFonts w:hint="default" w:ascii="Times New Roman" w:hAnsi="Times New Roman" w:eastAsia="宋体" w:cs="Times New Roman"/>
          <w:b/>
          <w:bCs/>
          <w:color w:val="auto"/>
          <w:sz w:val="24"/>
        </w:rPr>
        <w:t>联系方式</w:t>
      </w:r>
      <w:bookmarkEnd w:id="1"/>
    </w:p>
    <w:p>
      <w:pPr>
        <w:spacing w:beforeLines="0" w:afterLines="0" w:line="360" w:lineRule="auto"/>
        <w:ind w:firstLine="470" w:firstLineChars="196"/>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1．地址：</w:t>
      </w:r>
      <w:r>
        <w:rPr>
          <w:rFonts w:hint="eastAsia" w:cs="Times New Roman"/>
          <w:color w:val="auto"/>
          <w:sz w:val="24"/>
          <w:lang w:eastAsia="zh-CN"/>
        </w:rPr>
        <w:t>珠海市香洲区卫康路199号香洲创港中心17栋1</w:t>
      </w:r>
      <w:r>
        <w:rPr>
          <w:rFonts w:hint="eastAsia" w:cs="Times New Roman"/>
          <w:color w:val="auto"/>
          <w:sz w:val="24"/>
          <w:lang w:val="en-US" w:eastAsia="zh-CN"/>
        </w:rPr>
        <w:t>4</w:t>
      </w:r>
      <w:r>
        <w:rPr>
          <w:rFonts w:hint="eastAsia" w:cs="Times New Roman"/>
          <w:color w:val="auto"/>
          <w:sz w:val="24"/>
          <w:lang w:eastAsia="zh-CN"/>
        </w:rPr>
        <w:t>楼</w:t>
      </w:r>
      <w:r>
        <w:rPr>
          <w:rFonts w:hint="default" w:ascii="Times New Roman" w:hAnsi="Times New Roman" w:eastAsia="宋体" w:cs="Times New Roman"/>
          <w:color w:val="auto"/>
          <w:sz w:val="24"/>
        </w:rPr>
        <w:t xml:space="preserve"> </w:t>
      </w:r>
    </w:p>
    <w:p>
      <w:pPr>
        <w:pStyle w:val="20"/>
        <w:spacing w:beforeLines="0" w:afterLines="0" w:line="360" w:lineRule="auto"/>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4"/>
        </w:rPr>
        <w:t>2．</w:t>
      </w:r>
      <w:r>
        <w:rPr>
          <w:rFonts w:hint="eastAsia" w:cs="Times New Roman"/>
          <w:color w:val="auto"/>
          <w:sz w:val="24"/>
          <w:szCs w:val="24"/>
          <w:lang w:val="en-US" w:eastAsia="zh-CN"/>
        </w:rPr>
        <w:t>报价</w:t>
      </w:r>
      <w:r>
        <w:rPr>
          <w:rFonts w:hint="default" w:ascii="Times New Roman" w:hAnsi="Times New Roman" w:eastAsia="宋体" w:cs="Times New Roman"/>
          <w:color w:val="auto"/>
          <w:sz w:val="24"/>
          <w:szCs w:val="24"/>
        </w:rPr>
        <w:t xml:space="preserve">咨询联系方式： </w:t>
      </w:r>
      <w:permStart w:id="7" w:edGrp="everyone"/>
      <w:r>
        <w:rPr>
          <w:rFonts w:hint="eastAsia" w:ascii="Times New Roman" w:hAnsi="Times New Roman" w:eastAsia="宋体" w:cs="Times New Roman"/>
          <w:color w:val="auto"/>
          <w:sz w:val="24"/>
          <w:szCs w:val="24"/>
          <w:lang w:eastAsia="zh-CN"/>
        </w:rPr>
        <w:t>（</w:t>
      </w:r>
      <w:r>
        <w:rPr>
          <w:rFonts w:hint="eastAsia" w:cs="Times New Roman"/>
          <w:color w:val="auto"/>
          <w:sz w:val="24"/>
          <w:szCs w:val="24"/>
          <w:lang w:val="en-US" w:eastAsia="zh-CN"/>
        </w:rPr>
        <w:t>钟工15521120229</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jc w:val="right"/>
        <w:rPr>
          <w:rFonts w:hint="eastAsia" w:ascii="宋体" w:hAnsi="宋体" w:eastAsia="宋体" w:cs="宋体"/>
          <w:color w:val="auto"/>
          <w:sz w:val="24"/>
          <w:szCs w:val="24"/>
        </w:rPr>
      </w:pPr>
    </w:p>
    <w:p>
      <w:pPr>
        <w:pStyle w:val="20"/>
        <w:spacing w:line="36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珠海正方食品生产管理有限公司</w:t>
      </w:r>
      <w:r>
        <w:rPr>
          <w:rFonts w:hint="eastAsia" w:ascii="宋体" w:hAnsi="宋体" w:eastAsia="宋体" w:cs="宋体"/>
          <w:color w:val="auto"/>
          <w:sz w:val="24"/>
          <w:szCs w:val="24"/>
        </w:rPr>
        <w:t xml:space="preserve">         </w:t>
      </w:r>
    </w:p>
    <w:p>
      <w:pPr>
        <w:pStyle w:val="20"/>
        <w:spacing w:line="360" w:lineRule="auto"/>
        <w:jc w:val="right"/>
        <w:rPr>
          <w:rFonts w:hint="eastAsia" w:ascii="宋体" w:hAnsi="宋体" w:cs="宋体"/>
          <w:color w:val="auto"/>
          <w:sz w:val="24"/>
          <w:szCs w:val="24"/>
          <w:lang w:val="en-US" w:eastAsia="zh-CN"/>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7月</w:t>
      </w:r>
    </w:p>
    <w:p>
      <w:pP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br w:type="page"/>
      </w:r>
    </w:p>
    <w:p>
      <w:pPr>
        <w:pStyle w:val="20"/>
        <w:spacing w:line="360" w:lineRule="auto"/>
        <w:jc w:val="right"/>
        <w:rPr>
          <w:rFonts w:hint="eastAsia" w:ascii="宋体" w:hAnsi="宋体" w:cs="宋体"/>
          <w:color w:val="auto"/>
          <w:sz w:val="24"/>
          <w:szCs w:val="24"/>
          <w:lang w:val="en-US" w:eastAsia="zh-CN"/>
        </w:rPr>
      </w:pP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15547"/>
      <w:bookmarkStart w:id="3" w:name="_Toc9199"/>
      <w:bookmarkStart w:id="4" w:name="_Toc27664"/>
      <w:r>
        <w:rPr>
          <w:rFonts w:hint="eastAsia" w:ascii="宋体" w:hAnsi="宋体"/>
          <w:lang w:val="en-US" w:eastAsia="zh-CN"/>
        </w:rPr>
        <w:t>任务书</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default" w:ascii="仿宋" w:hAnsi="仿宋" w:eastAsia="仿宋" w:cs="仿宋"/>
          <w:b w:val="0"/>
          <w:bCs w:val="0"/>
          <w:color w:val="auto"/>
          <w:kern w:val="0"/>
          <w:sz w:val="32"/>
          <w:szCs w:val="32"/>
          <w:lang w:val="en-US" w:eastAsia="zh-CN" w:bidi="ar"/>
        </w:rPr>
      </w:pPr>
      <w:r>
        <w:rPr>
          <w:rFonts w:hint="eastAsia" w:ascii="仿宋" w:hAnsi="仿宋" w:eastAsia="仿宋" w:cs="仿宋"/>
          <w:b w:val="0"/>
          <w:bCs w:val="0"/>
          <w:color w:val="auto"/>
          <w:kern w:val="0"/>
          <w:sz w:val="32"/>
          <w:szCs w:val="32"/>
          <w:lang w:val="en-US" w:eastAsia="zh-CN" w:bidi="ar"/>
        </w:rPr>
        <w:t>另册</w:t>
      </w:r>
    </w:p>
    <w:p>
      <w:pPr>
        <w:rPr>
          <w:rFonts w:hint="eastAsia" w:ascii="宋体" w:hAnsi="宋体" w:eastAsia="宋体"/>
          <w:lang w:eastAsia="zh-CN"/>
        </w:rPr>
      </w:pPr>
    </w:p>
    <w:p>
      <w:pPr>
        <w:rPr>
          <w:rFonts w:hint="eastAsia" w:ascii="宋体" w:hAnsi="宋体" w:eastAsia="宋体"/>
          <w:lang w:eastAsia="zh-CN"/>
        </w:rPr>
      </w:pPr>
      <w:r>
        <w:rPr>
          <w:rFonts w:hint="eastAsia" w:ascii="宋体" w:hAnsi="宋体" w:eastAsia="宋体"/>
          <w:lang w:eastAsia="zh-CN"/>
        </w:rPr>
        <w:br w:type="page"/>
      </w: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r>
        <w:rPr>
          <w:rFonts w:hint="eastAsia" w:ascii="宋体" w:hAnsi="宋体" w:eastAsia="宋体"/>
          <w:lang w:eastAsia="zh-CN"/>
        </w:rPr>
        <w:t>报价文件格式</w:t>
      </w:r>
      <w:bookmarkEnd w:id="2"/>
      <w:bookmarkEnd w:id="3"/>
      <w:bookmarkEnd w:id="4"/>
      <w:bookmarkStart w:id="5" w:name="_Toc276645578"/>
      <w:bookmarkStart w:id="6" w:name="_Toc503427708"/>
    </w:p>
    <w:p>
      <w:pPr>
        <w:pStyle w:val="4"/>
        <w:spacing w:line="360" w:lineRule="auto"/>
        <w:rPr>
          <w:rFonts w:hint="eastAsia" w:ascii="黑体" w:hAnsi="黑体" w:eastAsia="黑体" w:cs="黑体"/>
          <w:b/>
          <w:bCs w:val="0"/>
          <w:sz w:val="28"/>
          <w:szCs w:val="28"/>
        </w:rPr>
      </w:pPr>
      <w:bookmarkStart w:id="7" w:name="_Toc202251075"/>
      <w:bookmarkStart w:id="8" w:name="_Toc202254105"/>
      <w:bookmarkStart w:id="9" w:name="_Toc17685"/>
      <w:bookmarkStart w:id="10" w:name="_Toc16107"/>
      <w:bookmarkStart w:id="11" w:name="_Toc276645579"/>
      <w:bookmarkStart w:id="12" w:name="_Toc202820351"/>
      <w:bookmarkStart w:id="13" w:name="_Toc503427710"/>
      <w:bookmarkStart w:id="14" w:name="_Toc259090982"/>
      <w:bookmarkStart w:id="15" w:name="_Toc15317"/>
      <w:bookmarkStart w:id="16" w:name="_Toc202819878"/>
      <w:bookmarkStart w:id="17" w:name="_Toc698"/>
      <w:bookmarkStart w:id="18" w:name="_Toc202252034"/>
      <w:bookmarkStart w:id="19" w:name="_Toc202816996"/>
      <w:bookmarkStart w:id="20" w:name="_Toc202251700"/>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24181"/>
      <w:bookmarkStart w:id="22" w:name="_Toc259090983"/>
      <w:bookmarkStart w:id="23" w:name="_Toc32660"/>
      <w:bookmarkStart w:id="24" w:name="_Toc276645580"/>
      <w:bookmarkStart w:id="25" w:name="_Toc13089"/>
      <w:bookmarkStart w:id="26" w:name="_Toc20366"/>
      <w:bookmarkStart w:id="27" w:name="_Toc503427711"/>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珠海正方食品生产管理有限公司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食品加工中心水泵房设备检修（第二次）</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及其附件，包括澄清及参考文件(如果有的话)。我方已完全清晰理解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文件中提供的一切文件，无论是原件还是复印件均为真实和准确的，绝无任何虚假、伪造和夸大的成</w:t>
      </w:r>
      <w:r>
        <w:rPr>
          <w:rFonts w:hint="eastAsia" w:ascii="宋体" w:hAnsi="宋体"/>
          <w:kern w:val="0"/>
          <w:sz w:val="24"/>
          <w:lang w:val="en-US" w:eastAsia="zh-CN"/>
        </w:rPr>
        <w:t>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 xml:space="preserve">人名称(公章)：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numPr>
          <w:ilvl w:val="0"/>
          <w:numId w:val="0"/>
        </w:numPr>
        <w:rPr>
          <w:rFonts w:hint="default" w:ascii="宋体" w:hAnsi="宋体" w:eastAsia="宋体" w:cs="宋体"/>
          <w:bCs/>
          <w:sz w:val="28"/>
          <w:szCs w:val="28"/>
          <w:lang w:val="en-US" w:eastAsia="zh-CN"/>
        </w:rPr>
      </w:pPr>
      <w:r>
        <w:rPr>
          <w:rFonts w:hint="eastAsia" w:ascii="Times New Roman" w:hAnsi="Times New Roman" w:cs="Times New Roman"/>
          <w:color w:val="auto"/>
          <w:sz w:val="32"/>
          <w:szCs w:val="32"/>
          <w:lang w:val="en-US" w:eastAsia="zh-CN"/>
        </w:rPr>
        <w:t>1.2</w:t>
      </w:r>
      <w:r>
        <w:rPr>
          <w:rFonts w:hint="eastAsia"/>
          <w:b/>
          <w:sz w:val="32"/>
          <w:lang w:val="en-US" w:eastAsia="zh-CN"/>
        </w:rPr>
        <w:t>法</w:t>
      </w:r>
      <w:r>
        <w:rPr>
          <w:b/>
          <w:sz w:val="32"/>
        </w:rPr>
        <w:t>定代表人</w:t>
      </w:r>
      <w:r>
        <w:rPr>
          <w:rFonts w:hint="eastAsia"/>
          <w:b/>
          <w:sz w:val="32"/>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单位：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t xml:space="preserve"> </w:t>
      </w:r>
    </w:p>
    <w:p>
      <w:pPr>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ascii="宋体" w:hAnsi="宋体"/>
          <w:sz w:val="28"/>
        </w:rPr>
      </w:pPr>
      <w:bookmarkStart w:id="29" w:name="_Toc528"/>
      <w:bookmarkStart w:id="30" w:name="_Toc27591"/>
      <w:bookmarkStart w:id="31" w:name="_Toc17080"/>
      <w:bookmarkStart w:id="32" w:name="_Toc503427713"/>
      <w:bookmarkStart w:id="33" w:name="_Toc19171"/>
      <w:bookmarkStart w:id="34" w:name="_Toc19817"/>
      <w:r>
        <w:rPr>
          <w:rFonts w:hint="eastAsia" w:ascii="宋体" w:hAnsi="宋体"/>
          <w:sz w:val="28"/>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珠海正方食品生产管理有限公司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lang w:eastAsia="zh-CN"/>
        </w:rPr>
        <w:t>食品加工中心水泵房设备检修（第二次）</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资质条件，满足第一部分第五条“供应商资格要求”所列条款</w:t>
      </w:r>
      <w:r>
        <w:rPr>
          <w:rFonts w:hint="eastAsia" w:ascii="宋体" w:hAnsi="宋体"/>
          <w:sz w:val="24"/>
        </w:rPr>
        <w:t>；</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.2 存在直接控股或管理关系的。</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w:t>
      </w:r>
      <w:r>
        <w:rPr>
          <w:rFonts w:hint="eastAsia" w:cs="Times New Roman"/>
          <w:b w:val="0"/>
          <w:bCs w:val="0"/>
          <w:color w:val="auto"/>
          <w:sz w:val="24"/>
          <w:lang w:val="en-US" w:eastAsia="zh-CN"/>
        </w:rPr>
        <w:t xml:space="preserve">. </w:t>
      </w:r>
      <w:r>
        <w:rPr>
          <w:rFonts w:hint="eastAsia" w:ascii="宋体" w:hAnsi="宋体"/>
          <w:sz w:val="24"/>
        </w:rPr>
        <w:t>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cs="Times New Roman"/>
          <w:b w:val="0"/>
          <w:bCs w:val="0"/>
          <w:color w:val="auto"/>
          <w:sz w:val="24"/>
          <w:lang w:val="en-US" w:eastAsia="zh-CN"/>
        </w:rPr>
        <w:t xml:space="preserve">. </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4"/>
        <w:bidi w:val="0"/>
        <w:rPr>
          <w:rFonts w:hint="eastAsia"/>
          <w:lang w:val="en-US" w:eastAsia="zh-CN"/>
        </w:rPr>
      </w:pPr>
      <w:bookmarkStart w:id="35" w:name="_Toc31767"/>
      <w:bookmarkStart w:id="36" w:name="_Toc9476"/>
      <w:bookmarkStart w:id="37" w:name="_Toc6220"/>
      <w:bookmarkStart w:id="38" w:name="_Toc19796"/>
      <w:bookmarkStart w:id="39" w:name="_Toc32141"/>
      <w:bookmarkStart w:id="40" w:name="_Toc15464"/>
      <w:bookmarkStart w:id="41" w:name="_Toc5048"/>
      <w:bookmarkStart w:id="42" w:name="_Toc14285"/>
      <w:bookmarkStart w:id="43" w:name="_Toc10559"/>
      <w:bookmarkStart w:id="44" w:name="_Toc24356"/>
      <w:bookmarkStart w:id="45" w:name="_Toc24969"/>
      <w:bookmarkStart w:id="46" w:name="_Toc26971"/>
      <w:bookmarkStart w:id="47" w:name="_Toc13922"/>
      <w:bookmarkStart w:id="48" w:name="_Toc19969"/>
      <w:bookmarkStart w:id="49" w:name="_Toc31877"/>
      <w:bookmarkStart w:id="50" w:name="_Toc10585"/>
      <w:bookmarkStart w:id="51" w:name="_Toc503427714"/>
      <w:bookmarkStart w:id="52" w:name="_Toc276645583"/>
      <w:bookmarkStart w:id="53" w:name="_Toc32498"/>
      <w:bookmarkStart w:id="54" w:name="_Toc6275"/>
      <w:bookmarkStart w:id="55" w:name="_Toc264628882"/>
      <w:bookmarkStart w:id="56" w:name="_Toc27468"/>
      <w:bookmarkStart w:id="57" w:name="_Toc4726"/>
      <w:bookmarkStart w:id="58" w:name="_Toc4427"/>
      <w:r>
        <w:rPr>
          <w:rFonts w:hint="eastAsia"/>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ascii="宋体"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4"/>
        <w:bidi w:val="0"/>
        <w:rPr>
          <w:rFonts w:hint="eastAsia"/>
          <w:lang w:val="en-US" w:eastAsia="zh-CN"/>
        </w:rPr>
      </w:pPr>
      <w:bookmarkStart w:id="59" w:name="_Toc7304"/>
      <w:bookmarkStart w:id="60" w:name="_Toc5662"/>
      <w:bookmarkStart w:id="61" w:name="_Toc10726"/>
      <w:bookmarkStart w:id="62" w:name="_Toc30192"/>
      <w:bookmarkStart w:id="63" w:name="_Toc29470"/>
      <w:bookmarkStart w:id="64" w:name="_Toc22499"/>
      <w:bookmarkStart w:id="65" w:name="_Toc500"/>
      <w:bookmarkStart w:id="66" w:name="_Toc9094"/>
      <w:bookmarkStart w:id="67" w:name="_Toc16860"/>
      <w:bookmarkStart w:id="68" w:name="_Toc24446"/>
      <w:bookmarkStart w:id="69" w:name="_Toc3193"/>
      <w:bookmarkStart w:id="70" w:name="_Toc5278"/>
      <w:bookmarkStart w:id="71" w:name="_Toc6669"/>
      <w:bookmarkStart w:id="72" w:name="_Toc113"/>
      <w:bookmarkStart w:id="73" w:name="_Toc32145"/>
      <w:bookmarkStart w:id="74" w:name="_Toc2576"/>
      <w:r>
        <w:rPr>
          <w:rFonts w:hint="eastAsia"/>
          <w:lang w:val="en-US" w:eastAsia="zh-CN"/>
        </w:rPr>
        <w:t>1.3.</w:t>
      </w:r>
      <w:bookmarkEnd w:id="59"/>
      <w:bookmarkEnd w:id="60"/>
      <w:bookmarkEnd w:id="61"/>
      <w:bookmarkStart w:id="75" w:name="_Toc28886"/>
      <w:bookmarkStart w:id="76" w:name="_Toc17294"/>
      <w:bookmarkStart w:id="77" w:name="_Toc29247"/>
      <w:r>
        <w:rPr>
          <w:rFonts w:hint="eastAsia"/>
          <w:lang w:val="en-US" w:eastAsia="zh-CN"/>
        </w:rPr>
        <w:t>2信用信息</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eastAsia="zh-CN"/>
        </w:rPr>
        <w:t>投标供应商</w:t>
      </w:r>
      <w:r>
        <w:rPr>
          <w:rFonts w:hint="eastAsia" w:ascii="宋体" w:hAnsi="宋体" w:eastAsia="宋体" w:cs="宋体"/>
          <w:b/>
          <w:bCs/>
          <w:color w:val="000000"/>
          <w:sz w:val="24"/>
          <w:szCs w:val="24"/>
          <w:highlight w:val="none"/>
          <w:lang w:val="en-US" w:eastAsia="zh-CN"/>
        </w:rPr>
        <w:t>提供报价时间截止前的网页截图并加盖投标供应商公章：</w:t>
      </w:r>
    </w:p>
    <w:p>
      <w:pPr>
        <w:numPr>
          <w:ilvl w:val="0"/>
          <w:numId w:val="0"/>
        </w:numPr>
        <w:rPr>
          <w:rFonts w:hint="eastAsia"/>
          <w:b/>
          <w:color w:val="0000FF"/>
          <w:sz w:val="24"/>
          <w:szCs w:val="24"/>
          <w:lang w:val="en-US" w:eastAsia="zh-CN"/>
        </w:rPr>
      </w:pPr>
      <w:r>
        <w:rPr>
          <w:rFonts w:hint="eastAsia" w:ascii="宋体" w:hAnsi="宋体" w:cs="宋体"/>
          <w:b/>
          <w:sz w:val="22"/>
          <w:szCs w:val="22"/>
          <w:lang w:val="en-US"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eastAsia"/>
          <w:b/>
          <w:color w:val="0000FF"/>
          <w:sz w:val="24"/>
          <w:szCs w:val="24"/>
          <w:lang w:val="en-US" w:eastAsia="zh-CN"/>
        </w:rPr>
      </w:pP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keepNext/>
        <w:keepLines/>
        <w:pageBreakBefore w:val="0"/>
        <w:widowControl w:val="0"/>
        <w:kinsoku/>
        <w:wordWrap/>
        <w:overflowPunct/>
        <w:topLinePunct w:val="0"/>
        <w:autoSpaceDE/>
        <w:autoSpaceDN/>
        <w:bidi w:val="0"/>
        <w:adjustRightInd/>
        <w:snapToGrid/>
        <w:spacing w:before="100" w:after="100" w:line="360" w:lineRule="auto"/>
        <w:textAlignment w:val="auto"/>
        <w:outlineLvl w:val="9"/>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12700" b="889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numPr>
          <w:ilvl w:val="0"/>
          <w:numId w:val="0"/>
        </w:numPr>
        <w:rPr>
          <w:rFonts w:hint="eastAsia"/>
          <w:b/>
          <w:sz w:val="24"/>
          <w:szCs w:val="24"/>
          <w:lang w:val="en-US" w:eastAsia="zh-CN"/>
        </w:rPr>
      </w:pPr>
      <w:r>
        <w:rPr>
          <w:rFonts w:hint="eastAsia" w:ascii="宋体" w:hAnsi="宋体"/>
          <w:sz w:val="28"/>
          <w:lang w:val="en-US" w:eastAsia="zh-CN"/>
        </w:rPr>
        <w:br w:type="page"/>
      </w:r>
      <w:bookmarkStart w:id="78" w:name="_Toc20437"/>
    </w:p>
    <w:p>
      <w:pPr>
        <w:pStyle w:val="5"/>
        <w:spacing w:before="100" w:after="100" w:line="360" w:lineRule="auto"/>
        <w:rPr>
          <w:rFonts w:ascii="宋体" w:hAnsi="宋体"/>
          <w:sz w:val="28"/>
        </w:rPr>
      </w:pPr>
      <w:r>
        <w:rPr>
          <w:rFonts w:hint="eastAsia" w:ascii="宋体" w:hAnsi="宋体"/>
          <w:sz w:val="28"/>
        </w:rPr>
        <w:t>1.</w:t>
      </w:r>
      <w:r>
        <w:rPr>
          <w:rFonts w:hint="eastAsia" w:ascii="宋体" w:hAnsi="宋体"/>
          <w:sz w:val="28"/>
          <w:lang w:val="en-US" w:eastAsia="zh-CN"/>
        </w:rPr>
        <w:t>4</w:t>
      </w:r>
      <w:r>
        <w:rPr>
          <w:rFonts w:hint="eastAsia" w:ascii="宋体" w:hAnsi="宋体"/>
          <w:sz w:val="28"/>
        </w:rPr>
        <w:t>关于无重大违法记录的声明函</w:t>
      </w:r>
      <w:bookmarkEnd w:id="51"/>
      <w:bookmarkEnd w:id="52"/>
      <w:bookmarkEnd w:id="53"/>
      <w:bookmarkEnd w:id="54"/>
      <w:bookmarkEnd w:id="55"/>
      <w:bookmarkEnd w:id="56"/>
      <w:bookmarkEnd w:id="57"/>
      <w:bookmarkEnd w:id="58"/>
      <w:bookmarkEnd w:id="78"/>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珠海正方食品生产管理有限公司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w:t>
      </w:r>
      <w:r>
        <w:rPr>
          <w:rFonts w:hint="eastAsia" w:cs="Times New Roman"/>
          <w:b w:val="0"/>
          <w:bCs w:val="0"/>
          <w:color w:val="auto"/>
          <w:sz w:val="24"/>
          <w:lang w:val="en-US" w:eastAsia="zh-CN"/>
        </w:rPr>
        <w:t xml:space="preserve">. </w:t>
      </w:r>
      <w:r>
        <w:rPr>
          <w:rFonts w:hint="eastAsia" w:hAnsi="宋体"/>
          <w:bCs/>
          <w:sz w:val="24"/>
          <w:szCs w:val="24"/>
        </w:rPr>
        <w:t>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2"/>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2"/>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pPr>
      <w:bookmarkStart w:id="79" w:name="_Toc12992"/>
      <w:bookmarkStart w:id="80" w:name="_Toc3330"/>
      <w:bookmarkStart w:id="81" w:name="_Toc202251078"/>
      <w:bookmarkStart w:id="82" w:name="_Toc202251703"/>
      <w:bookmarkStart w:id="83" w:name="_Toc202820355"/>
      <w:bookmarkStart w:id="84" w:name="_Toc24253"/>
      <w:bookmarkStart w:id="85" w:name="_Toc21572"/>
      <w:bookmarkStart w:id="86" w:name="_Toc202817000"/>
      <w:bookmarkStart w:id="87" w:name="_Toc202252037"/>
      <w:bookmarkStart w:id="88" w:name="_Toc202254108"/>
      <w:bookmarkStart w:id="89" w:name="_Toc503427721"/>
      <w:bookmarkStart w:id="90" w:name="_Toc259090996"/>
      <w:bookmarkStart w:id="91" w:name="_Toc276645592"/>
      <w:bookmarkStart w:id="92" w:name="_Toc29543"/>
      <w:bookmarkStart w:id="93" w:name="_Toc202819882"/>
      <w:r>
        <w:rPr>
          <w:rFonts w:hint="eastAsia" w:ascii="黑体" w:hAnsi="黑体" w:cs="黑体"/>
          <w:b/>
          <w:bCs w:val="0"/>
          <w:sz w:val="28"/>
          <w:szCs w:val="28"/>
          <w:lang w:val="en-US" w:eastAsia="zh-CN"/>
        </w:rPr>
        <w:br w:type="page"/>
      </w:r>
    </w:p>
    <w:p>
      <w:pPr>
        <w:pStyle w:val="4"/>
        <w:keepNext/>
        <w:keepLines/>
        <w:pageBreakBefore w:val="0"/>
        <w:widowControl w:val="0"/>
        <w:kinsoku/>
        <w:wordWrap/>
        <w:overflowPunct/>
        <w:topLinePunct w:val="0"/>
        <w:autoSpaceDE/>
        <w:autoSpaceDN/>
        <w:bidi w:val="0"/>
        <w:adjustRightInd/>
        <w:snapToGrid/>
        <w:spacing w:before="80" w:after="80" w:line="360" w:lineRule="auto"/>
        <w:textAlignment w:val="auto"/>
        <w:rPr>
          <w:rFonts w:hint="eastAsia" w:ascii="黑体" w:hAnsi="黑体" w:eastAsia="黑体" w:cs="黑体"/>
          <w:b/>
          <w:bCs w:val="0"/>
          <w:sz w:val="28"/>
          <w:szCs w:val="28"/>
        </w:rPr>
      </w:pPr>
      <w:r>
        <w:rPr>
          <w:rFonts w:hint="eastAsia" w:ascii="黑体" w:hAnsi="黑体" w:cs="黑体"/>
          <w:b/>
          <w:bCs w:val="0"/>
          <w:sz w:val="28"/>
          <w:szCs w:val="28"/>
          <w:lang w:val="en-US" w:eastAsia="zh-CN"/>
        </w:rPr>
        <w:t>二</w:t>
      </w:r>
      <w:r>
        <w:rPr>
          <w:rFonts w:hint="eastAsia" w:ascii="黑体" w:hAnsi="黑体" w:eastAsia="黑体" w:cs="黑体"/>
          <w:b/>
          <w:bCs w:val="0"/>
          <w:sz w:val="28"/>
          <w:szCs w:val="28"/>
        </w:rPr>
        <w:t>、经济价格文件</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spacing w:line="500" w:lineRule="exact"/>
        <w:jc w:val="left"/>
        <w:rPr>
          <w:rStyle w:val="18"/>
          <w:rFonts w:hint="default" w:ascii="Times New Roman" w:hAnsi="Times New Roman" w:cs="Times New Roman"/>
          <w:color w:val="auto"/>
          <w:sz w:val="36"/>
          <w:szCs w:val="36"/>
        </w:rPr>
      </w:pPr>
      <w:r>
        <w:rPr>
          <w:rStyle w:val="18"/>
          <w:rFonts w:hint="eastAsia" w:cs="Times New Roman"/>
          <w:color w:val="auto"/>
          <w:sz w:val="36"/>
          <w:szCs w:val="36"/>
          <w:lang w:val="en-US" w:eastAsia="zh-CN"/>
        </w:rPr>
        <w:t>2.1</w:t>
      </w:r>
      <w:r>
        <w:rPr>
          <w:rStyle w:val="18"/>
          <w:rFonts w:hint="default" w:ascii="Times New Roman" w:hAnsi="Times New Roman" w:cs="Times New Roman"/>
          <w:color w:val="auto"/>
          <w:sz w:val="36"/>
          <w:szCs w:val="36"/>
        </w:rPr>
        <w:t>报 价 承 诺 书</w:t>
      </w:r>
    </w:p>
    <w:p>
      <w:pPr>
        <w:spacing w:line="360" w:lineRule="auto"/>
        <w:rPr>
          <w:rFonts w:hint="default" w:ascii="Times New Roman" w:hAnsi="Times New Roman" w:eastAsia="仿宋" w:cs="Times New Roman"/>
          <w:b/>
          <w:color w:val="auto"/>
          <w:sz w:val="24"/>
        </w:rPr>
      </w:pP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珠海正方食品生产管理有限公司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食品加工中心水泵房设备检修（第二次）</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2.我方已经详细阅读全部询价文件及其附件，包括澄清及参考文件(如果有的话)。我方已完全清晰理解询价文件的要求，不存在任何含糊不清和误解之处，同意放弃对这些文件所提出的异议和质疑的权利。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spacing w:before="156" w:beforeLines="50" w:after="156" w:afterLines="50"/>
        <w:jc w:val="both"/>
        <w:rPr>
          <w:rFonts w:hint="default" w:ascii="Times New Roman" w:hAnsi="Times New Roman" w:eastAsia="仿宋" w:cs="Times New Roman"/>
          <w:color w:val="auto"/>
          <w:sz w:val="28"/>
          <w:szCs w:val="28"/>
        </w:rPr>
      </w:pPr>
      <w:r>
        <w:rPr>
          <w:rFonts w:hint="eastAsia" w:cs="Times New Roman"/>
          <w:color w:val="auto"/>
          <w:sz w:val="32"/>
          <w:szCs w:val="32"/>
          <w:lang w:val="en-US" w:eastAsia="zh-CN"/>
        </w:rPr>
        <w:t>2.2</w:t>
      </w:r>
      <w:r>
        <w:rPr>
          <w:rStyle w:val="18"/>
          <w:rFonts w:hint="default" w:ascii="Times New Roman" w:hAnsi="Times New Roman" w:cs="Times New Roman"/>
          <w:color w:val="auto"/>
          <w:sz w:val="40"/>
          <w:szCs w:val="30"/>
        </w:rPr>
        <w:t>报 价 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珠海正方食品生产管理有限公司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eastAsia" w:cs="Times New Roman"/>
          <w:color w:val="auto"/>
          <w:sz w:val="28"/>
          <w:szCs w:val="28"/>
          <w:lang w:eastAsia="zh-CN"/>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eastAsia="zh-CN"/>
        </w:rPr>
        <w:t>食品加工中心水泵房设备检修（第二次）</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r>
        <w:rPr>
          <w:rFonts w:hint="eastAsia" w:cs="Times New Roman"/>
          <w:color w:val="auto"/>
          <w:sz w:val="28"/>
          <w:szCs w:val="28"/>
          <w:lang w:eastAsia="zh-CN"/>
        </w:rPr>
        <w:t>：</w:t>
      </w:r>
    </w:p>
    <w:p>
      <w:pPr>
        <w:spacing w:line="360" w:lineRule="auto"/>
        <w:rPr>
          <w:rFonts w:hint="default" w:ascii="Times New Roman" w:hAnsi="Times New Roman" w:eastAsia="宋体" w:cs="Times New Roman"/>
          <w:color w:val="auto"/>
          <w:sz w:val="28"/>
          <w:szCs w:val="28"/>
        </w:rPr>
      </w:pPr>
      <w:r>
        <w:rPr>
          <w:rFonts w:hint="eastAsia" w:cs="Times New Roman"/>
          <w:color w:val="auto"/>
          <w:sz w:val="28"/>
          <w:szCs w:val="28"/>
          <w:u w:val="single"/>
          <w:lang w:val="en-US" w:eastAsia="zh-CN"/>
        </w:rPr>
        <w:t xml:space="preserve">                         </w:t>
      </w:r>
      <w:r>
        <w:rPr>
          <w:rFonts w:hint="default" w:ascii="Times New Roman" w:hAnsi="Times New Roman" w:eastAsia="宋体" w:cs="Times New Roman"/>
          <w:color w:val="auto"/>
          <w:sz w:val="28"/>
          <w:szCs w:val="28"/>
        </w:rPr>
        <w:t>元 （¥</w:t>
      </w:r>
      <w:r>
        <w:rPr>
          <w:rFonts w:hint="default" w:ascii="Times New Roman" w:hAnsi="Times New Roman" w:eastAsia="宋体" w:cs="Times New Roman"/>
          <w:color w:val="auto"/>
          <w:sz w:val="28"/>
          <w:szCs w:val="28"/>
          <w:u w:val="single"/>
        </w:rPr>
        <w:t xml:space="preserve">          </w:t>
      </w:r>
      <w:r>
        <w:rPr>
          <w:rFonts w:hint="default" w:ascii="Times New Roman" w:hAnsi="Times New Roman" w:eastAsia="宋体" w:cs="Times New Roman"/>
          <w:color w:val="auto"/>
          <w:sz w:val="28"/>
          <w:szCs w:val="28"/>
        </w:rPr>
        <w:t>元）承接</w:t>
      </w:r>
      <w:permStart w:id="12" w:edGrp="everyone"/>
      <w:r>
        <w:rPr>
          <w:rFonts w:hint="eastAsia" w:cs="Times New Roman"/>
          <w:color w:val="auto"/>
          <w:sz w:val="28"/>
          <w:szCs w:val="28"/>
          <w:lang w:eastAsia="zh-CN"/>
        </w:rPr>
        <w:t>食品加工中心水泵房设备检修（第二次）</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最终按固定单价据实验收结算，具体详见附件报价清单（另册）。</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p>
    <w:p>
      <w:pPr>
        <w:pStyle w:val="2"/>
        <w:spacing w:line="312" w:lineRule="auto"/>
        <w:ind w:left="0" w:leftChars="0"/>
        <w:rPr>
          <w:rFonts w:hint="default"/>
          <w:sz w:val="24"/>
          <w:szCs w:val="24"/>
          <w:lang w:val="en-US"/>
        </w:rPr>
      </w:pPr>
      <w:r>
        <w:rPr>
          <w:rFonts w:hint="eastAsia" w:ascii="宋体" w:hAnsi="宋体" w:eastAsia="宋体" w:cs="宋体"/>
          <w:i w:val="0"/>
          <w:color w:val="000000"/>
          <w:kern w:val="0"/>
          <w:sz w:val="24"/>
          <w:szCs w:val="24"/>
          <w:u w:val="none"/>
          <w:lang w:val="en-US" w:eastAsia="zh-CN" w:bidi="ar"/>
        </w:rPr>
        <w:t>说明：1.</w:t>
      </w:r>
      <w:r>
        <w:rPr>
          <w:rFonts w:hint="eastAsia" w:ascii="宋体" w:hAnsi="宋体" w:cs="宋体"/>
          <w:i w:val="0"/>
          <w:color w:val="000000"/>
          <w:kern w:val="0"/>
          <w:sz w:val="24"/>
          <w:szCs w:val="24"/>
          <w:u w:val="none"/>
          <w:lang w:val="en-US" w:eastAsia="zh-CN" w:bidi="ar"/>
        </w:rPr>
        <w:t>本项目采用固定单价包干。</w:t>
      </w:r>
      <w:r>
        <w:rPr>
          <w:rFonts w:hint="eastAsia" w:ascii="宋体" w:hAnsi="宋体" w:eastAsia="宋体" w:cs="宋体"/>
          <w:i w:val="0"/>
          <w:color w:val="000000"/>
          <w:kern w:val="0"/>
          <w:sz w:val="24"/>
          <w:szCs w:val="24"/>
          <w:u w:val="none"/>
          <w:lang w:val="en-US" w:eastAsia="zh-CN" w:bidi="ar"/>
        </w:rPr>
        <w:t>所有报价均为含税价，</w:t>
      </w:r>
      <w:r>
        <w:rPr>
          <w:rFonts w:hint="eastAsia" w:ascii="宋体" w:hAnsi="宋体" w:cs="宋体"/>
          <w:color w:val="000000"/>
          <w:kern w:val="0"/>
          <w:sz w:val="24"/>
          <w:szCs w:val="24"/>
          <w:u w:val="none"/>
          <w:lang w:bidi="ar"/>
        </w:rPr>
        <w:t>包括但不限于人工费、材料费、交通费、管理费、加班费、利润、税金等完成任务书等工作范围内容所产生的全部费用</w:t>
      </w:r>
      <w:r>
        <w:rPr>
          <w:rFonts w:hint="eastAsia" w:ascii="宋体" w:hAnsi="宋体" w:cs="宋体"/>
          <w:i w:val="0"/>
          <w:color w:val="000000"/>
          <w:kern w:val="0"/>
          <w:sz w:val="24"/>
          <w:szCs w:val="24"/>
          <w:u w:val="none"/>
          <w:lang w:val="en-US" w:eastAsia="zh-CN" w:bidi="ar"/>
        </w:rPr>
        <w:t>，最终按实际验收结算</w:t>
      </w:r>
      <w:r>
        <w:rPr>
          <w:rFonts w:hint="eastAsia" w:ascii="宋体" w:hAnsi="宋体" w:eastAsia="宋体" w:cs="宋体"/>
          <w:i w:val="0"/>
          <w:color w:val="000000"/>
          <w:kern w:val="0"/>
          <w:sz w:val="24"/>
          <w:szCs w:val="24"/>
          <w:u w:val="none"/>
          <w:lang w:val="en-US" w:eastAsia="zh-CN" w:bidi="ar"/>
        </w:rPr>
        <w:t>。所有报价金额均保留2位小数。</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w:t>
      </w:r>
      <w:r>
        <w:rPr>
          <w:rFonts w:hint="eastAsia" w:ascii="宋体" w:hAnsi="宋体" w:eastAsia="宋体" w:cs="宋体"/>
          <w:i w:val="0"/>
          <w:color w:val="0000FF"/>
          <w:kern w:val="0"/>
          <w:sz w:val="24"/>
          <w:szCs w:val="24"/>
          <w:u w:val="none"/>
          <w:lang w:val="en-US" w:eastAsia="zh-CN" w:bidi="ar"/>
        </w:rPr>
        <w:t>发票类型：</w:t>
      </w:r>
      <w:r>
        <w:rPr>
          <w:rFonts w:hint="eastAsia" w:ascii="宋体" w:hAnsi="宋体" w:eastAsia="宋体" w:cs="宋体"/>
          <w:i w:val="0"/>
          <w:color w:val="000000"/>
          <w:kern w:val="0"/>
          <w:sz w:val="24"/>
          <w:szCs w:val="24"/>
          <w:u w:val="single"/>
          <w:lang w:val="en-US" w:eastAsia="zh-CN" w:bidi="ar"/>
        </w:rPr>
        <w:t xml:space="preserve">   </w:t>
      </w:r>
      <w:r>
        <w:rPr>
          <w:rFonts w:hint="eastAsia" w:ascii="宋体" w:hAnsi="宋体" w:eastAsia="宋体" w:cs="宋体"/>
          <w:i w:val="0"/>
          <w:color w:val="000000"/>
          <w:kern w:val="0"/>
          <w:sz w:val="24"/>
          <w:szCs w:val="24"/>
          <w:u w:val="none"/>
          <w:lang w:val="en-US" w:eastAsia="zh-CN" w:bidi="ar"/>
        </w:rPr>
        <w:t>%□增值税专用发票 □增值税普通发票。</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注：如因国家政策变化导致增值税税率发生变化的，本项目项下不含增值税的项目价款金额不变，对应增值税金额按照新税率计算，项目价款总额作对应调整。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3.质量标准：合格，符合相关要求及规定。</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4.付款方式：验收无误且收到齐套请款资料后付款。</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5.项目地点：</w:t>
      </w:r>
      <w:r>
        <w:rPr>
          <w:rFonts w:hint="eastAsia" w:ascii="宋体" w:hAnsi="宋体" w:cs="宋体"/>
          <w:i w:val="0"/>
          <w:color w:val="000000"/>
          <w:kern w:val="0"/>
          <w:sz w:val="24"/>
          <w:szCs w:val="24"/>
          <w:u w:val="none"/>
          <w:lang w:val="en-US" w:eastAsia="zh-CN" w:bidi="ar"/>
        </w:rPr>
        <w:t>陆杰13824114757，食品加工中心</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eastAsia" w:cs="Times New Roman"/>
          <w:color w:val="auto"/>
          <w:sz w:val="28"/>
          <w:szCs w:val="28"/>
          <w:lang w:val="en-US" w:eastAsia="zh-CN"/>
        </w:rPr>
        <w:t>联系方式：</w:t>
      </w:r>
      <w:r>
        <w:rPr>
          <w:rFonts w:hint="default" w:ascii="Times New Roman" w:hAnsi="Times New Roman" w:eastAsia="宋体" w:cs="Times New Roman"/>
          <w:color w:val="auto"/>
          <w:sz w:val="28"/>
          <w:szCs w:val="28"/>
        </w:rPr>
        <w:t xml:space="preserve"> </w:t>
      </w:r>
    </w:p>
    <w:p>
      <w:pPr>
        <w:pStyle w:val="6"/>
        <w:ind w:left="0" w:leftChars="0" w:firstLine="0" w:firstLineChars="0"/>
        <w:jc w:val="both"/>
        <w:rPr>
          <w:rFonts w:hint="eastAsia" w:ascii="宋体" w:hAnsi="宋体"/>
          <w:sz w:val="28"/>
          <w:szCs w:val="28"/>
        </w:rPr>
      </w:pPr>
      <w:r>
        <w:rPr>
          <w:rFonts w:hint="default" w:ascii="Times New Roman" w:hAnsi="Times New Roman" w:eastAsia="宋体" w:cs="Times New Roman"/>
          <w:color w:val="auto"/>
          <w:sz w:val="28"/>
          <w:szCs w:val="28"/>
        </w:rPr>
        <w:t>日   期：</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rPr>
        <w:t xml:space="preserve"> 日</w:t>
      </w:r>
    </w:p>
    <w:p>
      <w:pPr>
        <w:rPr>
          <w:rFonts w:hint="eastAsia" w:ascii="宋体" w:hAnsi="宋体"/>
          <w:sz w:val="28"/>
          <w:szCs w:val="28"/>
        </w:rPr>
      </w:pPr>
      <w:r>
        <w:rPr>
          <w:rFonts w:hint="eastAsia" w:ascii="宋体" w:hAnsi="宋体"/>
          <w:sz w:val="28"/>
          <w:szCs w:val="28"/>
        </w:rPr>
        <w:br w:type="page"/>
      </w:r>
    </w:p>
    <w:p>
      <w:pPr>
        <w:pStyle w:val="6"/>
        <w:ind w:left="0" w:leftChars="0" w:firstLine="0" w:firstLineChars="0"/>
        <w:jc w:val="both"/>
        <w:rPr>
          <w:rFonts w:hint="eastAsia" w:hAnsi="宋体"/>
          <w:sz w:val="28"/>
          <w:szCs w:val="28"/>
          <w:lang w:val="en-US" w:eastAsia="zh-CN"/>
        </w:rPr>
      </w:pPr>
      <w:r>
        <w:rPr>
          <w:rFonts w:hint="eastAsia" w:hAnsi="宋体"/>
          <w:sz w:val="28"/>
          <w:szCs w:val="28"/>
          <w:lang w:val="en-US" w:eastAsia="zh-CN"/>
        </w:rPr>
        <w:t>附件：报价清单</w:t>
      </w:r>
    </w:p>
    <w:tbl>
      <w:tblPr>
        <w:tblStyle w:val="15"/>
        <w:tblW w:w="9016" w:type="dxa"/>
        <w:tblInd w:w="-14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51"/>
        <w:gridCol w:w="1129"/>
        <w:gridCol w:w="2451"/>
        <w:gridCol w:w="419"/>
        <w:gridCol w:w="731"/>
        <w:gridCol w:w="1492"/>
        <w:gridCol w:w="1230"/>
        <w:gridCol w:w="9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ind w:firstLineChars="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245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项目特征描述</w:t>
            </w:r>
          </w:p>
        </w:tc>
        <w:tc>
          <w:tcPr>
            <w:tcW w:w="41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工程量</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全费用综合单价(元)</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合计(元)</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885"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生活水池遥控浮球阀</w:t>
            </w:r>
          </w:p>
        </w:tc>
        <w:tc>
          <w:tcPr>
            <w:tcW w:w="245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1、遥控浮球阀更换</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2、材质：球墨铸铁</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3、规格：DN150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4、连接方式：法兰连接</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5、包含拆除、安装等完成本项工作所需的一切费用</w:t>
            </w:r>
          </w:p>
        </w:tc>
        <w:tc>
          <w:tcPr>
            <w:tcW w:w="41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 </w:t>
            </w:r>
          </w:p>
        </w:tc>
        <w:tc>
          <w:tcPr>
            <w:tcW w:w="1492"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885"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1号加压泵检修</w:t>
            </w:r>
          </w:p>
        </w:tc>
        <w:tc>
          <w:tcPr>
            <w:tcW w:w="245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1、水泵参数：功率15KW、扬程56m、流量54m³/h、型号80GDL54-14x4</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2、包含检查、维修、清洗油箱、加油、紧换盘根、组装复原、调试、试运行、清理现场</w:t>
            </w:r>
          </w:p>
        </w:tc>
        <w:tc>
          <w:tcPr>
            <w:tcW w:w="41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492"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885"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不锈钢给水管三通更换</w:t>
            </w:r>
          </w:p>
        </w:tc>
        <w:tc>
          <w:tcPr>
            <w:tcW w:w="245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1、进水管三通尺寸：DN150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2、材质：不锈钢</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3、连接方式：卡箍连接</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4、包含3个卡箍</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5、包含拆除、安装等完成本项工作所需的一切费用</w:t>
            </w:r>
          </w:p>
        </w:tc>
        <w:tc>
          <w:tcPr>
            <w:tcW w:w="41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492"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885" w:hRule="atLeast"/>
        </w:trPr>
        <w:tc>
          <w:tcPr>
            <w:tcW w:w="651"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29"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法兰盘更换</w:t>
            </w:r>
          </w:p>
        </w:tc>
        <w:tc>
          <w:tcPr>
            <w:tcW w:w="2451"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1、法兰盘尺寸：DN150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2、材质：铸铁</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3、连接方式：螺纹连接</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4、每副包含2片法兰盘</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5、包含拆除、安装等完成本项工作所需的一切费用</w:t>
            </w:r>
          </w:p>
        </w:tc>
        <w:tc>
          <w:tcPr>
            <w:tcW w:w="419"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w:t>
            </w:r>
          </w:p>
        </w:tc>
        <w:tc>
          <w:tcPr>
            <w:tcW w:w="731"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 </w:t>
            </w:r>
          </w:p>
        </w:tc>
        <w:tc>
          <w:tcPr>
            <w:tcW w:w="1492" w:type="dxa"/>
            <w:tcBorders>
              <w:top w:val="single" w:color="000000" w:sz="4" w:space="0"/>
              <w:left w:val="nil"/>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30"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913"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40" w:hRule="atLeast"/>
        </w:trPr>
        <w:tc>
          <w:tcPr>
            <w:tcW w:w="651"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222"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含税合计</w:t>
            </w:r>
          </w:p>
        </w:tc>
        <w:tc>
          <w:tcPr>
            <w:tcW w:w="123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913"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4"/>
                <w:szCs w:val="24"/>
                <w:u w:val="none"/>
              </w:rPr>
            </w:pPr>
          </w:p>
        </w:tc>
      </w:tr>
    </w:tbl>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eastAsia" w:cs="Times New Roman"/>
          <w:color w:val="auto"/>
          <w:sz w:val="28"/>
          <w:szCs w:val="28"/>
          <w:lang w:val="en-US" w:eastAsia="zh-CN"/>
        </w:rPr>
        <w:t>联系方式：</w:t>
      </w:r>
      <w:r>
        <w:rPr>
          <w:rFonts w:hint="default" w:ascii="Times New Roman" w:hAnsi="Times New Roman" w:eastAsia="宋体" w:cs="Times New Roman"/>
          <w:color w:val="auto"/>
          <w:sz w:val="28"/>
          <w:szCs w:val="28"/>
        </w:rPr>
        <w:t xml:space="preserve"> </w:t>
      </w:r>
    </w:p>
    <w:p>
      <w:pPr>
        <w:pStyle w:val="6"/>
        <w:ind w:left="0" w:leftChars="0" w:firstLine="0" w:firstLineChars="0"/>
        <w:jc w:val="both"/>
        <w:rPr>
          <w:rFonts w:hint="default" w:hAnsi="宋体"/>
          <w:sz w:val="28"/>
          <w:szCs w:val="28"/>
          <w:lang w:val="en-US" w:eastAsia="zh-CN"/>
        </w:rPr>
      </w:pPr>
      <w:r>
        <w:rPr>
          <w:rFonts w:hint="default" w:ascii="Times New Roman" w:hAnsi="Times New Roman" w:eastAsia="宋体" w:cs="Times New Roman"/>
          <w:color w:val="auto"/>
          <w:sz w:val="28"/>
          <w:szCs w:val="28"/>
        </w:rPr>
        <w:t>日   期：</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rPr>
        <w:t xml:space="preserve"> 日</w:t>
      </w:r>
    </w:p>
    <w:sectPr>
      <w:footerReference r:id="rId5" w:type="default"/>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72BA49"/>
    <w:multiLevelType w:val="singleLevel"/>
    <w:tmpl w:val="C872BA49"/>
    <w:lvl w:ilvl="0" w:tentative="0">
      <w:start w:val="2"/>
      <w:numFmt w:val="chineseCounting"/>
      <w:suff w:val="space"/>
      <w:lvlText w:val="第%1部分"/>
      <w:lvlJc w:val="left"/>
      <w:rPr>
        <w:rFonts w:hint="eastAsia"/>
      </w:rPr>
    </w:lvl>
  </w:abstractNum>
  <w:abstractNum w:abstractNumId="1">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trackRevisions w:val="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22B3855"/>
    <w:rsid w:val="025E0102"/>
    <w:rsid w:val="03950549"/>
    <w:rsid w:val="04103632"/>
    <w:rsid w:val="044E62ED"/>
    <w:rsid w:val="04B61AA3"/>
    <w:rsid w:val="05B1555F"/>
    <w:rsid w:val="0671572A"/>
    <w:rsid w:val="067D1626"/>
    <w:rsid w:val="0841052C"/>
    <w:rsid w:val="097558B4"/>
    <w:rsid w:val="09770F2A"/>
    <w:rsid w:val="0A261215"/>
    <w:rsid w:val="0A4F74B7"/>
    <w:rsid w:val="0D770B73"/>
    <w:rsid w:val="0D8F41B1"/>
    <w:rsid w:val="0DB93286"/>
    <w:rsid w:val="0DCB0AAA"/>
    <w:rsid w:val="0E49720A"/>
    <w:rsid w:val="0EC420D1"/>
    <w:rsid w:val="0EC93FBB"/>
    <w:rsid w:val="10C41FA2"/>
    <w:rsid w:val="10E91871"/>
    <w:rsid w:val="11DD4B3A"/>
    <w:rsid w:val="129618DC"/>
    <w:rsid w:val="14A90505"/>
    <w:rsid w:val="14DC73BB"/>
    <w:rsid w:val="14EB65E0"/>
    <w:rsid w:val="1588048B"/>
    <w:rsid w:val="168857E4"/>
    <w:rsid w:val="16D97ADD"/>
    <w:rsid w:val="16E45AEB"/>
    <w:rsid w:val="177F1319"/>
    <w:rsid w:val="17DF53E0"/>
    <w:rsid w:val="1B013FAA"/>
    <w:rsid w:val="1B060FF5"/>
    <w:rsid w:val="1B0C3489"/>
    <w:rsid w:val="1B513E4B"/>
    <w:rsid w:val="1BDC56E2"/>
    <w:rsid w:val="1C9359A3"/>
    <w:rsid w:val="1D556636"/>
    <w:rsid w:val="1DCE44E0"/>
    <w:rsid w:val="1DE72855"/>
    <w:rsid w:val="1E724829"/>
    <w:rsid w:val="1FE2768D"/>
    <w:rsid w:val="202F7D49"/>
    <w:rsid w:val="210322A7"/>
    <w:rsid w:val="2121293A"/>
    <w:rsid w:val="23EC6A93"/>
    <w:rsid w:val="259F18F8"/>
    <w:rsid w:val="272E6E27"/>
    <w:rsid w:val="27540AC6"/>
    <w:rsid w:val="278065CC"/>
    <w:rsid w:val="28C56911"/>
    <w:rsid w:val="28F21882"/>
    <w:rsid w:val="291B3A89"/>
    <w:rsid w:val="2BED4BFF"/>
    <w:rsid w:val="2C5B3566"/>
    <w:rsid w:val="2D022F1E"/>
    <w:rsid w:val="2E0A4EF7"/>
    <w:rsid w:val="2F8C5B34"/>
    <w:rsid w:val="3035528F"/>
    <w:rsid w:val="303C5477"/>
    <w:rsid w:val="31BE38D0"/>
    <w:rsid w:val="327C31C3"/>
    <w:rsid w:val="329B19DD"/>
    <w:rsid w:val="33461B40"/>
    <w:rsid w:val="33864723"/>
    <w:rsid w:val="338C409C"/>
    <w:rsid w:val="3510688E"/>
    <w:rsid w:val="36991F33"/>
    <w:rsid w:val="36D13171"/>
    <w:rsid w:val="37403612"/>
    <w:rsid w:val="37FE2A53"/>
    <w:rsid w:val="38F34C92"/>
    <w:rsid w:val="3BDD1A9B"/>
    <w:rsid w:val="3BF341D2"/>
    <w:rsid w:val="3DDA2166"/>
    <w:rsid w:val="3E7E4135"/>
    <w:rsid w:val="3EC52271"/>
    <w:rsid w:val="3ED65B24"/>
    <w:rsid w:val="40DF147E"/>
    <w:rsid w:val="410E417C"/>
    <w:rsid w:val="426867F2"/>
    <w:rsid w:val="427C15D5"/>
    <w:rsid w:val="43F34101"/>
    <w:rsid w:val="442B09BE"/>
    <w:rsid w:val="4483748A"/>
    <w:rsid w:val="45192FA4"/>
    <w:rsid w:val="453C3CE8"/>
    <w:rsid w:val="454E23D2"/>
    <w:rsid w:val="46291EEF"/>
    <w:rsid w:val="467170E3"/>
    <w:rsid w:val="46B354B7"/>
    <w:rsid w:val="47756305"/>
    <w:rsid w:val="47C0473A"/>
    <w:rsid w:val="49476839"/>
    <w:rsid w:val="4A1B05BD"/>
    <w:rsid w:val="4A4F4DF7"/>
    <w:rsid w:val="4B0F1E17"/>
    <w:rsid w:val="4C032E3E"/>
    <w:rsid w:val="4C8E76F1"/>
    <w:rsid w:val="4D1202BB"/>
    <w:rsid w:val="4D2716DD"/>
    <w:rsid w:val="4DAA519F"/>
    <w:rsid w:val="4E8C1884"/>
    <w:rsid w:val="4F450237"/>
    <w:rsid w:val="4F971260"/>
    <w:rsid w:val="5067110C"/>
    <w:rsid w:val="506979EA"/>
    <w:rsid w:val="508467D4"/>
    <w:rsid w:val="50DB0041"/>
    <w:rsid w:val="518A0729"/>
    <w:rsid w:val="522A0EF2"/>
    <w:rsid w:val="54032B60"/>
    <w:rsid w:val="545F0E76"/>
    <w:rsid w:val="551F30DA"/>
    <w:rsid w:val="55233FA3"/>
    <w:rsid w:val="555801ED"/>
    <w:rsid w:val="55AF6717"/>
    <w:rsid w:val="56213D59"/>
    <w:rsid w:val="56DB22E8"/>
    <w:rsid w:val="57852512"/>
    <w:rsid w:val="57AB174E"/>
    <w:rsid w:val="584F6981"/>
    <w:rsid w:val="59A575EF"/>
    <w:rsid w:val="5B5E74FB"/>
    <w:rsid w:val="5B7B0426"/>
    <w:rsid w:val="5BD82D7C"/>
    <w:rsid w:val="5BE44C27"/>
    <w:rsid w:val="5BFB7194"/>
    <w:rsid w:val="5D497B32"/>
    <w:rsid w:val="5EBE23CD"/>
    <w:rsid w:val="617E685D"/>
    <w:rsid w:val="61A2602F"/>
    <w:rsid w:val="61FF0F78"/>
    <w:rsid w:val="63997189"/>
    <w:rsid w:val="63A6159C"/>
    <w:rsid w:val="63F16E5E"/>
    <w:rsid w:val="64847D61"/>
    <w:rsid w:val="665C30B6"/>
    <w:rsid w:val="66852B3E"/>
    <w:rsid w:val="67183BE9"/>
    <w:rsid w:val="67DE23FD"/>
    <w:rsid w:val="682078ED"/>
    <w:rsid w:val="68B65BF9"/>
    <w:rsid w:val="6A0D3F8C"/>
    <w:rsid w:val="6A787EA5"/>
    <w:rsid w:val="6A934041"/>
    <w:rsid w:val="6A9D753A"/>
    <w:rsid w:val="6B4E5816"/>
    <w:rsid w:val="6CD54EA3"/>
    <w:rsid w:val="6D535020"/>
    <w:rsid w:val="70923935"/>
    <w:rsid w:val="73CF0EC4"/>
    <w:rsid w:val="759777E6"/>
    <w:rsid w:val="76656426"/>
    <w:rsid w:val="768D0B53"/>
    <w:rsid w:val="76DA30C2"/>
    <w:rsid w:val="775B4F8E"/>
    <w:rsid w:val="77C31107"/>
    <w:rsid w:val="78953E1F"/>
    <w:rsid w:val="78B9366D"/>
    <w:rsid w:val="796270D1"/>
    <w:rsid w:val="799D618D"/>
    <w:rsid w:val="7A5D46E4"/>
    <w:rsid w:val="7A696819"/>
    <w:rsid w:val="7ACE415F"/>
    <w:rsid w:val="7ADD093B"/>
    <w:rsid w:val="7C2C044F"/>
    <w:rsid w:val="7D005C4A"/>
    <w:rsid w:val="7D665EB3"/>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3"/>
    <w:qFormat/>
    <w:uiPriority w:val="0"/>
    <w:pPr>
      <w:spacing w:line="480" w:lineRule="exact"/>
      <w:jc w:val="left"/>
    </w:pPr>
    <w:rPr>
      <w:rFonts w:ascii="宋体" w:hAnsi="宋体"/>
    </w:rPr>
  </w:style>
  <w:style w:type="paragraph" w:styleId="8">
    <w:name w:val="Body Text Indent"/>
    <w:basedOn w:val="1"/>
    <w:link w:val="26"/>
    <w:unhideWhenUsed/>
    <w:qFormat/>
    <w:uiPriority w:val="0"/>
    <w:pPr>
      <w:spacing w:after="120"/>
      <w:ind w:left="420" w:leftChars="200"/>
    </w:pPr>
  </w:style>
  <w:style w:type="paragraph" w:styleId="9">
    <w:name w:val="Plain Text"/>
    <w:basedOn w:val="1"/>
    <w:link w:val="31"/>
    <w:qFormat/>
    <w:uiPriority w:val="0"/>
    <w:pPr>
      <w:spacing w:line="360" w:lineRule="auto"/>
      <w:ind w:firstLine="510"/>
    </w:pPr>
    <w:rPr>
      <w:rFonts w:ascii="宋体" w:hAnsi="Courier New" w:eastAsia="仿宋_GB2312"/>
      <w:sz w:val="24"/>
      <w:szCs w:val="20"/>
    </w:rPr>
  </w:style>
  <w:style w:type="paragraph" w:styleId="10">
    <w:name w:val="Balloon Text"/>
    <w:basedOn w:val="1"/>
    <w:link w:val="28"/>
    <w:qFormat/>
    <w:uiPriority w:val="0"/>
    <w:rPr>
      <w:sz w:val="18"/>
      <w:szCs w:val="18"/>
    </w:rPr>
  </w:style>
  <w:style w:type="paragraph" w:styleId="11">
    <w:name w:val="footer"/>
    <w:basedOn w:val="1"/>
    <w:link w:val="22"/>
    <w:qFormat/>
    <w:uiPriority w:val="99"/>
    <w:pPr>
      <w:tabs>
        <w:tab w:val="center" w:pos="4153"/>
        <w:tab w:val="right" w:pos="8306"/>
      </w:tabs>
      <w:snapToGrid w:val="0"/>
      <w:jc w:val="left"/>
    </w:pPr>
    <w:rPr>
      <w:sz w:val="18"/>
      <w:szCs w:val="18"/>
    </w:rPr>
  </w:style>
  <w:style w:type="paragraph" w:styleId="12">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99"/>
    <w:pPr>
      <w:spacing w:before="100" w:beforeAutospacing="1" w:after="100" w:afterAutospacing="1"/>
      <w:ind w:left="0" w:right="0"/>
      <w:jc w:val="left"/>
    </w:pPr>
    <w:rPr>
      <w:kern w:val="0"/>
      <w:sz w:val="24"/>
      <w:lang w:val="en-US" w:eastAsia="zh-CN" w:bidi="ar"/>
    </w:rPr>
  </w:style>
  <w:style w:type="paragraph" w:styleId="14">
    <w:name w:val="Body Text First Indent"/>
    <w:basedOn w:val="7"/>
    <w:link w:val="30"/>
    <w:semiHidden/>
    <w:unhideWhenUsed/>
    <w:qFormat/>
    <w:uiPriority w:val="0"/>
    <w:pPr>
      <w:spacing w:after="120" w:line="240" w:lineRule="auto"/>
      <w:ind w:firstLine="420" w:firstLineChars="100"/>
      <w:jc w:val="both"/>
    </w:pPr>
    <w:rPr>
      <w:rFonts w:ascii="Times New Roman" w:hAnsi="Times New Roman"/>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Strong"/>
    <w:qFormat/>
    <w:uiPriority w:val="0"/>
    <w:rPr>
      <w:b/>
      <w:bCs/>
    </w:rPr>
  </w:style>
  <w:style w:type="character" w:styleId="19">
    <w:name w:val="Hyperlink"/>
    <w:basedOn w:val="17"/>
    <w:semiHidden/>
    <w:unhideWhenUsed/>
    <w:qFormat/>
    <w:uiPriority w:val="0"/>
    <w:rPr>
      <w:color w:val="0000FF"/>
      <w:u w:val="single"/>
    </w:rPr>
  </w:style>
  <w:style w:type="paragraph" w:customStyle="1" w:styleId="20">
    <w:name w:val="正文1"/>
    <w:qFormat/>
    <w:uiPriority w:val="0"/>
    <w:pPr>
      <w:jc w:val="both"/>
    </w:pPr>
    <w:rPr>
      <w:rFonts w:ascii="Calibri" w:hAnsi="Calibri" w:eastAsia="宋体" w:cs="宋体"/>
      <w:kern w:val="2"/>
      <w:sz w:val="21"/>
      <w:szCs w:val="21"/>
      <w:lang w:val="en-US" w:eastAsia="zh-CN" w:bidi="ar-SA"/>
    </w:rPr>
  </w:style>
  <w:style w:type="character" w:customStyle="1" w:styleId="21">
    <w:name w:val="页眉 字符"/>
    <w:basedOn w:val="17"/>
    <w:link w:val="12"/>
    <w:qFormat/>
    <w:uiPriority w:val="0"/>
    <w:rPr>
      <w:kern w:val="2"/>
      <w:sz w:val="18"/>
      <w:szCs w:val="18"/>
    </w:rPr>
  </w:style>
  <w:style w:type="character" w:customStyle="1" w:styleId="22">
    <w:name w:val="页脚 字符"/>
    <w:basedOn w:val="17"/>
    <w:link w:val="11"/>
    <w:qFormat/>
    <w:uiPriority w:val="99"/>
    <w:rPr>
      <w:kern w:val="2"/>
      <w:sz w:val="18"/>
      <w:szCs w:val="18"/>
    </w:rPr>
  </w:style>
  <w:style w:type="character" w:customStyle="1" w:styleId="23">
    <w:name w:val="正文文本 字符"/>
    <w:basedOn w:val="17"/>
    <w:link w:val="7"/>
    <w:qFormat/>
    <w:uiPriority w:val="0"/>
    <w:rPr>
      <w:rFonts w:ascii="宋体" w:hAnsi="宋体"/>
      <w:kern w:val="2"/>
      <w:sz w:val="21"/>
      <w:szCs w:val="24"/>
    </w:rPr>
  </w:style>
  <w:style w:type="character" w:customStyle="1" w:styleId="24">
    <w:name w:val="普通 (Web) Char Char"/>
    <w:link w:val="25"/>
    <w:qFormat/>
    <w:uiPriority w:val="0"/>
    <w:rPr>
      <w:rFonts w:ascii="宋体" w:hAnsi="宋体"/>
      <w:sz w:val="24"/>
    </w:rPr>
  </w:style>
  <w:style w:type="paragraph" w:customStyle="1" w:styleId="25">
    <w:name w:val="普通 (Web)"/>
    <w:basedOn w:val="1"/>
    <w:link w:val="24"/>
    <w:qFormat/>
    <w:uiPriority w:val="0"/>
    <w:pPr>
      <w:widowControl/>
      <w:spacing w:before="100" w:beforeAutospacing="1" w:after="100" w:afterAutospacing="1"/>
      <w:jc w:val="left"/>
    </w:pPr>
    <w:rPr>
      <w:rFonts w:ascii="宋体" w:hAnsi="宋体"/>
      <w:kern w:val="0"/>
      <w:sz w:val="24"/>
      <w:szCs w:val="20"/>
    </w:rPr>
  </w:style>
  <w:style w:type="character" w:customStyle="1" w:styleId="26">
    <w:name w:val="正文文本缩进 字符"/>
    <w:basedOn w:val="17"/>
    <w:link w:val="8"/>
    <w:qFormat/>
    <w:uiPriority w:val="0"/>
    <w:rPr>
      <w:kern w:val="2"/>
      <w:sz w:val="21"/>
      <w:szCs w:val="24"/>
    </w:rPr>
  </w:style>
  <w:style w:type="paragraph" w:customStyle="1" w:styleId="27">
    <w:name w:val="Char"/>
    <w:basedOn w:val="1"/>
    <w:qFormat/>
    <w:uiPriority w:val="0"/>
    <w:rPr>
      <w:rFonts w:ascii="Tahoma" w:hAnsi="Tahoma"/>
      <w:sz w:val="24"/>
    </w:rPr>
  </w:style>
  <w:style w:type="character" w:customStyle="1" w:styleId="28">
    <w:name w:val="批注框文本 字符"/>
    <w:basedOn w:val="17"/>
    <w:link w:val="10"/>
    <w:qFormat/>
    <w:uiPriority w:val="0"/>
    <w:rPr>
      <w:kern w:val="2"/>
      <w:sz w:val="18"/>
      <w:szCs w:val="18"/>
    </w:rPr>
  </w:style>
  <w:style w:type="character" w:customStyle="1" w:styleId="29">
    <w:name w:val="标题 1 字符"/>
    <w:basedOn w:val="17"/>
    <w:link w:val="3"/>
    <w:qFormat/>
    <w:uiPriority w:val="0"/>
    <w:rPr>
      <w:b/>
      <w:bCs/>
      <w:kern w:val="44"/>
      <w:sz w:val="44"/>
      <w:szCs w:val="44"/>
    </w:rPr>
  </w:style>
  <w:style w:type="character" w:customStyle="1" w:styleId="30">
    <w:name w:val="正文文本首行缩进 字符"/>
    <w:basedOn w:val="23"/>
    <w:link w:val="14"/>
    <w:semiHidden/>
    <w:qFormat/>
    <w:uiPriority w:val="0"/>
    <w:rPr>
      <w:rFonts w:ascii="宋体" w:hAnsi="宋体"/>
      <w:kern w:val="2"/>
      <w:sz w:val="21"/>
      <w:szCs w:val="24"/>
    </w:rPr>
  </w:style>
  <w:style w:type="character" w:customStyle="1" w:styleId="31">
    <w:name w:val="纯文本 字符"/>
    <w:link w:val="9"/>
    <w:qFormat/>
    <w:uiPriority w:val="0"/>
    <w:rPr>
      <w:rFonts w:ascii="宋体" w:hAnsi="Courier New" w:eastAsia="仿宋_GB2312"/>
      <w:kern w:val="2"/>
      <w:sz w:val="24"/>
    </w:rPr>
  </w:style>
  <w:style w:type="character" w:customStyle="1" w:styleId="32">
    <w:name w:val="font31"/>
    <w:basedOn w:val="17"/>
    <w:qFormat/>
    <w:uiPriority w:val="0"/>
    <w:rPr>
      <w:rFonts w:hint="eastAsia" w:ascii="宋体" w:hAnsi="宋体" w:eastAsia="宋体" w:cs="宋体"/>
      <w:b/>
      <w:color w:val="000000"/>
      <w:sz w:val="14"/>
      <w:szCs w:val="14"/>
      <w:u w:val="none"/>
    </w:rPr>
  </w:style>
  <w:style w:type="character" w:customStyle="1" w:styleId="33">
    <w:name w:val="font01"/>
    <w:basedOn w:val="17"/>
    <w:qFormat/>
    <w:uiPriority w:val="0"/>
    <w:rPr>
      <w:rFonts w:hint="eastAsia" w:ascii="宋体" w:hAnsi="宋体" w:eastAsia="宋体" w:cs="宋体"/>
      <w:color w:val="000000"/>
      <w:sz w:val="14"/>
      <w:szCs w:val="14"/>
      <w:u w:val="none"/>
    </w:rPr>
  </w:style>
  <w:style w:type="paragraph" w:customStyle="1" w:styleId="34">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5">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4</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琦丽</cp:lastModifiedBy>
  <dcterms:modified xsi:type="dcterms:W3CDTF">2026-07-24T03:47:38Z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