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both"/>
        <w:rPr>
          <w:rFonts w:hint="eastAsia" w:ascii="宋体" w:hAnsi="宋体"/>
          <w:b/>
          <w:spacing w:val="-6"/>
          <w:sz w:val="48"/>
          <w:szCs w:val="48"/>
          <w:lang w:val="en-US" w:eastAsia="zh-CN"/>
        </w:rPr>
      </w:pPr>
      <w:bookmarkStart w:id="0" w:name="_GoBack"/>
      <w:bookmarkEnd w:id="0"/>
    </w:p>
    <w:p>
      <w:pPr>
        <w:pStyle w:val="2"/>
        <w:rPr>
          <w:rFonts w:hint="eastAsia" w:ascii="宋体" w:hAnsi="宋体"/>
          <w:b/>
          <w:spacing w:val="-6"/>
          <w:sz w:val="48"/>
          <w:szCs w:val="48"/>
          <w:lang w:val="en-US" w:eastAsia="zh-CN"/>
        </w:rPr>
      </w:pPr>
    </w:p>
    <w:p>
      <w:pPr>
        <w:rPr>
          <w:rFonts w:hint="eastAsia" w:ascii="宋体" w:hAnsi="宋体"/>
          <w:b/>
          <w:spacing w:val="-6"/>
          <w:sz w:val="48"/>
          <w:szCs w:val="48"/>
          <w:lang w:val="en-US" w:eastAsia="zh-CN"/>
        </w:rPr>
      </w:pPr>
    </w:p>
    <w:p>
      <w:pPr>
        <w:pStyle w:val="2"/>
        <w:rPr>
          <w:rFonts w:hint="eastAsia"/>
          <w:lang w:val="en-US" w:eastAsia="zh-CN"/>
        </w:rPr>
      </w:pPr>
    </w:p>
    <w:p>
      <w:pPr>
        <w:spacing w:line="360" w:lineRule="auto"/>
        <w:ind w:left="0" w:leftChars="0" w:firstLine="480" w:firstLineChars="100"/>
        <w:jc w:val="center"/>
        <w:rPr>
          <w:rFonts w:hint="eastAsia" w:ascii="方正小标宋简体" w:hAnsi="方正小标宋简体" w:eastAsia="方正小标宋简体" w:cs="方正小标宋简体"/>
          <w:b/>
          <w:bCs/>
          <w:spacing w:val="-1"/>
          <w:sz w:val="48"/>
          <w:szCs w:val="48"/>
        </w:rPr>
      </w:pPr>
      <w:r>
        <w:rPr>
          <w:rFonts w:hint="eastAsia" w:ascii="方正小标宋简体" w:hAnsi="方正小标宋简体" w:eastAsia="方正小标宋简体" w:cs="方正小标宋简体"/>
          <w:b/>
          <w:bCs/>
          <w:spacing w:val="-1"/>
          <w:sz w:val="48"/>
          <w:szCs w:val="48"/>
        </w:rPr>
        <w:t>正方集团及下属公司闲置资产(二手价值)及报废</w:t>
      </w:r>
    </w:p>
    <w:p>
      <w:pPr>
        <w:spacing w:line="360" w:lineRule="auto"/>
        <w:ind w:firstLine="729" w:firstLineChars="152"/>
        <w:jc w:val="center"/>
        <w:rPr>
          <w:rFonts w:hint="eastAsia" w:ascii="方正小标宋简体" w:hAnsi="方正小标宋简体" w:eastAsia="方正小标宋简体" w:cs="方正小标宋简体"/>
          <w:b/>
          <w:bCs/>
          <w:spacing w:val="-1"/>
          <w:sz w:val="48"/>
          <w:szCs w:val="48"/>
        </w:rPr>
      </w:pPr>
      <w:r>
        <w:rPr>
          <w:rFonts w:hint="eastAsia" w:ascii="方正小标宋简体" w:hAnsi="方正小标宋简体" w:eastAsia="方正小标宋简体" w:cs="方正小标宋简体"/>
          <w:b/>
          <w:bCs/>
          <w:spacing w:val="-1"/>
          <w:sz w:val="48"/>
          <w:szCs w:val="48"/>
        </w:rPr>
        <w:t>资产(残余价值)处置的评估服务</w:t>
      </w:r>
    </w:p>
    <w:p>
      <w:pPr>
        <w:pStyle w:val="2"/>
        <w:jc w:val="center"/>
        <w:rPr>
          <w:rFonts w:hint="eastAsia" w:eastAsia="方正小标宋简体"/>
          <w:lang w:val="en-US" w:eastAsia="zh-CN"/>
        </w:rPr>
      </w:pPr>
      <w:r>
        <w:rPr>
          <w:rFonts w:hint="eastAsia" w:ascii="方正小标宋简体" w:hAnsi="方正小标宋简体" w:eastAsia="方正小标宋简体" w:cs="方正小标宋简体"/>
          <w:b/>
          <w:bCs/>
          <w:spacing w:val="-1"/>
          <w:sz w:val="48"/>
          <w:szCs w:val="48"/>
          <w:lang w:val="en-US" w:eastAsia="zh-CN"/>
        </w:rPr>
        <w:t>任务书</w:t>
      </w:r>
    </w:p>
    <w:p>
      <w:pPr>
        <w:spacing w:line="360" w:lineRule="auto"/>
        <w:ind w:firstLine="811" w:firstLineChars="152"/>
        <w:jc w:val="center"/>
        <w:rPr>
          <w:rFonts w:hint="eastAsia" w:ascii="宋体" w:hAnsi="宋体"/>
          <w:b/>
          <w:spacing w:val="86"/>
          <w:sz w:val="36"/>
          <w:szCs w:val="36"/>
        </w:rPr>
      </w:pPr>
    </w:p>
    <w:p>
      <w:pPr>
        <w:spacing w:line="360" w:lineRule="auto"/>
        <w:ind w:firstLine="811" w:firstLineChars="152"/>
        <w:jc w:val="center"/>
        <w:rPr>
          <w:rFonts w:hint="eastAsia" w:ascii="宋体" w:hAnsi="宋体"/>
          <w:b/>
          <w:spacing w:val="86"/>
          <w:sz w:val="36"/>
          <w:szCs w:val="36"/>
        </w:rPr>
      </w:pPr>
    </w:p>
    <w:p>
      <w:pPr>
        <w:spacing w:line="360" w:lineRule="auto"/>
        <w:ind w:firstLine="811" w:firstLineChars="152"/>
        <w:jc w:val="center"/>
        <w:rPr>
          <w:rFonts w:hint="eastAsia" w:ascii="宋体" w:hAnsi="宋体"/>
          <w:b/>
          <w:spacing w:val="86"/>
          <w:sz w:val="36"/>
          <w:szCs w:val="36"/>
        </w:rPr>
      </w:pPr>
    </w:p>
    <w:p>
      <w:pPr>
        <w:spacing w:line="360" w:lineRule="auto"/>
        <w:jc w:val="both"/>
        <w:rPr>
          <w:rFonts w:hint="eastAsia" w:ascii="宋体" w:hAnsi="宋体"/>
          <w:b/>
          <w:spacing w:val="86"/>
          <w:sz w:val="36"/>
          <w:szCs w:val="36"/>
        </w:rPr>
      </w:pPr>
    </w:p>
    <w:p>
      <w:pPr>
        <w:spacing w:line="360" w:lineRule="auto"/>
        <w:ind w:firstLine="811" w:firstLineChars="152"/>
        <w:jc w:val="center"/>
        <w:rPr>
          <w:rFonts w:hint="eastAsia" w:ascii="宋体" w:hAnsi="宋体"/>
          <w:b/>
          <w:spacing w:val="86"/>
          <w:sz w:val="36"/>
          <w:szCs w:val="36"/>
        </w:rPr>
      </w:pPr>
    </w:p>
    <w:p>
      <w:pPr>
        <w:rPr>
          <w:rFonts w:hint="default" w:ascii="宋体" w:hAnsi="宋体"/>
          <w:b/>
          <w:spacing w:val="86"/>
          <w:sz w:val="28"/>
          <w:szCs w:val="28"/>
          <w:lang w:val="en-US" w:eastAsia="zh-CN"/>
        </w:rPr>
      </w:pPr>
    </w:p>
    <w:p>
      <w:pPr>
        <w:pStyle w:val="2"/>
        <w:rPr>
          <w:rFonts w:hint="default" w:ascii="宋体" w:hAnsi="宋体"/>
          <w:b/>
          <w:spacing w:val="86"/>
          <w:sz w:val="28"/>
          <w:szCs w:val="28"/>
          <w:lang w:val="en-US" w:eastAsia="zh-CN"/>
        </w:rPr>
      </w:pPr>
    </w:p>
    <w:p>
      <w:pPr>
        <w:pStyle w:val="2"/>
        <w:rPr>
          <w:rFonts w:hint="default"/>
          <w:lang w:val="en-US" w:eastAsia="zh-CN"/>
        </w:rPr>
      </w:pPr>
    </w:p>
    <w:p>
      <w:pPr>
        <w:spacing w:line="360" w:lineRule="auto"/>
        <w:ind w:left="2719" w:hanging="2719" w:hangingChars="600"/>
        <w:jc w:val="center"/>
        <w:rPr>
          <w:rFonts w:hint="eastAsia" w:ascii="宋体" w:hAnsi="宋体" w:eastAsia="宋体" w:cs="Times New Roman"/>
          <w:b/>
          <w:spacing w:val="86"/>
          <w:sz w:val="28"/>
          <w:szCs w:val="28"/>
          <w:lang w:val="en-US" w:eastAsia="zh-CN"/>
        </w:rPr>
      </w:pPr>
    </w:p>
    <w:p>
      <w:pPr>
        <w:spacing w:line="360" w:lineRule="auto"/>
        <w:jc w:val="center"/>
        <w:rPr>
          <w:rFonts w:hint="default" w:eastAsia="宋体"/>
          <w:color w:val="auto"/>
          <w:highlight w:val="none"/>
          <w:lang w:val="en-US" w:eastAsia="zh-CN"/>
        </w:rPr>
        <w:sectPr>
          <w:headerReference r:id="rId4" w:type="first"/>
          <w:footerReference r:id="rId6" w:type="first"/>
          <w:headerReference r:id="rId3" w:type="default"/>
          <w:footerReference r:id="rId5" w:type="default"/>
          <w:pgSz w:w="11906" w:h="16838"/>
          <w:pgMar w:top="994" w:right="720" w:bottom="720" w:left="720" w:header="370" w:footer="680" w:gutter="0"/>
          <w:pgNumType w:fmt="decimal" w:start="1"/>
          <w:cols w:space="720" w:num="1"/>
          <w:docGrid w:type="lines" w:linePitch="312" w:charSpace="0"/>
        </w:sectPr>
      </w:pPr>
      <w:permStart w:id="0" w:edGrp="everyone"/>
      <w:r>
        <w:rPr>
          <w:rFonts w:hint="eastAsia" w:ascii="宋体" w:hAnsi="宋体" w:cs="宋体"/>
          <w:b/>
          <w:sz w:val="32"/>
          <w:szCs w:val="32"/>
        </w:rPr>
        <w:t xml:space="preserve"> </w:t>
      </w:r>
      <w:r>
        <w:rPr>
          <w:rFonts w:hint="eastAsia" w:ascii="宋体" w:hAnsi="宋体" w:cs="宋体"/>
          <w:b/>
          <w:sz w:val="32"/>
          <w:szCs w:val="32"/>
          <w:lang w:val="en-US" w:eastAsia="zh-CN"/>
        </w:rPr>
        <w:t>2026</w:t>
      </w:r>
      <w:r>
        <w:rPr>
          <w:rFonts w:hint="eastAsia" w:ascii="宋体" w:hAnsi="宋体" w:cs="宋体"/>
          <w:b/>
          <w:sz w:val="32"/>
          <w:szCs w:val="32"/>
        </w:rPr>
        <w:t xml:space="preserve"> </w:t>
      </w:r>
      <w:permEnd w:id="0"/>
      <w:r>
        <w:rPr>
          <w:rFonts w:hint="eastAsia" w:ascii="黑体" w:eastAsia="黑体"/>
          <w:snapToGrid w:val="0"/>
          <w:w w:val="80"/>
          <w:kern w:val="18"/>
          <w:sz w:val="32"/>
          <w:szCs w:val="32"/>
        </w:rPr>
        <w:t>年</w:t>
      </w:r>
      <w:permStart w:id="1" w:edGrp="everyone"/>
      <w:r>
        <w:rPr>
          <w:rFonts w:hint="eastAsia" w:ascii="宋体" w:hAnsi="宋体" w:cs="宋体"/>
          <w:b/>
          <w:sz w:val="32"/>
          <w:szCs w:val="32"/>
        </w:rPr>
        <w:t xml:space="preserve"> </w:t>
      </w:r>
      <w:r>
        <w:rPr>
          <w:rFonts w:hint="eastAsia" w:ascii="宋体" w:hAnsi="宋体" w:cs="宋体"/>
          <w:b/>
          <w:sz w:val="32"/>
          <w:szCs w:val="32"/>
          <w:lang w:val="en-US" w:eastAsia="zh-CN"/>
        </w:rPr>
        <w:t>7月15日</w:t>
      </w:r>
      <w:permEnd w:id="1"/>
    </w:p>
    <w:p>
      <w:pPr>
        <w:spacing w:line="360" w:lineRule="auto"/>
        <w:jc w:val="center"/>
        <w:outlineLvl w:val="0"/>
        <w:rPr>
          <w:rFonts w:hint="eastAsia" w:ascii="Arial" w:hAnsi="Arial" w:eastAsia="宋体" w:cs="Arial"/>
          <w:b/>
          <w:color w:val="000000"/>
          <w:sz w:val="36"/>
          <w:szCs w:val="36"/>
        </w:rPr>
      </w:pPr>
    </w:p>
    <w:p>
      <w:pPr>
        <w:spacing w:line="360" w:lineRule="auto"/>
        <w:jc w:val="center"/>
        <w:outlineLvl w:val="0"/>
        <w:rPr>
          <w:rFonts w:hint="eastAsia" w:ascii="黑体" w:hAnsi="黑体" w:eastAsia="黑体" w:cs="黑体"/>
          <w:b/>
          <w:color w:val="000000"/>
          <w:sz w:val="44"/>
          <w:szCs w:val="44"/>
        </w:rPr>
      </w:pPr>
      <w:r>
        <w:rPr>
          <w:rFonts w:hint="eastAsia" w:ascii="黑体" w:hAnsi="黑体" w:eastAsia="黑体" w:cs="黑体"/>
          <w:b/>
          <w:color w:val="000000"/>
          <w:sz w:val="44"/>
          <w:szCs w:val="44"/>
        </w:rPr>
        <w:t>目录</w:t>
      </w:r>
    </w:p>
    <w:p>
      <w:pPr>
        <w:pStyle w:val="13"/>
        <w:tabs>
          <w:tab w:val="right" w:leader="dot" w:pos="9071"/>
        </w:tabs>
        <w:spacing w:line="480" w:lineRule="auto"/>
        <w:rPr>
          <w:rFonts w:hint="eastAsia" w:ascii="仿宋" w:hAnsi="仿宋" w:eastAsia="仿宋" w:cs="仿宋"/>
          <w:sz w:val="32"/>
          <w:szCs w:val="32"/>
        </w:rPr>
      </w:pPr>
      <w:r>
        <w:rPr>
          <w:sz w:val="28"/>
          <w:szCs w:val="28"/>
        </w:rPr>
        <w:fldChar w:fldCharType="begin"/>
      </w:r>
      <w:r>
        <w:rPr>
          <w:sz w:val="28"/>
          <w:szCs w:val="28"/>
        </w:rPr>
        <w:instrText xml:space="preserve">TOC \o "1-2" \h \u </w:instrText>
      </w:r>
      <w:r>
        <w:rPr>
          <w:sz w:val="28"/>
          <w:szCs w:val="28"/>
        </w:rP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_Toc21287 </w:instrText>
      </w:r>
      <w:r>
        <w:rPr>
          <w:rFonts w:hint="eastAsia" w:ascii="仿宋" w:hAnsi="仿宋" w:eastAsia="仿宋" w:cs="仿宋"/>
          <w:sz w:val="32"/>
          <w:szCs w:val="32"/>
        </w:rPr>
        <w:fldChar w:fldCharType="separate"/>
      </w:r>
      <w:r>
        <w:rPr>
          <w:rFonts w:hint="eastAsia" w:ascii="仿宋" w:hAnsi="仿宋" w:eastAsia="仿宋" w:cs="仿宋"/>
          <w:sz w:val="32"/>
          <w:szCs w:val="32"/>
        </w:rPr>
        <w:t>一</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评估对象</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p>
    <w:p>
      <w:pPr>
        <w:pStyle w:val="15"/>
        <w:tabs>
          <w:tab w:val="right" w:leader="dot" w:pos="9071"/>
        </w:tabs>
        <w:spacing w:line="480" w:lineRule="auto"/>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二、评估目的</w:t>
      </w:r>
      <w:r>
        <w:rPr>
          <w:rFonts w:hint="eastAsia" w:ascii="仿宋" w:hAnsi="仿宋" w:eastAsia="仿宋" w:cs="仿宋"/>
          <w:sz w:val="32"/>
          <w:szCs w:val="32"/>
        </w:rPr>
        <w:tab/>
      </w:r>
      <w:r>
        <w:rPr>
          <w:rFonts w:hint="eastAsia" w:ascii="仿宋" w:hAnsi="仿宋" w:eastAsia="仿宋" w:cs="仿宋"/>
          <w:sz w:val="32"/>
          <w:szCs w:val="32"/>
          <w:lang w:val="en-US" w:eastAsia="zh-CN"/>
        </w:rPr>
        <w:t>1</w:t>
      </w:r>
    </w:p>
    <w:p>
      <w:pPr>
        <w:pStyle w:val="13"/>
        <w:tabs>
          <w:tab w:val="right" w:leader="dot" w:pos="9071"/>
        </w:tabs>
        <w:spacing w:line="480" w:lineRule="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_Toc32401 </w:instrText>
      </w:r>
      <w:r>
        <w:rPr>
          <w:rFonts w:hint="eastAsia" w:ascii="仿宋" w:hAnsi="仿宋" w:eastAsia="仿宋" w:cs="仿宋"/>
          <w:sz w:val="32"/>
          <w:szCs w:val="32"/>
        </w:rPr>
        <w:fldChar w:fldCharType="separate"/>
      </w:r>
      <w:r>
        <w:rPr>
          <w:rFonts w:hint="eastAsia" w:ascii="仿宋" w:hAnsi="仿宋" w:eastAsia="仿宋" w:cs="仿宋"/>
          <w:sz w:val="32"/>
          <w:szCs w:val="32"/>
          <w:lang w:val="en-US" w:eastAsia="zh-CN"/>
        </w:rPr>
        <w:t>三</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招标内容</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p>
    <w:p>
      <w:pPr>
        <w:pStyle w:val="15"/>
        <w:tabs>
          <w:tab w:val="right" w:leader="dot" w:pos="9071"/>
        </w:tabs>
        <w:spacing w:line="480" w:lineRule="auto"/>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_Toc21913 </w:instrText>
      </w:r>
      <w:r>
        <w:rPr>
          <w:rFonts w:hint="eastAsia" w:ascii="仿宋" w:hAnsi="仿宋" w:eastAsia="仿宋" w:cs="仿宋"/>
          <w:sz w:val="32"/>
          <w:szCs w:val="32"/>
        </w:rPr>
        <w:fldChar w:fldCharType="separate"/>
      </w:r>
      <w:r>
        <w:rPr>
          <w:rFonts w:hint="eastAsia" w:ascii="仿宋" w:hAnsi="仿宋" w:eastAsia="仿宋" w:cs="仿宋"/>
          <w:sz w:val="32"/>
          <w:szCs w:val="32"/>
          <w:lang w:val="en-US" w:eastAsia="zh-CN"/>
        </w:rPr>
        <w:t xml:space="preserve">   1.招标内容</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p>
    <w:p>
      <w:pPr>
        <w:pStyle w:val="15"/>
        <w:tabs>
          <w:tab w:val="right" w:leader="dot" w:pos="9071"/>
        </w:tabs>
        <w:spacing w:line="480" w:lineRule="auto"/>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_Toc25690 </w:instrText>
      </w:r>
      <w:r>
        <w:rPr>
          <w:rFonts w:hint="eastAsia" w:ascii="仿宋" w:hAnsi="仿宋" w:eastAsia="仿宋" w:cs="仿宋"/>
          <w:sz w:val="32"/>
          <w:szCs w:val="32"/>
        </w:rPr>
        <w:fldChar w:fldCharType="separate"/>
      </w:r>
      <w:r>
        <w:rPr>
          <w:rFonts w:hint="eastAsia" w:ascii="仿宋" w:hAnsi="仿宋" w:eastAsia="仿宋" w:cs="仿宋"/>
          <w:sz w:val="32"/>
          <w:szCs w:val="32"/>
          <w:lang w:val="en-US" w:eastAsia="zh-CN"/>
        </w:rPr>
        <w:t xml:space="preserve">   2.价格评估要求</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p>
    <w:p>
      <w:pPr>
        <w:pStyle w:val="15"/>
        <w:tabs>
          <w:tab w:val="right" w:leader="dot" w:pos="9071"/>
        </w:tabs>
        <w:spacing w:line="480" w:lineRule="auto"/>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3.工作进度及成果要求</w:t>
      </w:r>
      <w:r>
        <w:rPr>
          <w:rFonts w:hint="eastAsia" w:ascii="仿宋" w:hAnsi="仿宋" w:eastAsia="仿宋" w:cs="仿宋"/>
          <w:sz w:val="32"/>
          <w:szCs w:val="32"/>
        </w:rPr>
        <w:tab/>
      </w:r>
      <w:r>
        <w:rPr>
          <w:rFonts w:hint="eastAsia" w:ascii="仿宋" w:hAnsi="仿宋" w:eastAsia="仿宋" w:cs="仿宋"/>
          <w:sz w:val="32"/>
          <w:szCs w:val="32"/>
          <w:lang w:val="en-US" w:eastAsia="zh-CN"/>
        </w:rPr>
        <w:t>3</w:t>
      </w:r>
    </w:p>
    <w:p>
      <w:pPr>
        <w:pStyle w:val="6"/>
        <w:ind w:left="0" w:leftChars="0" w:firstLine="0" w:firstLineChars="0"/>
        <w:rPr>
          <w:rFonts w:hint="default"/>
          <w:sz w:val="28"/>
          <w:szCs w:val="28"/>
          <w:lang w:val="en-US" w:eastAsia="zh-CN"/>
        </w:rPr>
      </w:pPr>
    </w:p>
    <w:p>
      <w:pPr>
        <w:spacing w:before="65" w:line="220" w:lineRule="auto"/>
        <w:ind w:left="756"/>
        <w:outlineLvl w:val="0"/>
        <w:rPr>
          <w:sz w:val="28"/>
          <w:szCs w:val="28"/>
        </w:rPr>
      </w:pPr>
      <w:r>
        <w:rPr>
          <w:sz w:val="28"/>
          <w:szCs w:val="28"/>
        </w:rPr>
        <w:fldChar w:fldCharType="end"/>
      </w: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ind w:left="756"/>
        <w:outlineLvl w:val="0"/>
        <w:rPr>
          <w:sz w:val="28"/>
          <w:szCs w:val="28"/>
        </w:rPr>
      </w:pPr>
    </w:p>
    <w:p>
      <w:pPr>
        <w:spacing w:before="65" w:line="220" w:lineRule="auto"/>
        <w:outlineLvl w:val="0"/>
        <w:rPr>
          <w:sz w:val="28"/>
          <w:szCs w:val="28"/>
        </w:rPr>
      </w:pPr>
    </w:p>
    <w:p>
      <w:pPr>
        <w:spacing w:before="65" w:line="220" w:lineRule="auto"/>
        <w:outlineLvl w:val="0"/>
        <w:rPr>
          <w:rFonts w:ascii="仿宋" w:hAnsi="仿宋" w:eastAsia="仿宋" w:cs="仿宋"/>
          <w:b/>
          <w:bCs/>
          <w:spacing w:val="-3"/>
          <w:sz w:val="24"/>
          <w:szCs w:val="24"/>
        </w:rPr>
        <w:sectPr>
          <w:footerReference r:id="rId7" w:type="default"/>
          <w:pgSz w:w="12240" w:h="15840"/>
          <w:pgMar w:top="1346" w:right="1836" w:bottom="1757" w:left="1836" w:header="0" w:footer="1648"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566" w:lineRule="exact"/>
        <w:ind w:left="0" w:leftChars="0" w:firstLine="631" w:firstLineChars="200"/>
        <w:textAlignment w:val="auto"/>
        <w:outlineLvl w:val="0"/>
        <w:rPr>
          <w:rFonts w:hint="eastAsia" w:ascii="黑体" w:hAnsi="黑体" w:eastAsia="黑体" w:cs="黑体"/>
          <w:sz w:val="32"/>
          <w:szCs w:val="32"/>
        </w:rPr>
      </w:pPr>
      <w:r>
        <w:rPr>
          <w:rFonts w:hint="eastAsia" w:ascii="黑体" w:hAnsi="黑体" w:eastAsia="黑体" w:cs="黑体"/>
          <w:b/>
          <w:bCs/>
          <w:spacing w:val="-3"/>
          <w:sz w:val="32"/>
          <w:szCs w:val="32"/>
        </w:rPr>
        <w:t>一、评估对象</w:t>
      </w:r>
    </w:p>
    <w:p>
      <w:pPr>
        <w:keepNext w:val="0"/>
        <w:keepLines w:val="0"/>
        <w:pageBreakBefore w:val="0"/>
        <w:widowControl w:val="0"/>
        <w:tabs>
          <w:tab w:val="left" w:pos="8400"/>
        </w:tabs>
        <w:kinsoku/>
        <w:wordWrap/>
        <w:overflowPunct/>
        <w:topLinePunct w:val="0"/>
        <w:autoSpaceDE/>
        <w:autoSpaceDN/>
        <w:bidi w:val="0"/>
        <w:adjustRightInd/>
        <w:snapToGrid/>
        <w:spacing w:line="566" w:lineRule="exact"/>
        <w:ind w:right="904" w:firstLine="628" w:firstLineChars="200"/>
        <w:textAlignment w:val="auto"/>
        <w:rPr>
          <w:rFonts w:hint="eastAsia" w:ascii="仿宋" w:hAnsi="仿宋" w:eastAsia="仿宋" w:cs="仿宋"/>
          <w:spacing w:val="-3"/>
          <w:sz w:val="32"/>
          <w:szCs w:val="32"/>
          <w:highlight w:val="none"/>
          <w:lang w:eastAsia="zh-CN"/>
        </w:rPr>
      </w:pPr>
      <w:r>
        <w:rPr>
          <w:rFonts w:hint="eastAsia" w:ascii="仿宋" w:hAnsi="仿宋" w:eastAsia="仿宋" w:cs="仿宋"/>
          <w:spacing w:val="-3"/>
          <w:sz w:val="32"/>
          <w:szCs w:val="32"/>
          <w:highlight w:val="none"/>
        </w:rPr>
        <w:t>(1)</w:t>
      </w:r>
      <w:r>
        <w:rPr>
          <w:rFonts w:hint="eastAsia" w:ascii="仿宋" w:hAnsi="仿宋" w:eastAsia="仿宋" w:cs="仿宋"/>
          <w:b/>
          <w:bCs/>
          <w:spacing w:val="-3"/>
          <w:sz w:val="32"/>
          <w:szCs w:val="32"/>
          <w:highlight w:val="none"/>
        </w:rPr>
        <w:t>项目名称</w:t>
      </w:r>
      <w:r>
        <w:rPr>
          <w:rFonts w:hint="eastAsia" w:ascii="仿宋" w:hAnsi="仿宋" w:eastAsia="仿宋" w:cs="仿宋"/>
          <w:spacing w:val="-3"/>
          <w:sz w:val="32"/>
          <w:szCs w:val="32"/>
          <w:highlight w:val="none"/>
        </w:rPr>
        <w:t>：正方集团及下属公司</w:t>
      </w:r>
      <w:r>
        <w:rPr>
          <w:rFonts w:hint="eastAsia" w:ascii="仿宋" w:hAnsi="仿宋" w:eastAsia="仿宋" w:cs="仿宋"/>
          <w:spacing w:val="-3"/>
          <w:sz w:val="32"/>
          <w:szCs w:val="32"/>
          <w:highlight w:val="none"/>
          <w:lang w:val="en-US" w:eastAsia="zh-CN"/>
        </w:rPr>
        <w:t>闲置资产（二手价值）及报废</w:t>
      </w:r>
      <w:r>
        <w:rPr>
          <w:rFonts w:hint="eastAsia" w:ascii="仿宋" w:hAnsi="仿宋" w:eastAsia="仿宋" w:cs="仿宋"/>
          <w:spacing w:val="-3"/>
          <w:sz w:val="32"/>
          <w:szCs w:val="32"/>
          <w:highlight w:val="none"/>
        </w:rPr>
        <w:t>资产</w:t>
      </w:r>
      <w:r>
        <w:rPr>
          <w:rFonts w:hint="eastAsia" w:ascii="仿宋" w:hAnsi="仿宋" w:eastAsia="仿宋" w:cs="仿宋"/>
          <w:spacing w:val="-3"/>
          <w:sz w:val="32"/>
          <w:szCs w:val="32"/>
          <w:highlight w:val="none"/>
          <w:lang w:eastAsia="zh-CN"/>
        </w:rPr>
        <w:t>（</w:t>
      </w:r>
      <w:r>
        <w:rPr>
          <w:rFonts w:hint="eastAsia" w:ascii="仿宋" w:hAnsi="仿宋" w:eastAsia="仿宋" w:cs="仿宋"/>
          <w:spacing w:val="-3"/>
          <w:sz w:val="32"/>
          <w:szCs w:val="32"/>
          <w:highlight w:val="none"/>
          <w:lang w:val="en-US" w:eastAsia="zh-CN"/>
        </w:rPr>
        <w:t>残余价值</w:t>
      </w:r>
      <w:r>
        <w:rPr>
          <w:rFonts w:hint="eastAsia" w:ascii="仿宋" w:hAnsi="仿宋" w:eastAsia="仿宋" w:cs="仿宋"/>
          <w:spacing w:val="-3"/>
          <w:sz w:val="32"/>
          <w:szCs w:val="32"/>
          <w:highlight w:val="none"/>
          <w:lang w:eastAsia="zh-CN"/>
        </w:rPr>
        <w:t>）</w:t>
      </w:r>
      <w:r>
        <w:rPr>
          <w:rFonts w:hint="eastAsia" w:ascii="仿宋" w:hAnsi="仿宋" w:eastAsia="仿宋" w:cs="仿宋"/>
          <w:spacing w:val="-3"/>
          <w:sz w:val="32"/>
          <w:szCs w:val="32"/>
          <w:highlight w:val="none"/>
          <w:lang w:val="en-US" w:eastAsia="zh-CN"/>
        </w:rPr>
        <w:t>处置的评估服务</w:t>
      </w:r>
      <w:r>
        <w:rPr>
          <w:rFonts w:hint="eastAsia" w:ascii="仿宋" w:hAnsi="仿宋" w:eastAsia="仿宋" w:cs="仿宋"/>
          <w:spacing w:val="-3"/>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6" w:lineRule="exact"/>
        <w:ind w:right="904" w:firstLine="628" w:firstLineChars="200"/>
        <w:textAlignment w:val="auto"/>
        <w:rPr>
          <w:rFonts w:hint="eastAsia" w:ascii="仿宋" w:hAnsi="仿宋" w:eastAsia="仿宋" w:cs="仿宋"/>
          <w:sz w:val="32"/>
          <w:szCs w:val="32"/>
          <w:highlight w:val="none"/>
        </w:rPr>
      </w:pPr>
      <w:r>
        <w:rPr>
          <w:rFonts w:hint="eastAsia" w:ascii="仿宋" w:hAnsi="仿宋" w:eastAsia="仿宋" w:cs="仿宋"/>
          <w:spacing w:val="-3"/>
          <w:sz w:val="32"/>
          <w:szCs w:val="32"/>
          <w:highlight w:val="none"/>
        </w:rPr>
        <w:t>(</w:t>
      </w:r>
      <w:r>
        <w:rPr>
          <w:rFonts w:hint="eastAsia" w:ascii="仿宋" w:hAnsi="仿宋" w:eastAsia="仿宋" w:cs="仿宋"/>
          <w:spacing w:val="-3"/>
          <w:sz w:val="32"/>
          <w:szCs w:val="32"/>
          <w:highlight w:val="none"/>
          <w:lang w:val="en-US" w:eastAsia="zh-CN"/>
        </w:rPr>
        <w:t>2</w:t>
      </w:r>
      <w:r>
        <w:rPr>
          <w:rFonts w:hint="eastAsia" w:ascii="仿宋" w:hAnsi="仿宋" w:eastAsia="仿宋" w:cs="仿宋"/>
          <w:spacing w:val="-3"/>
          <w:sz w:val="32"/>
          <w:szCs w:val="32"/>
          <w:highlight w:val="none"/>
        </w:rPr>
        <w:t>)</w:t>
      </w:r>
      <w:r>
        <w:rPr>
          <w:rFonts w:hint="eastAsia" w:ascii="仿宋" w:hAnsi="仿宋" w:eastAsia="仿宋" w:cs="仿宋"/>
          <w:b/>
          <w:bCs/>
          <w:spacing w:val="-3"/>
          <w:sz w:val="32"/>
          <w:szCs w:val="32"/>
          <w:highlight w:val="none"/>
        </w:rPr>
        <w:t>项目地点</w:t>
      </w:r>
      <w:r>
        <w:rPr>
          <w:rFonts w:hint="eastAsia" w:ascii="仿宋" w:hAnsi="仿宋" w:eastAsia="仿宋" w:cs="仿宋"/>
          <w:spacing w:val="-3"/>
          <w:sz w:val="32"/>
          <w:szCs w:val="32"/>
          <w:highlight w:val="none"/>
        </w:rPr>
        <w:t>：珠海市香洲区</w:t>
      </w:r>
      <w:r>
        <w:rPr>
          <w:rFonts w:hint="eastAsia" w:ascii="仿宋" w:hAnsi="仿宋" w:eastAsia="仿宋" w:cs="仿宋"/>
          <w:spacing w:val="-3"/>
          <w:sz w:val="32"/>
          <w:szCs w:val="32"/>
          <w:highlight w:val="none"/>
          <w:lang w:val="en-US" w:eastAsia="zh-CN"/>
        </w:rPr>
        <w:t>南屏</w:t>
      </w:r>
      <w:r>
        <w:rPr>
          <w:rFonts w:hint="eastAsia" w:ascii="仿宋" w:hAnsi="仿宋" w:eastAsia="仿宋" w:cs="仿宋"/>
          <w:spacing w:val="-3"/>
          <w:sz w:val="32"/>
          <w:szCs w:val="32"/>
          <w:highlight w:val="none"/>
        </w:rPr>
        <w:t>镇卫康路199号香洲创港中心、</w:t>
      </w:r>
      <w:r>
        <w:rPr>
          <w:rFonts w:hint="eastAsia" w:ascii="仿宋" w:hAnsi="仿宋" w:eastAsia="仿宋" w:cs="仿宋"/>
          <w:spacing w:val="-3"/>
          <w:sz w:val="32"/>
          <w:szCs w:val="32"/>
          <w:highlight w:val="none"/>
          <w:lang w:val="en-US" w:eastAsia="zh-CN"/>
        </w:rPr>
        <w:t>吉大汇景仓库</w:t>
      </w:r>
      <w:r>
        <w:rPr>
          <w:rFonts w:hint="eastAsia" w:ascii="仿宋" w:hAnsi="仿宋" w:eastAsia="仿宋" w:cs="仿宋"/>
          <w:spacing w:val="-3"/>
          <w:sz w:val="32"/>
          <w:szCs w:val="32"/>
          <w:highlight w:val="none"/>
        </w:rPr>
        <w:t>、</w:t>
      </w:r>
      <w:r>
        <w:rPr>
          <w:rFonts w:hint="eastAsia" w:ascii="仿宋" w:hAnsi="仿宋" w:eastAsia="仿宋" w:cs="仿宋"/>
          <w:spacing w:val="-3"/>
          <w:sz w:val="32"/>
          <w:szCs w:val="32"/>
          <w:highlight w:val="none"/>
          <w:lang w:val="en-US" w:eastAsia="zh-CN"/>
        </w:rPr>
        <w:t>情侣路沿线项目仓库、香山湖公园等地（约60处）</w:t>
      </w:r>
      <w:r>
        <w:rPr>
          <w:rFonts w:hint="eastAsia" w:ascii="仿宋" w:hAnsi="仿宋" w:eastAsia="仿宋" w:cs="仿宋"/>
          <w:spacing w:val="-3"/>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6" w:lineRule="exact"/>
        <w:ind w:left="0" w:leftChars="0" w:firstLine="631" w:firstLineChars="200"/>
        <w:textAlignment w:val="auto"/>
        <w:outlineLvl w:val="0"/>
        <w:rPr>
          <w:rFonts w:hint="eastAsia" w:ascii="黑体" w:hAnsi="黑体" w:eastAsia="黑体" w:cs="黑体"/>
          <w:b/>
          <w:bCs/>
          <w:spacing w:val="-3"/>
          <w:sz w:val="32"/>
          <w:szCs w:val="32"/>
        </w:rPr>
      </w:pPr>
      <w:r>
        <w:rPr>
          <w:rFonts w:hint="eastAsia" w:ascii="黑体" w:hAnsi="黑体" w:eastAsia="黑体" w:cs="黑体"/>
          <w:b/>
          <w:bCs/>
          <w:spacing w:val="-3"/>
          <w:sz w:val="32"/>
          <w:szCs w:val="32"/>
        </w:rPr>
        <w:t>二、评估目的</w:t>
      </w:r>
    </w:p>
    <w:p>
      <w:pPr>
        <w:keepNext w:val="0"/>
        <w:keepLines w:val="0"/>
        <w:pageBreakBefore w:val="0"/>
        <w:widowControl w:val="0"/>
        <w:kinsoku/>
        <w:wordWrap/>
        <w:overflowPunct/>
        <w:topLinePunct w:val="0"/>
        <w:autoSpaceDE/>
        <w:autoSpaceDN/>
        <w:bidi w:val="0"/>
        <w:adjustRightInd/>
        <w:snapToGrid/>
        <w:spacing w:line="566" w:lineRule="exact"/>
        <w:ind w:left="0" w:leftChars="0" w:right="904" w:firstLine="628" w:firstLineChars="200"/>
        <w:textAlignment w:val="auto"/>
        <w:rPr>
          <w:rFonts w:hint="eastAsia" w:ascii="仿宋" w:hAnsi="仿宋" w:eastAsia="仿宋" w:cs="仿宋"/>
          <w:spacing w:val="-3"/>
          <w:sz w:val="32"/>
          <w:szCs w:val="32"/>
        </w:rPr>
      </w:pPr>
      <w:r>
        <w:rPr>
          <w:rFonts w:hint="eastAsia" w:ascii="仿宋" w:hAnsi="仿宋" w:eastAsia="仿宋" w:cs="仿宋"/>
          <w:spacing w:val="-3"/>
          <w:sz w:val="32"/>
          <w:szCs w:val="32"/>
        </w:rPr>
        <w:t>为盘活公司</w:t>
      </w:r>
      <w:r>
        <w:rPr>
          <w:rFonts w:hint="eastAsia" w:ascii="仿宋" w:hAnsi="仿宋" w:eastAsia="仿宋" w:cs="仿宋"/>
          <w:spacing w:val="-3"/>
          <w:sz w:val="32"/>
          <w:szCs w:val="32"/>
          <w:highlight w:val="none"/>
        </w:rPr>
        <w:t>存量固定资产，促进闲置资产合理流动与有效配置，并为资产</w:t>
      </w:r>
      <w:r>
        <w:rPr>
          <w:rFonts w:hint="eastAsia" w:ascii="仿宋" w:hAnsi="仿宋" w:eastAsia="仿宋" w:cs="仿宋"/>
          <w:spacing w:val="-3"/>
          <w:sz w:val="32"/>
          <w:szCs w:val="32"/>
          <w:highlight w:val="none"/>
          <w:lang w:val="en-US" w:eastAsia="zh-CN"/>
        </w:rPr>
        <w:t>闲置转让及</w:t>
      </w:r>
      <w:r>
        <w:rPr>
          <w:rFonts w:hint="eastAsia" w:ascii="仿宋" w:hAnsi="仿宋" w:eastAsia="仿宋" w:cs="仿宋"/>
          <w:spacing w:val="-3"/>
          <w:sz w:val="32"/>
          <w:szCs w:val="32"/>
          <w:highlight w:val="none"/>
        </w:rPr>
        <w:t>报废回收提供规范依据，特委托开展本次市场价值评估。评估工作针对两类不同状态的资产分别确定价值基础：对闲置可用类资产，评估其二手市场公允价值，用以指导转让定价；对报废待回收类资产，评估其残余价值（含废旧材料价值</w:t>
      </w:r>
      <w:r>
        <w:rPr>
          <w:rFonts w:hint="eastAsia" w:ascii="仿宋" w:hAnsi="仿宋" w:eastAsia="仿宋" w:cs="仿宋"/>
          <w:spacing w:val="-3"/>
          <w:sz w:val="32"/>
          <w:szCs w:val="32"/>
          <w:highlight w:val="none"/>
          <w:lang w:eastAsia="zh-CN"/>
        </w:rPr>
        <w:t>，</w:t>
      </w:r>
      <w:r>
        <w:rPr>
          <w:rFonts w:hint="eastAsia" w:ascii="仿宋" w:hAnsi="仿宋" w:eastAsia="仿宋" w:cs="仿宋"/>
          <w:spacing w:val="-3"/>
          <w:sz w:val="32"/>
          <w:szCs w:val="32"/>
          <w:highlight w:val="none"/>
          <w:lang w:val="en-US" w:eastAsia="zh-CN"/>
        </w:rPr>
        <w:t>报废电脑不含硬盘，需拆除</w:t>
      </w:r>
      <w:r>
        <w:rPr>
          <w:rFonts w:hint="eastAsia" w:ascii="仿宋" w:hAnsi="仿宋" w:eastAsia="仿宋" w:cs="仿宋"/>
          <w:spacing w:val="-3"/>
          <w:sz w:val="32"/>
          <w:szCs w:val="32"/>
          <w:highlight w:val="none"/>
        </w:rPr>
        <w:t>），作为报废回收环节的底</w:t>
      </w:r>
      <w:r>
        <w:rPr>
          <w:rFonts w:hint="eastAsia" w:ascii="仿宋" w:hAnsi="仿宋" w:eastAsia="仿宋" w:cs="仿宋"/>
          <w:spacing w:val="-3"/>
          <w:sz w:val="32"/>
          <w:szCs w:val="32"/>
        </w:rPr>
        <w:t>价参考。评估成果旨在为后续拟进行的公开招标处置提供客观、公允的市场价格参考，确保处置过程公开透明、价值回收最大化。</w:t>
      </w:r>
    </w:p>
    <w:p>
      <w:pPr>
        <w:keepNext w:val="0"/>
        <w:keepLines w:val="0"/>
        <w:pageBreakBefore w:val="0"/>
        <w:widowControl w:val="0"/>
        <w:kinsoku/>
        <w:wordWrap/>
        <w:overflowPunct/>
        <w:topLinePunct w:val="0"/>
        <w:autoSpaceDE/>
        <w:autoSpaceDN/>
        <w:bidi w:val="0"/>
        <w:adjustRightInd/>
        <w:snapToGrid/>
        <w:spacing w:line="566" w:lineRule="exact"/>
        <w:ind w:left="0" w:leftChars="0" w:firstLine="631" w:firstLineChars="200"/>
        <w:textAlignment w:val="auto"/>
        <w:outlineLvl w:val="0"/>
        <w:rPr>
          <w:rFonts w:hint="eastAsia" w:ascii="黑体" w:hAnsi="黑体" w:eastAsia="黑体" w:cs="黑体"/>
          <w:b/>
          <w:bCs/>
          <w:spacing w:val="-3"/>
          <w:sz w:val="32"/>
          <w:szCs w:val="32"/>
        </w:rPr>
      </w:pPr>
      <w:r>
        <w:rPr>
          <w:rFonts w:hint="eastAsia" w:ascii="黑体" w:hAnsi="黑体" w:eastAsia="黑体" w:cs="黑体"/>
          <w:b/>
          <w:bCs/>
          <w:spacing w:val="-3"/>
          <w:sz w:val="32"/>
          <w:szCs w:val="32"/>
        </w:rPr>
        <w:t>三、招标内容</w:t>
      </w:r>
    </w:p>
    <w:p>
      <w:pPr>
        <w:keepNext w:val="0"/>
        <w:keepLines w:val="0"/>
        <w:pageBreakBefore w:val="0"/>
        <w:widowControl w:val="0"/>
        <w:kinsoku/>
        <w:wordWrap/>
        <w:overflowPunct/>
        <w:topLinePunct w:val="0"/>
        <w:autoSpaceDE/>
        <w:autoSpaceDN/>
        <w:bidi w:val="0"/>
        <w:adjustRightInd/>
        <w:snapToGrid/>
        <w:spacing w:line="566" w:lineRule="exact"/>
        <w:ind w:left="0" w:leftChars="0" w:firstLine="631" w:firstLineChars="200"/>
        <w:textAlignment w:val="auto"/>
        <w:rPr>
          <w:rFonts w:hint="eastAsia" w:ascii="仿宋" w:hAnsi="仿宋" w:eastAsia="仿宋" w:cs="仿宋"/>
          <w:sz w:val="32"/>
          <w:szCs w:val="32"/>
        </w:rPr>
      </w:pPr>
      <w:r>
        <w:rPr>
          <w:rFonts w:hint="eastAsia" w:ascii="仿宋" w:hAnsi="仿宋" w:eastAsia="仿宋" w:cs="仿宋"/>
          <w:b/>
          <w:bCs/>
          <w:spacing w:val="-3"/>
          <w:sz w:val="32"/>
          <w:szCs w:val="32"/>
        </w:rPr>
        <w:t>1、招标内容</w:t>
      </w:r>
    </w:p>
    <w:p>
      <w:pPr>
        <w:keepNext w:val="0"/>
        <w:keepLines w:val="0"/>
        <w:pageBreakBefore w:val="0"/>
        <w:widowControl w:val="0"/>
        <w:kinsoku/>
        <w:wordWrap/>
        <w:overflowPunct/>
        <w:topLinePunct w:val="0"/>
        <w:autoSpaceDE/>
        <w:autoSpaceDN/>
        <w:bidi w:val="0"/>
        <w:adjustRightInd/>
        <w:snapToGrid/>
        <w:spacing w:line="566" w:lineRule="exact"/>
        <w:ind w:right="904" w:firstLine="628" w:firstLineChars="200"/>
        <w:textAlignment w:val="auto"/>
        <w:rPr>
          <w:rFonts w:hint="eastAsia" w:ascii="仿宋" w:hAnsi="仿宋" w:eastAsia="仿宋" w:cs="仿宋"/>
          <w:spacing w:val="-3"/>
          <w:sz w:val="32"/>
          <w:szCs w:val="32"/>
        </w:rPr>
      </w:pPr>
      <w:r>
        <w:rPr>
          <w:rFonts w:hint="eastAsia" w:ascii="仿宋" w:hAnsi="仿宋" w:eastAsia="仿宋" w:cs="仿宋"/>
          <w:spacing w:val="-3"/>
          <w:sz w:val="32"/>
          <w:szCs w:val="32"/>
          <w:highlight w:val="none"/>
        </w:rPr>
        <w:t>(1)</w:t>
      </w:r>
      <w:r>
        <w:rPr>
          <w:rFonts w:hint="eastAsia" w:ascii="仿宋" w:hAnsi="仿宋" w:eastAsia="仿宋" w:cs="仿宋"/>
          <w:spacing w:val="-3"/>
          <w:sz w:val="32"/>
          <w:szCs w:val="32"/>
          <w:highlight w:val="none"/>
          <w:lang w:val="en-US" w:eastAsia="zh-CN"/>
        </w:rPr>
        <w:t>按时</w:t>
      </w:r>
      <w:r>
        <w:rPr>
          <w:rFonts w:hint="eastAsia" w:ascii="仿宋" w:hAnsi="仿宋" w:eastAsia="仿宋" w:cs="仿宋"/>
          <w:spacing w:val="-3"/>
          <w:sz w:val="32"/>
          <w:szCs w:val="32"/>
          <w:highlight w:val="none"/>
        </w:rPr>
        <w:t>完成甲方指定资产市场价格评估，</w:t>
      </w:r>
      <w:r>
        <w:rPr>
          <w:rFonts w:hint="eastAsia" w:ascii="仿宋" w:hAnsi="仿宋" w:eastAsia="仿宋" w:cs="仿宋"/>
          <w:spacing w:val="-3"/>
          <w:sz w:val="32"/>
          <w:szCs w:val="32"/>
          <w:highlight w:val="none"/>
          <w:lang w:val="en-US" w:eastAsia="zh-CN"/>
        </w:rPr>
        <w:t>根据甲方要求</w:t>
      </w:r>
      <w:r>
        <w:rPr>
          <w:rFonts w:hint="eastAsia" w:ascii="仿宋" w:hAnsi="仿宋" w:eastAsia="仿宋" w:cs="仿宋"/>
          <w:spacing w:val="-3"/>
          <w:sz w:val="32"/>
          <w:szCs w:val="32"/>
          <w:highlight w:val="none"/>
        </w:rPr>
        <w:t>出具评估报告书</w:t>
      </w:r>
      <w:r>
        <w:rPr>
          <w:rFonts w:hint="eastAsia" w:ascii="仿宋" w:hAnsi="仿宋" w:eastAsia="仿宋" w:cs="仿宋"/>
          <w:spacing w:val="-3"/>
          <w:sz w:val="32"/>
          <w:szCs w:val="32"/>
          <w:highlight w:val="none"/>
          <w:lang w:eastAsia="zh-CN"/>
        </w:rPr>
        <w:t>，</w:t>
      </w:r>
      <w:r>
        <w:rPr>
          <w:rFonts w:hint="eastAsia" w:ascii="仿宋" w:hAnsi="仿宋" w:eastAsia="仿宋" w:cs="仿宋"/>
          <w:spacing w:val="-3"/>
          <w:sz w:val="32"/>
          <w:szCs w:val="32"/>
          <w:highlight w:val="none"/>
          <w:lang w:val="en-US" w:eastAsia="zh-CN"/>
        </w:rPr>
        <w:t>评估报告书需清楚体现资产所属单位、评估价值含税价及不含税价等事项，</w:t>
      </w:r>
      <w:r>
        <w:rPr>
          <w:rFonts w:hint="eastAsia" w:ascii="仿宋" w:hAnsi="仿宋" w:eastAsia="仿宋" w:cs="仿宋"/>
          <w:spacing w:val="-3"/>
          <w:sz w:val="32"/>
          <w:szCs w:val="32"/>
          <w:highlight w:val="none"/>
        </w:rPr>
        <w:t>评估报</w:t>
      </w:r>
      <w:r>
        <w:rPr>
          <w:rFonts w:hint="eastAsia" w:ascii="仿宋" w:hAnsi="仿宋" w:eastAsia="仿宋" w:cs="仿宋"/>
          <w:spacing w:val="-3"/>
          <w:sz w:val="32"/>
          <w:szCs w:val="32"/>
        </w:rPr>
        <w:t>告书</w:t>
      </w:r>
      <w:r>
        <w:rPr>
          <w:rFonts w:hint="eastAsia" w:ascii="仿宋" w:hAnsi="仿宋" w:eastAsia="仿宋" w:cs="仿宋"/>
          <w:spacing w:val="-3"/>
          <w:sz w:val="32"/>
          <w:szCs w:val="32"/>
          <w:lang w:val="en-US" w:eastAsia="zh-CN"/>
        </w:rPr>
        <w:t>一式三份</w:t>
      </w:r>
      <w:r>
        <w:rPr>
          <w:rFonts w:hint="eastAsia" w:ascii="仿宋" w:hAnsi="仿宋" w:eastAsia="仿宋" w:cs="仿宋"/>
          <w:spacing w:val="-3"/>
          <w:sz w:val="32"/>
          <w:szCs w:val="32"/>
        </w:rPr>
        <w:t>。</w:t>
      </w:r>
    </w:p>
    <w:p>
      <w:pPr>
        <w:keepNext w:val="0"/>
        <w:keepLines w:val="0"/>
        <w:pageBreakBefore w:val="0"/>
        <w:widowControl w:val="0"/>
        <w:kinsoku/>
        <w:wordWrap/>
        <w:overflowPunct/>
        <w:topLinePunct w:val="0"/>
        <w:autoSpaceDE/>
        <w:autoSpaceDN/>
        <w:bidi w:val="0"/>
        <w:adjustRightInd/>
        <w:snapToGrid/>
        <w:spacing w:line="566" w:lineRule="exact"/>
        <w:ind w:right="904" w:firstLine="628" w:firstLineChars="200"/>
        <w:textAlignment w:val="auto"/>
        <w:rPr>
          <w:rFonts w:hint="eastAsia" w:ascii="仿宋" w:hAnsi="仿宋" w:eastAsia="仿宋" w:cs="仿宋"/>
          <w:spacing w:val="-3"/>
          <w:sz w:val="32"/>
          <w:szCs w:val="32"/>
        </w:rPr>
      </w:pPr>
      <w:r>
        <w:rPr>
          <w:rFonts w:hint="eastAsia" w:ascii="仿宋" w:hAnsi="仿宋" w:eastAsia="仿宋" w:cs="仿宋"/>
          <w:spacing w:val="-3"/>
          <w:sz w:val="32"/>
          <w:szCs w:val="32"/>
        </w:rPr>
        <w:t>(2)</w:t>
      </w:r>
      <w:r>
        <w:rPr>
          <w:rFonts w:hint="eastAsia" w:ascii="仿宋" w:hAnsi="仿宋" w:eastAsia="仿宋" w:cs="仿宋"/>
          <w:color w:val="000000"/>
          <w:spacing w:val="-3"/>
          <w:sz w:val="32"/>
          <w:szCs w:val="32"/>
        </w:rPr>
        <w:t>编制项目的评估报告书：评估</w:t>
      </w:r>
      <w:r>
        <w:rPr>
          <w:rFonts w:hint="eastAsia" w:ascii="仿宋" w:hAnsi="仿宋" w:eastAsia="仿宋" w:cs="仿宋"/>
          <w:spacing w:val="-3"/>
          <w:sz w:val="32"/>
          <w:szCs w:val="32"/>
        </w:rPr>
        <w:t>单位必须严格遵守</w:t>
      </w:r>
      <w:r>
        <w:rPr>
          <w:rFonts w:hint="eastAsia" w:ascii="仿宋" w:hAnsi="仿宋" w:eastAsia="仿宋" w:cs="仿宋"/>
          <w:spacing w:val="-3"/>
          <w:sz w:val="32"/>
          <w:szCs w:val="32"/>
          <w:lang w:val="en-US" w:eastAsia="zh-CN"/>
        </w:rPr>
        <w:t>《国有资产评估管理办法》（2020年国务院令第732号）</w:t>
      </w:r>
      <w:r>
        <w:rPr>
          <w:rFonts w:hint="eastAsia" w:ascii="仿宋" w:hAnsi="仿宋" w:eastAsia="仿宋" w:cs="仿宋"/>
          <w:spacing w:val="-3"/>
          <w:sz w:val="32"/>
          <w:szCs w:val="32"/>
        </w:rPr>
        <w:t>、</w:t>
      </w:r>
      <w:r>
        <w:rPr>
          <w:rFonts w:hint="eastAsia" w:ascii="仿宋" w:hAnsi="仿宋" w:eastAsia="仿宋" w:cs="仿宋"/>
          <w:spacing w:val="-3"/>
          <w:sz w:val="32"/>
          <w:szCs w:val="32"/>
          <w:lang w:val="en-US" w:eastAsia="zh-CN"/>
        </w:rPr>
        <w:t>《企业国有资产监督管理暂行条例》（国务院2019年3月2日第709号令）</w:t>
      </w:r>
      <w:r>
        <w:rPr>
          <w:rFonts w:hint="eastAsia" w:ascii="仿宋" w:hAnsi="仿宋" w:eastAsia="仿宋" w:cs="仿宋"/>
          <w:spacing w:val="-3"/>
          <w:sz w:val="32"/>
          <w:szCs w:val="32"/>
        </w:rPr>
        <w:t>、</w:t>
      </w:r>
      <w:r>
        <w:rPr>
          <w:rFonts w:hint="eastAsia" w:ascii="仿宋" w:hAnsi="仿宋" w:eastAsia="仿宋" w:cs="仿宋"/>
          <w:spacing w:val="-3"/>
          <w:sz w:val="32"/>
          <w:szCs w:val="32"/>
          <w:lang w:val="en-US" w:eastAsia="zh-CN"/>
        </w:rPr>
        <w:t>《珠海市市属国有企业资产评估管理办法》的通知（珠国资〔2025〕11 号）</w:t>
      </w:r>
      <w:r>
        <w:rPr>
          <w:rFonts w:hint="eastAsia" w:ascii="仿宋" w:hAnsi="仿宋" w:eastAsia="仿宋" w:cs="仿宋"/>
          <w:spacing w:val="-3"/>
          <w:sz w:val="32"/>
          <w:szCs w:val="32"/>
        </w:rPr>
        <w:t>等有关 法律、法规等规定，按要求选派具备执业资格的人员开展评估业务，保证资料、 工作稿件的正确完整和规范，出具的审核报告、结论及意见须客观公正，符合法律法规及相关文件的要求，对出具的审核报告承担法律责任，并接受甲方的监督管理。所有成果文件符合国家及广东省资产评估标准并组织和确保通关相关主管部门的评审，且评估成果符合国有资产主管部门要求。</w:t>
      </w:r>
    </w:p>
    <w:p>
      <w:pPr>
        <w:keepNext w:val="0"/>
        <w:keepLines w:val="0"/>
        <w:pageBreakBefore w:val="0"/>
        <w:widowControl w:val="0"/>
        <w:kinsoku/>
        <w:wordWrap/>
        <w:overflowPunct/>
        <w:topLinePunct w:val="0"/>
        <w:autoSpaceDE/>
        <w:autoSpaceDN/>
        <w:bidi w:val="0"/>
        <w:adjustRightInd/>
        <w:snapToGrid/>
        <w:spacing w:line="566" w:lineRule="exact"/>
        <w:ind w:right="904" w:firstLine="624" w:firstLineChars="200"/>
        <w:textAlignment w:val="auto"/>
        <w:rPr>
          <w:rFonts w:hint="eastAsia" w:ascii="仿宋" w:hAnsi="仿宋" w:eastAsia="仿宋" w:cs="仿宋"/>
          <w:spacing w:val="-4"/>
          <w:sz w:val="32"/>
          <w:szCs w:val="32"/>
          <w:lang w:val="en-US" w:eastAsia="zh-CN"/>
        </w:rPr>
      </w:pPr>
      <w:r>
        <w:rPr>
          <w:rFonts w:hint="eastAsia" w:ascii="仿宋" w:hAnsi="仿宋" w:eastAsia="仿宋" w:cs="仿宋"/>
          <w:spacing w:val="-4"/>
          <w:sz w:val="32"/>
          <w:szCs w:val="32"/>
          <w:lang w:val="en-US" w:eastAsia="zh-CN"/>
        </w:rPr>
        <w:t>(3)提供评估相关的其它咨询服务，配合完成我司评估评审相关工作。</w:t>
      </w:r>
    </w:p>
    <w:p>
      <w:pPr>
        <w:keepNext w:val="0"/>
        <w:keepLines w:val="0"/>
        <w:pageBreakBefore w:val="0"/>
        <w:widowControl w:val="0"/>
        <w:kinsoku/>
        <w:wordWrap/>
        <w:overflowPunct/>
        <w:topLinePunct w:val="0"/>
        <w:autoSpaceDE/>
        <w:autoSpaceDN/>
        <w:bidi w:val="0"/>
        <w:adjustRightInd/>
        <w:snapToGrid/>
        <w:spacing w:line="566" w:lineRule="exact"/>
        <w:ind w:firstLine="603" w:firstLineChars="200"/>
        <w:textAlignment w:val="auto"/>
        <w:outlineLvl w:val="0"/>
        <w:rPr>
          <w:rFonts w:hint="eastAsia" w:ascii="仿宋" w:hAnsi="仿宋" w:eastAsia="仿宋" w:cs="仿宋"/>
          <w:sz w:val="32"/>
          <w:szCs w:val="32"/>
        </w:rPr>
      </w:pPr>
      <w:r>
        <w:rPr>
          <w:rFonts w:hint="eastAsia" w:ascii="仿宋" w:hAnsi="仿宋" w:eastAsia="仿宋" w:cs="仿宋"/>
          <w:b/>
          <w:bCs/>
          <w:spacing w:val="-10"/>
          <w:sz w:val="32"/>
          <w:szCs w:val="32"/>
        </w:rPr>
        <w:t>2、</w:t>
      </w:r>
      <w:r>
        <w:rPr>
          <w:rFonts w:hint="eastAsia" w:ascii="仿宋" w:hAnsi="仿宋" w:eastAsia="仿宋" w:cs="仿宋"/>
          <w:spacing w:val="-50"/>
          <w:sz w:val="32"/>
          <w:szCs w:val="32"/>
        </w:rPr>
        <w:t xml:space="preserve"> </w:t>
      </w:r>
      <w:r>
        <w:rPr>
          <w:rFonts w:hint="eastAsia" w:ascii="仿宋" w:hAnsi="仿宋" w:eastAsia="仿宋" w:cs="仿宋"/>
          <w:b/>
          <w:bCs/>
          <w:spacing w:val="-10"/>
          <w:sz w:val="32"/>
          <w:szCs w:val="32"/>
        </w:rPr>
        <w:t>价格评估要求</w:t>
      </w:r>
    </w:p>
    <w:p>
      <w:pPr>
        <w:keepNext w:val="0"/>
        <w:keepLines w:val="0"/>
        <w:pageBreakBefore w:val="0"/>
        <w:widowControl w:val="0"/>
        <w:kinsoku/>
        <w:wordWrap/>
        <w:overflowPunct/>
        <w:topLinePunct w:val="0"/>
        <w:autoSpaceDE/>
        <w:autoSpaceDN/>
        <w:bidi w:val="0"/>
        <w:adjustRightInd/>
        <w:snapToGrid/>
        <w:spacing w:line="566" w:lineRule="exact"/>
        <w:ind w:right="904" w:firstLine="624" w:firstLineChars="200"/>
        <w:textAlignment w:val="auto"/>
        <w:rPr>
          <w:rFonts w:hint="eastAsia" w:ascii="仿宋" w:hAnsi="仿宋" w:eastAsia="仿宋" w:cs="仿宋"/>
          <w:spacing w:val="-4"/>
          <w:sz w:val="32"/>
          <w:szCs w:val="32"/>
          <w:lang w:eastAsia="zh-CN"/>
        </w:rPr>
      </w:pPr>
      <w:r>
        <w:rPr>
          <w:rFonts w:hint="eastAsia" w:ascii="仿宋" w:hAnsi="仿宋" w:eastAsia="仿宋" w:cs="仿宋"/>
          <w:spacing w:val="-4"/>
          <w:sz w:val="32"/>
          <w:szCs w:val="32"/>
          <w:lang w:val="en-US" w:eastAsia="zh-CN"/>
        </w:rPr>
        <w:t>(1)</w:t>
      </w:r>
      <w:r>
        <w:rPr>
          <w:rFonts w:hint="eastAsia" w:ascii="仿宋" w:hAnsi="仿宋" w:eastAsia="仿宋" w:cs="仿宋"/>
          <w:spacing w:val="-4"/>
          <w:sz w:val="32"/>
          <w:szCs w:val="32"/>
        </w:rPr>
        <w:t>在对估价对象进行评估时，要考虑到估价对象使用功能、外部状况、内部状况、周围环境的情况</w:t>
      </w:r>
      <w:r>
        <w:rPr>
          <w:rFonts w:hint="eastAsia" w:ascii="仿宋" w:hAnsi="仿宋" w:eastAsia="仿宋" w:cs="仿宋"/>
          <w:spacing w:val="-4"/>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6" w:lineRule="exact"/>
        <w:ind w:right="904" w:firstLine="624" w:firstLineChars="200"/>
        <w:textAlignment w:val="auto"/>
        <w:rPr>
          <w:rFonts w:hint="eastAsia" w:ascii="仿宋" w:hAnsi="仿宋" w:eastAsia="仿宋" w:cs="仿宋"/>
          <w:spacing w:val="-4"/>
          <w:sz w:val="32"/>
          <w:szCs w:val="32"/>
          <w:lang w:eastAsia="zh-CN"/>
        </w:rPr>
      </w:pPr>
      <w:r>
        <w:rPr>
          <w:rFonts w:hint="eastAsia" w:ascii="仿宋" w:hAnsi="仿宋" w:eastAsia="仿宋" w:cs="仿宋"/>
          <w:spacing w:val="-4"/>
          <w:sz w:val="32"/>
          <w:szCs w:val="32"/>
          <w:lang w:val="en-US" w:eastAsia="zh-CN"/>
        </w:rPr>
        <w:t>(2)</w:t>
      </w:r>
      <w:r>
        <w:rPr>
          <w:rFonts w:hint="eastAsia" w:ascii="仿宋" w:hAnsi="仿宋" w:eastAsia="仿宋" w:cs="仿宋"/>
          <w:spacing w:val="-4"/>
          <w:sz w:val="32"/>
          <w:szCs w:val="32"/>
        </w:rPr>
        <w:t>根据《资产评估法》相关规定，除依据评估执业准则只能选择一种</w:t>
      </w:r>
      <w:r>
        <w:rPr>
          <w:rFonts w:hint="eastAsia" w:ascii="仿宋" w:hAnsi="仿宋" w:eastAsia="仿宋" w:cs="仿宋"/>
          <w:spacing w:val="-4"/>
          <w:sz w:val="32"/>
          <w:szCs w:val="32"/>
          <w:lang w:val="en-US" w:eastAsia="zh-CN"/>
        </w:rPr>
        <w:t>评估方法的外，应当选择两种以上评估方法对估价对象进行评估。</w:t>
      </w:r>
    </w:p>
    <w:p>
      <w:pPr>
        <w:keepNext w:val="0"/>
        <w:keepLines w:val="0"/>
        <w:pageBreakBefore w:val="0"/>
        <w:widowControl w:val="0"/>
        <w:kinsoku/>
        <w:wordWrap/>
        <w:overflowPunct/>
        <w:topLinePunct w:val="0"/>
        <w:autoSpaceDE/>
        <w:autoSpaceDN/>
        <w:bidi w:val="0"/>
        <w:adjustRightInd/>
        <w:snapToGrid/>
        <w:spacing w:line="566" w:lineRule="exact"/>
        <w:ind w:right="904" w:firstLine="624" w:firstLineChars="200"/>
        <w:textAlignment w:val="auto"/>
        <w:rPr>
          <w:rFonts w:hint="eastAsia" w:ascii="仿宋" w:hAnsi="仿宋" w:eastAsia="仿宋" w:cs="仿宋"/>
          <w:spacing w:val="-4"/>
          <w:sz w:val="32"/>
          <w:szCs w:val="32"/>
        </w:rPr>
      </w:pPr>
      <w:r>
        <w:rPr>
          <w:rFonts w:hint="eastAsia" w:ascii="仿宋" w:hAnsi="仿宋" w:eastAsia="仿宋" w:cs="仿宋"/>
          <w:spacing w:val="-4"/>
          <w:sz w:val="32"/>
          <w:szCs w:val="32"/>
          <w:lang w:val="en-US" w:eastAsia="zh-CN"/>
        </w:rPr>
        <w:t>(3)</w:t>
      </w:r>
      <w:r>
        <w:rPr>
          <w:rFonts w:hint="eastAsia" w:ascii="仿宋" w:hAnsi="仿宋" w:eastAsia="仿宋" w:cs="仿宋"/>
          <w:spacing w:val="-4"/>
          <w:sz w:val="32"/>
          <w:szCs w:val="32"/>
        </w:rPr>
        <w:t>执行标准：执行国家、广东省、珠海市现行法律法规及相关规定要求。</w:t>
      </w:r>
    </w:p>
    <w:p>
      <w:pPr>
        <w:keepNext w:val="0"/>
        <w:keepLines w:val="0"/>
        <w:pageBreakBefore w:val="0"/>
        <w:widowControl w:val="0"/>
        <w:kinsoku/>
        <w:wordWrap/>
        <w:overflowPunct/>
        <w:topLinePunct w:val="0"/>
        <w:autoSpaceDE/>
        <w:autoSpaceDN/>
        <w:bidi w:val="0"/>
        <w:adjustRightInd/>
        <w:snapToGrid/>
        <w:spacing w:line="566" w:lineRule="exact"/>
        <w:ind w:right="904" w:firstLine="624" w:firstLineChars="200"/>
        <w:textAlignment w:val="auto"/>
        <w:rPr>
          <w:rFonts w:hint="eastAsia" w:ascii="仿宋" w:hAnsi="仿宋" w:eastAsia="仿宋" w:cs="仿宋"/>
          <w:spacing w:val="-4"/>
          <w:sz w:val="32"/>
          <w:szCs w:val="32"/>
          <w:lang w:val="en-US" w:eastAsia="zh-CN"/>
        </w:rPr>
      </w:pPr>
      <w:r>
        <w:rPr>
          <w:rFonts w:hint="eastAsia" w:ascii="仿宋" w:hAnsi="仿宋" w:eastAsia="仿宋" w:cs="仿宋"/>
          <w:spacing w:val="-4"/>
          <w:sz w:val="32"/>
          <w:szCs w:val="32"/>
          <w:lang w:val="en-US" w:eastAsia="zh-CN"/>
        </w:rPr>
        <w:t>(4)</w:t>
      </w:r>
      <w:r>
        <w:rPr>
          <w:rFonts w:hint="eastAsia" w:ascii="仿宋" w:hAnsi="仿宋" w:eastAsia="仿宋" w:cs="仿宋"/>
          <w:spacing w:val="-4"/>
          <w:sz w:val="32"/>
          <w:szCs w:val="32"/>
        </w:rPr>
        <w:t>其他事项：评估报告出具后，须发送一份成果扫描版给甲方指</w:t>
      </w:r>
      <w:r>
        <w:rPr>
          <w:rFonts w:hint="eastAsia" w:ascii="仿宋" w:hAnsi="仿宋" w:eastAsia="仿宋" w:cs="仿宋"/>
          <w:spacing w:val="-4"/>
          <w:sz w:val="32"/>
          <w:szCs w:val="32"/>
          <w:lang w:val="en-US" w:eastAsia="zh-CN"/>
        </w:rPr>
        <w:t xml:space="preserve">定经办人，并装订三份成果文件送甲方存档。 </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highlight w:val="none"/>
          <w:lang w:val="en-US" w:eastAsia="zh-CN" w:bidi="ar-SA"/>
        </w:rPr>
      </w:pPr>
      <w:r>
        <w:rPr>
          <w:rFonts w:hint="eastAsia" w:ascii="仿宋" w:hAnsi="仿宋" w:eastAsia="仿宋" w:cs="仿宋"/>
          <w:spacing w:val="-4"/>
          <w:sz w:val="32"/>
          <w:szCs w:val="32"/>
          <w:lang w:val="en-US" w:eastAsia="zh-CN"/>
        </w:rPr>
        <w:t>(5)</w:t>
      </w:r>
      <w:r>
        <w:rPr>
          <w:rFonts w:hint="eastAsia" w:ascii="仿宋" w:hAnsi="仿宋" w:eastAsia="仿宋" w:cs="仿宋"/>
          <w:b w:val="0"/>
          <w:spacing w:val="-4"/>
          <w:kern w:val="2"/>
          <w:sz w:val="32"/>
          <w:szCs w:val="32"/>
          <w:highlight w:val="none"/>
          <w:lang w:val="en-US" w:eastAsia="zh-CN" w:bidi="ar-SA"/>
        </w:rPr>
        <w:t>评估人需进行现场勘察，了解资产现象状态及现场实际情况后再行评估。</w:t>
      </w:r>
    </w:p>
    <w:p>
      <w:pPr>
        <w:keepNext w:val="0"/>
        <w:keepLines w:val="0"/>
        <w:pageBreakBefore w:val="0"/>
        <w:widowControl w:val="0"/>
        <w:kinsoku/>
        <w:wordWrap/>
        <w:overflowPunct/>
        <w:topLinePunct w:val="0"/>
        <w:autoSpaceDE/>
        <w:autoSpaceDN/>
        <w:bidi w:val="0"/>
        <w:adjustRightInd/>
        <w:snapToGrid/>
        <w:spacing w:line="566" w:lineRule="exact"/>
        <w:ind w:firstLine="627" w:firstLineChars="200"/>
        <w:textAlignment w:val="auto"/>
        <w:rPr>
          <w:rFonts w:hint="eastAsia" w:ascii="仿宋" w:hAnsi="仿宋" w:eastAsia="仿宋" w:cs="仿宋"/>
          <w:b/>
          <w:bCs/>
          <w:spacing w:val="-4"/>
          <w:kern w:val="2"/>
          <w:sz w:val="32"/>
          <w:szCs w:val="32"/>
          <w:highlight w:val="none"/>
          <w:lang w:val="en-US" w:eastAsia="zh-CN" w:bidi="ar-SA"/>
        </w:rPr>
      </w:pPr>
      <w:r>
        <w:rPr>
          <w:rFonts w:hint="eastAsia" w:ascii="仿宋" w:hAnsi="仿宋" w:eastAsia="仿宋" w:cs="仿宋"/>
          <w:b/>
          <w:bCs/>
          <w:spacing w:val="-4"/>
          <w:kern w:val="2"/>
          <w:sz w:val="32"/>
          <w:szCs w:val="32"/>
          <w:highlight w:val="none"/>
          <w:lang w:val="en-US" w:eastAsia="zh-CN" w:bidi="ar-SA"/>
        </w:rPr>
        <w:t>3、工作进度及成果要求</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highlight w:val="none"/>
          <w:lang w:val="en-US" w:eastAsia="zh-CN" w:bidi="ar-SA"/>
        </w:rPr>
      </w:pPr>
      <w:r>
        <w:rPr>
          <w:rFonts w:hint="eastAsia" w:ascii="仿宋" w:hAnsi="仿宋" w:eastAsia="仿宋" w:cs="仿宋"/>
          <w:b w:val="0"/>
          <w:spacing w:val="-4"/>
          <w:kern w:val="2"/>
          <w:sz w:val="32"/>
          <w:szCs w:val="32"/>
          <w:highlight w:val="none"/>
          <w:lang w:val="en-US" w:eastAsia="zh-CN" w:bidi="ar-SA"/>
        </w:rPr>
        <w:t>(1)中标后，接到正式评估委托函之日起30日内提交评估报告(初稿),满足动态管理要求。</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r>
        <w:rPr>
          <w:rFonts w:hint="eastAsia" w:ascii="仿宋" w:hAnsi="仿宋" w:eastAsia="仿宋" w:cs="仿宋"/>
          <w:b w:val="0"/>
          <w:spacing w:val="-4"/>
          <w:kern w:val="2"/>
          <w:sz w:val="32"/>
          <w:szCs w:val="32"/>
          <w:lang w:val="en-US" w:eastAsia="zh-CN" w:bidi="ar-SA"/>
        </w:rPr>
        <w:t>(2)如甲方对评估报告(初稿)有修改意见，需在甲方提出修改意见后的3日内作出修改；如甲方无相关修改意见，则在甲方确认通知后的1日内出具正式盖章的评估报告。</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r>
        <w:rPr>
          <w:rFonts w:hint="eastAsia" w:ascii="仿宋" w:hAnsi="仿宋" w:eastAsia="仿宋" w:cs="仿宋"/>
          <w:b w:val="0"/>
          <w:spacing w:val="-4"/>
          <w:kern w:val="2"/>
          <w:sz w:val="32"/>
          <w:szCs w:val="32"/>
          <w:lang w:val="en-US" w:eastAsia="zh-CN" w:bidi="ar-SA"/>
        </w:rPr>
        <w:t>(3)服务期限为中标通知书发出之日起至项目完成时止。评估成果需符合国有资产主管部门要求。</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r>
        <w:rPr>
          <w:rFonts w:hint="eastAsia" w:ascii="仿宋" w:hAnsi="仿宋" w:eastAsia="仿宋" w:cs="仿宋"/>
          <w:b w:val="0"/>
          <w:spacing w:val="-4"/>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66" w:lineRule="exact"/>
        <w:ind w:firstLine="624" w:firstLineChars="200"/>
        <w:jc w:val="both"/>
        <w:textAlignment w:val="auto"/>
        <w:rPr>
          <w:rFonts w:hint="eastAsia" w:ascii="仿宋" w:hAnsi="仿宋" w:eastAsia="仿宋" w:cs="仿宋"/>
          <w:b w:val="0"/>
          <w:spacing w:val="-4"/>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6" w:lineRule="exact"/>
        <w:jc w:val="both"/>
        <w:textAlignment w:val="auto"/>
        <w:rPr>
          <w:rFonts w:hint="eastAsia" w:ascii="仿宋" w:hAnsi="仿宋" w:eastAsia="仿宋" w:cs="仿宋"/>
          <w:b w:val="0"/>
          <w:spacing w:val="-4"/>
          <w:kern w:val="2"/>
          <w:sz w:val="32"/>
          <w:szCs w:val="32"/>
          <w:lang w:val="en-US" w:eastAsia="zh-CN" w:bidi="ar-SA"/>
        </w:rPr>
      </w:pPr>
      <w:r>
        <w:rPr>
          <w:rFonts w:hint="eastAsia" w:ascii="仿宋" w:hAnsi="仿宋" w:eastAsia="仿宋" w:cs="仿宋"/>
          <w:b w:val="0"/>
          <w:spacing w:val="-4"/>
          <w:kern w:val="2"/>
          <w:sz w:val="32"/>
          <w:szCs w:val="32"/>
          <w:lang w:val="en-US" w:eastAsia="zh-CN" w:bidi="ar-SA"/>
        </w:rPr>
        <w:t>附件：正方集团及下属公司固定资产处置清单</w:t>
      </w:r>
    </w:p>
    <w:sectPr>
      <w:footerReference r:id="rId8" w:type="default"/>
      <w:pgSz w:w="12240" w:h="15840"/>
      <w:pgMar w:top="1346" w:right="1836" w:bottom="1672" w:left="1836" w:header="0" w:footer="1513"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8Gj8MBAABxAwAADgAAAGRycy9lMm9Eb2MueG1srVPBjtMwEL0j8Q+W&#10;7zRpDqiK6q6A1aKVVoC08AGuYzeWbI9lu03KB8AfcOLCne/qdzB2mu6y3FZcnPHMeOa9mZf11WgN&#10;OcgQNThGl4uaEukEdNrtGP3y+ebVipKYuOu4AScZPcpIrzYvX6wH38oGejCdDASLuNgOntE+Jd9W&#10;VRS9tDwuwEuHQQXB8oTXsKu6wAesbk3V1PXraoDQ+QBCxoje6ylIN6W+UlKkj0pFmYhhFLGlcoZy&#10;bvNZbda83QXuey3OMPgzUFiuHTa9lLrmiZN90P+UsloEiKDSQoCtQCktZOGAbJb1Ezb3PfeycMHh&#10;RH8ZU/x/ZcWHw6dAdMdoQ4njFld0+vH99PP36dc30izzfAYfW0y795iYxrcw4p5nf0Rnpj2qYPMX&#10;CRGM46SPl+nKMRGRH62a1arGkMDYfMH61cNzH2J6L8GSbDAacH1lqvxwF9OUOqfkbg5utDFlhcb9&#10;5cCa2VNl7BPGbKVxO54JbaE7Ih9ULvbpIXylZEAVMOpQppSYW4dDzoKZjTAb29ngTuBDRhMlk/ku&#10;TcLa+6B3fZFaBhX9m31CpIVAhjH1PqPDvZYRnDWYhfP4XrIe/pT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5bwaPwwEAAHEDAAAOAAAAAAAAAAEAIAAAAB4BAABkcnMvZTJvRG9jLnhtbFBL&#10;BQYAAAAABgAGAFkBAABT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default" w:eastAsia="宋体"/>
        <w:lang w:val="en-US" w:eastAsia="zh-CN"/>
      </w:rPr>
    </w:pPr>
    <w:r>
      <w:rPr>
        <w:rFonts w:hint="eastAsia"/>
        <w:lang w:val="en-US" w:eastAsia="zh-CN"/>
      </w:rPr>
      <w:t>第1页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6" w:lineRule="auto"/>
      <w:ind w:left="4154"/>
      <w:rPr>
        <w:rFonts w:hint="eastAsia" w:ascii="宋体" w:hAnsi="宋体" w:eastAsia="宋体" w:cs="宋体"/>
        <w:sz w:val="11"/>
        <w:szCs w:val="11"/>
        <w:lang w:val="en-US" w:eastAsia="zh-CN"/>
      </w:rPr>
    </w:pPr>
    <w:r>
      <w:rPr>
        <w:sz w:val="1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xsHZsQBAABxAwAADgAAAGRycy9lMm9Eb2MueG1srVPBjtMwEL0j7T9Y&#10;vm+TDRKqorqrXVaLkBAgLXyA69iNJdtj2W6T8gHwB5y4cOe7+h2MnaYLuzfExRnPjGfem3lZXY/W&#10;kL0MUYNj9GpRUyKdgE67LaOfP91fLimJibuOG3CS0YOM9Hp98WI1+FY20IPpZCBYxMV28Iz2Kfm2&#10;qqLopeVxAV46DCoIlie8hm3VBT5gdWuqpq5fVQOEzgcQMkb03k1Bui71lZIifVAqykQMo4gtlTOU&#10;c5PPar3i7TZw32txgsH/AYXl2mHTc6k7njjZBf2slNUiQASVFgJsBUppIQsHZHNVP2Hz0HMvCxcc&#10;TvTnMcX/V1a8338MRHeMvqTEcYsrOn7/dvzx6/jzK2maPJ/BxxbTHjwmpvEWRtzz7I/ozLRHFWz+&#10;IiGCcZz04TxdOSYi8qNls1zWGBIYmy9Yv3p87kNMbyRYkg1GA66vTJXv38U0pc4puZuDe21MWaFx&#10;fzmwZvZUGfuEMVtp3IwnQhvoDsgHlYt9eghfKBlQBYw6lCkl5q3DIWfBzEaYjc1scCfwIaOJksl8&#10;nSZh7XzQ275ILYOK/maXEGkhkGFMvU/ocK9lBCcNZuH8eS9Zj3/K+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jxsHZsQBAABxAwAADgAAAAAAAAABACAAAAAeAQAAZHJzL2Uyb0RvYy54bWxQ&#10;SwUGAAAAAAYABgBZAQAAVA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1" w:lineRule="auto"/>
      <w:ind w:left="4224"/>
      <w:rPr>
        <w:rFonts w:ascii="宋体" w:hAnsi="宋体" w:eastAsia="宋体" w:cs="宋体"/>
        <w:sz w:val="16"/>
        <w:szCs w:val="16"/>
      </w:rPr>
    </w:pPr>
    <w:r>
      <w:rPr>
        <w:sz w:val="16"/>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410210"/>
              <wp:effectExtent l="0" t="0" r="0" b="0"/>
              <wp:wrapNone/>
              <wp:docPr id="1" name="文本框 18"/>
              <wp:cNvGraphicFramePr/>
              <a:graphic xmlns:a="http://schemas.openxmlformats.org/drawingml/2006/main">
                <a:graphicData uri="http://schemas.microsoft.com/office/word/2010/wordprocessingShape">
                  <wps:wsp>
                    <wps:cNvSpPr txBox="1"/>
                    <wps:spPr>
                      <a:xfrm>
                        <a:off x="0" y="0"/>
                        <a:ext cx="1828800" cy="41021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wps:wsp>
                </a:graphicData>
              </a:graphic>
            </wp:anchor>
          </w:drawing>
        </mc:Choice>
        <mc:Fallback>
          <w:pict>
            <v:shape id="文本框 18" o:spid="_x0000_s1026" o:spt="202" type="#_x0000_t202" style="position:absolute;left:0pt;margin-top:0pt;height:32.3pt;width:144pt;mso-position-horizontal:center;mso-position-horizontal-relative:margin;mso-wrap-style:none;z-index:251658240;mso-width-relative:page;mso-height-relative:page;" filled="f" stroked="f" coordsize="21600,21600" o:gfxdata="UEsDBAoAAAAAAIdO4kAAAAAAAAAAAAAAAAAEAAAAZHJzL1BLAwQUAAAACACHTuJADNU/stIAAAAE&#10;AQAADwAAAGRycy9kb3ducmV2LnhtbE2PwU7DMBBE70j8g7WVuFE7FYqiEKcHVI5UauHCzYm3Sdp4&#10;HdlOG/6ehQtcRhrNauZttV3cKK4Y4uBJQ7ZWIJBabwfqNHy8vz4WIGIyZM3oCTV8YYRtfX9XmdL6&#10;Gx3wekyd4BKKpdHQpzSVUsa2R2fi2k9InJ18cCaxDZ20wdy43I1yo1QunRmIF3oz4UuP7eU4Ow2n&#10;t/3lvJsP6typAj+zgEuT7bV+WGXqGUTCJf0dww8+o0PNTI2fyUYxauBH0q9ytikKto2G/CkHWVfy&#10;P3z9DVBLAwQUAAAACACHTuJA027P+rwBAABWAwAADgAAAGRycy9lMm9Eb2MueG1srVPNjtQwDL4j&#10;8Q5R7kzbEUJVNZ2VYLUICQHSwgNk0mQaKYkjJzvt8ADwBpy4cOe55jlwMj+7wG21l9SxHfvz56+r&#10;q9lZtlMYDfieN4uaM+UlDMZve/7l882LlrOYhB+EBa96vleRX62fP1tNoVNLGMEOChkV8bGbQs/H&#10;lEJXVVGOyom4gKA8BTWgE4muuK0GFBNVd7Za1vWragIcAoJUMZL3+hjk61JfayXTR62jSsz2nLCl&#10;cmI5N/ms1ivRbVGE0cgTDPEIFE4YT00vpa5FEuwOzX+lnJEIEXRaSHAVaG2kKjPQNE39zzS3owiq&#10;zELkxHChKT5dWflh9wmZGWh3nHnhaEWHH98PP38ffn1jTZv5mULsKO02UGKaX8Occ0/+SM489qzR&#10;5S8NxChOTO8v7Ko5MZkftcu2rSkkKfayqZdNob+6fx0wprcKHMtGz5G2V0gVu/cxUUdKPafkZh5u&#10;jLVlg9b/5aDE7Kky9CPEbKV5M59wb2DY0zgkXOozAn7lbCIR9NyTSjmz7zxxnPVyNvBsbM6G8JIe&#10;9jxxdjTfpKOu7gKa7ViUljHnzrS8gv4ktKyOh/eSdf87r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NU/stIAAAAEAQAADwAAAAAAAAABACAAAAAiAAAAZHJzL2Rvd25yZXYueG1sUEsBAhQAFAAA&#10;AAgAh07iQNNuz/q8AQAAVgMAAA4AAAAAAAAAAQAgAAAAIQEAAGRycy9lMm9Eb2MueG1sUEsFBgAA&#10;AAAGAAYAWQEAAE8FAAAAAA==&#10;">
              <v:fill on="f" focussize="0,0"/>
              <v:stroke on="f"/>
              <v:imagedata o:title=""/>
              <o:lock v:ext="edit" aspectratio="f"/>
              <v:textbox inset="0mm,0mm,0mm,0mm">
                <w:txbxContent>
                  <w:p>
                    <w:pPr>
                      <w:pStyle w:val="11"/>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left"/>
    </w:pPr>
    <w:r>
      <w:rPr>
        <w:rFonts w:ascii="宋体" w:hAnsi="宋体" w:eastAsia="宋体" w:cs="宋体"/>
        <w:sz w:val="24"/>
        <w:szCs w:val="24"/>
      </w:rPr>
      <w:drawing>
        <wp:inline distT="0" distB="0" distL="114300" distR="114300">
          <wp:extent cx="1856105" cy="577850"/>
          <wp:effectExtent l="0" t="0" r="0" b="0"/>
          <wp:docPr id="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56"/>
                  <pic:cNvPicPr>
                    <a:picLocks noChangeAspect="1"/>
                  </pic:cNvPicPr>
                </pic:nvPicPr>
                <pic:blipFill>
                  <a:blip r:embed="rId1"/>
                  <a:stretch>
                    <a:fillRect/>
                  </a:stretch>
                </pic:blipFill>
                <pic:spPr>
                  <a:xfrm>
                    <a:off x="0" y="0"/>
                    <a:ext cx="1856105" cy="5778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mZDZhOTI2ZWRkNDgyNWEwNzdhYmU5ODIyZDUyMGUifQ=="/>
  </w:docVars>
  <w:rsids>
    <w:rsidRoot w:val="00172A27"/>
    <w:rsid w:val="00C67DAF"/>
    <w:rsid w:val="00D77348"/>
    <w:rsid w:val="026E230E"/>
    <w:rsid w:val="02A70365"/>
    <w:rsid w:val="04C76197"/>
    <w:rsid w:val="0784713D"/>
    <w:rsid w:val="0A6A398D"/>
    <w:rsid w:val="0ADF3056"/>
    <w:rsid w:val="0D2564A8"/>
    <w:rsid w:val="0D2E1801"/>
    <w:rsid w:val="0DE23BBD"/>
    <w:rsid w:val="0E664E6A"/>
    <w:rsid w:val="0ED4172F"/>
    <w:rsid w:val="0F0043F7"/>
    <w:rsid w:val="0FE5492B"/>
    <w:rsid w:val="107C0AD5"/>
    <w:rsid w:val="1219690A"/>
    <w:rsid w:val="12333415"/>
    <w:rsid w:val="13F26C4E"/>
    <w:rsid w:val="14D964F6"/>
    <w:rsid w:val="176F3141"/>
    <w:rsid w:val="1909781B"/>
    <w:rsid w:val="19623440"/>
    <w:rsid w:val="1A2C5A83"/>
    <w:rsid w:val="1BCA18D0"/>
    <w:rsid w:val="1D9C502B"/>
    <w:rsid w:val="1F49101B"/>
    <w:rsid w:val="21125168"/>
    <w:rsid w:val="232B7E9D"/>
    <w:rsid w:val="24CD79EA"/>
    <w:rsid w:val="26A1702E"/>
    <w:rsid w:val="27967DE8"/>
    <w:rsid w:val="281D542D"/>
    <w:rsid w:val="2A4B646E"/>
    <w:rsid w:val="2B110340"/>
    <w:rsid w:val="2B295315"/>
    <w:rsid w:val="2D566A24"/>
    <w:rsid w:val="2E7E1851"/>
    <w:rsid w:val="2ED22CAC"/>
    <w:rsid w:val="2F4926D6"/>
    <w:rsid w:val="2FB84E43"/>
    <w:rsid w:val="30092B76"/>
    <w:rsid w:val="3135707A"/>
    <w:rsid w:val="31CC3410"/>
    <w:rsid w:val="32DD144F"/>
    <w:rsid w:val="32DF15CC"/>
    <w:rsid w:val="33274478"/>
    <w:rsid w:val="33E323E3"/>
    <w:rsid w:val="344B2883"/>
    <w:rsid w:val="36D6497B"/>
    <w:rsid w:val="377E41D4"/>
    <w:rsid w:val="37B87ED1"/>
    <w:rsid w:val="385E093C"/>
    <w:rsid w:val="38910E26"/>
    <w:rsid w:val="3AE113B1"/>
    <w:rsid w:val="3D255522"/>
    <w:rsid w:val="3D7B2F39"/>
    <w:rsid w:val="3EC64D31"/>
    <w:rsid w:val="404922D9"/>
    <w:rsid w:val="41214D61"/>
    <w:rsid w:val="46290AB8"/>
    <w:rsid w:val="46B725F1"/>
    <w:rsid w:val="479370C6"/>
    <w:rsid w:val="4A293341"/>
    <w:rsid w:val="4A3207C5"/>
    <w:rsid w:val="4E544884"/>
    <w:rsid w:val="4F6A0ABE"/>
    <w:rsid w:val="5187686B"/>
    <w:rsid w:val="531C264C"/>
    <w:rsid w:val="56C1007E"/>
    <w:rsid w:val="56CA2113"/>
    <w:rsid w:val="56F2346C"/>
    <w:rsid w:val="56FF3006"/>
    <w:rsid w:val="59B105B8"/>
    <w:rsid w:val="5AF61080"/>
    <w:rsid w:val="5CFC4808"/>
    <w:rsid w:val="5F904FD0"/>
    <w:rsid w:val="5FF9344A"/>
    <w:rsid w:val="603E411D"/>
    <w:rsid w:val="61612190"/>
    <w:rsid w:val="630B5598"/>
    <w:rsid w:val="65141F92"/>
    <w:rsid w:val="662B2712"/>
    <w:rsid w:val="67173353"/>
    <w:rsid w:val="688B473A"/>
    <w:rsid w:val="6A482026"/>
    <w:rsid w:val="6B7A1190"/>
    <w:rsid w:val="6CFB488C"/>
    <w:rsid w:val="6DF826BE"/>
    <w:rsid w:val="6E910F80"/>
    <w:rsid w:val="6FFC27FE"/>
    <w:rsid w:val="701928A3"/>
    <w:rsid w:val="70A703CB"/>
    <w:rsid w:val="71607628"/>
    <w:rsid w:val="71DE4BD7"/>
    <w:rsid w:val="72014E61"/>
    <w:rsid w:val="74AB7B69"/>
    <w:rsid w:val="79020895"/>
    <w:rsid w:val="793627BC"/>
    <w:rsid w:val="797C30CE"/>
    <w:rsid w:val="7A401675"/>
    <w:rsid w:val="7C99411D"/>
    <w:rsid w:val="7CB1285B"/>
    <w:rsid w:val="7E494C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semiHidden="0" w:name="heading 2"/>
    <w:lsdException w:qFormat="1" w:uiPriority="0" w:semiHidden="0" w:name="heading 3"/>
    <w:lsdException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kern w:val="2"/>
      <w:sz w:val="24"/>
      <w:szCs w:val="24"/>
      <w:lang w:val="en-US" w:eastAsia="zh-CN" w:bidi="ar-SA"/>
    </w:rPr>
  </w:style>
  <w:style w:type="paragraph" w:styleId="2">
    <w:name w:val="heading 1"/>
    <w:basedOn w:val="1"/>
    <w:next w:val="1"/>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iPriority w:val="0"/>
    <w:pPr>
      <w:keepNext/>
      <w:keepLines/>
      <w:spacing w:before="280" w:after="290" w:line="376" w:lineRule="auto"/>
      <w:outlineLvl w:val="3"/>
    </w:pPr>
    <w:rPr>
      <w:rFonts w:ascii="Cambria" w:hAnsi="Cambria" w:cs="Cambria"/>
      <w:b/>
      <w:sz w:val="28"/>
      <w:szCs w:val="28"/>
    </w:rPr>
  </w:style>
  <w:style w:type="character" w:default="1" w:styleId="20">
    <w:name w:val="Default Paragraph Font"/>
    <w:uiPriority w:val="0"/>
  </w:style>
  <w:style w:type="table" w:default="1" w:styleId="18">
    <w:name w:val="Normal Table"/>
    <w:semiHidden/>
    <w:uiPriority w:val="0"/>
    <w:tblPr>
      <w:tblStyle w:val="18"/>
      <w:tblLayout w:type="fixed"/>
      <w:tblCellMar>
        <w:top w:w="0" w:type="dxa"/>
        <w:left w:w="108" w:type="dxa"/>
        <w:bottom w:w="0" w:type="dxa"/>
        <w:right w:w="108" w:type="dxa"/>
      </w:tblCellMar>
    </w:tblPr>
  </w:style>
  <w:style w:type="paragraph" w:styleId="6">
    <w:name w:val="Normal Indent"/>
    <w:basedOn w:val="1"/>
    <w:uiPriority w:val="0"/>
    <w:pPr>
      <w:ind w:firstLine="420" w:firstLineChars="200"/>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Body Text Indent"/>
    <w:basedOn w:val="1"/>
    <w:uiPriority w:val="0"/>
    <w:pPr>
      <w:ind w:left="733" w:leftChars="356" w:firstLine="549" w:firstLineChars="200"/>
      <w:outlineLvl w:val="0"/>
    </w:pPr>
    <w:rPr>
      <w:rFonts w:ascii="宋体"/>
      <w:sz w:val="28"/>
      <w:szCs w:val="20"/>
    </w:rPr>
  </w:style>
  <w:style w:type="paragraph" w:styleId="9">
    <w:name w:val="Block Text"/>
    <w:basedOn w:val="1"/>
    <w:uiPriority w:val="0"/>
    <w:pPr>
      <w:spacing w:line="360" w:lineRule="auto"/>
      <w:ind w:left="630" w:right="34" w:hanging="15"/>
      <w:textAlignment w:val="center"/>
    </w:pPr>
    <w:rPr>
      <w:rFonts w:ascii="宋体"/>
      <w:sz w:val="30"/>
      <w:szCs w:val="30"/>
    </w:rPr>
  </w:style>
  <w:style w:type="paragraph" w:styleId="10">
    <w:name w:val="Body Text Indent 2"/>
    <w:basedOn w:val="1"/>
    <w:uiPriority w:val="0"/>
    <w:pPr>
      <w:adjustRightInd w:val="0"/>
      <w:spacing w:line="360" w:lineRule="auto"/>
      <w:ind w:left="420" w:leftChars="200"/>
      <w:textAlignment w:val="baseline"/>
    </w:pPr>
    <w:rPr>
      <w:rFonts w:ascii="宋体"/>
      <w:sz w:val="30"/>
      <w:szCs w:val="20"/>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uiPriority w:val="39"/>
  </w:style>
  <w:style w:type="paragraph" w:styleId="14">
    <w:name w:val="Body Text Indent 3"/>
    <w:basedOn w:val="1"/>
    <w:uiPriority w:val="0"/>
    <w:pPr>
      <w:spacing w:line="360" w:lineRule="auto"/>
      <w:ind w:firstLine="618"/>
    </w:pPr>
    <w:rPr>
      <w:rFonts w:ascii="宋体"/>
      <w:sz w:val="30"/>
      <w:szCs w:val="30"/>
    </w:rPr>
  </w:style>
  <w:style w:type="paragraph" w:styleId="15">
    <w:name w:val="toc 2"/>
    <w:basedOn w:val="1"/>
    <w:next w:val="1"/>
    <w:unhideWhenUsed/>
    <w:uiPriority w:val="39"/>
    <w:pPr>
      <w:ind w:left="420" w:leftChars="200"/>
    </w:pPr>
  </w:style>
  <w:style w:type="paragraph" w:styleId="16">
    <w:name w:val="Body Text 2"/>
    <w:basedOn w:val="1"/>
    <w:uiPriority w:val="0"/>
    <w:pPr>
      <w:spacing w:after="120" w:afterLines="0" w:line="480" w:lineRule="auto"/>
    </w:pPr>
  </w:style>
  <w:style w:type="paragraph" w:styleId="17">
    <w:name w:val="Normal (Web)"/>
    <w:basedOn w:val="1"/>
    <w:uiPriority w:val="0"/>
    <w:pPr>
      <w:spacing w:before="100" w:beforeAutospacing="1" w:after="100" w:afterAutospacing="1"/>
      <w:ind w:left="0" w:right="0"/>
      <w:jc w:val="left"/>
    </w:pPr>
    <w:rPr>
      <w:kern w:val="0"/>
      <w:sz w:val="24"/>
      <w:lang w:val="en-US" w:eastAsia="zh-CN" w:bidi="ar"/>
    </w:rPr>
  </w:style>
  <w:style w:type="table" w:styleId="19">
    <w:name w:val="Table Grid"/>
    <w:basedOn w:val="18"/>
    <w:uiPriority w:val="0"/>
    <w:pPr>
      <w:widowControl w:val="0"/>
      <w:jc w:val="both"/>
    </w:pPr>
    <w:tblPr>
      <w:tblStyle w:val="1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page number"/>
    <w:basedOn w:val="20"/>
    <w:uiPriority w:val="0"/>
  </w:style>
  <w:style w:type="paragraph" w:customStyle="1" w:styleId="22">
    <w:name w:val=" Char Char Char Char"/>
    <w:basedOn w:val="1"/>
    <w:uiPriority w:val="0"/>
    <w:pPr>
      <w:spacing w:line="600" w:lineRule="exact"/>
    </w:pPr>
    <w:rPr>
      <w:rFonts w:ascii="ˎ̥" w:hAnsi="ˎ̥" w:cs="宋体"/>
      <w:kern w:val="0"/>
      <w:szCs w:val="20"/>
    </w:rPr>
  </w:style>
  <w:style w:type="paragraph" w:customStyle="1" w:styleId="23">
    <w:name w:val="WPSOffice手动目录 1"/>
    <w:uiPriority w:val="0"/>
    <w:pPr>
      <w:ind w:leftChars="0"/>
    </w:pPr>
    <w:rPr>
      <w:sz w:val="20"/>
      <w:szCs w:val="20"/>
    </w:rPr>
  </w:style>
  <w:style w:type="paragraph" w:customStyle="1" w:styleId="24">
    <w:name w:val="Table Paragraph"/>
    <w:basedOn w:val="1"/>
    <w:qFormat/>
    <w:uiPriority w:val="0"/>
  </w:style>
  <w:style w:type="paragraph" w:customStyle="1" w:styleId="25">
    <w:name w:val="Heading 4_0"/>
    <w:basedOn w:val="26"/>
    <w:next w:val="26"/>
    <w:qFormat/>
    <w:uiPriority w:val="0"/>
    <w:pPr>
      <w:keepNext/>
      <w:keepLines/>
      <w:widowControl/>
      <w:spacing w:before="280" w:after="290" w:line="376" w:lineRule="auto"/>
      <w:jc w:val="left"/>
      <w:outlineLvl w:val="3"/>
    </w:pPr>
    <w:rPr>
      <w:rFonts w:ascii="Arial" w:hAnsi="Arial" w:eastAsia="黑体"/>
      <w:b/>
      <w:bCs/>
      <w:kern w:val="0"/>
      <w:sz w:val="28"/>
      <w:szCs w:val="28"/>
    </w:rPr>
  </w:style>
  <w:style w:type="paragraph" w:customStyle="1" w:styleId="26">
    <w:name w:val="Normal_0"/>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1215</Words>
  <Characters>1267</Characters>
  <Lines>27</Lines>
  <Paragraphs>7</Paragraphs>
  <TotalTime>53</TotalTime>
  <ScaleCrop>false</ScaleCrop>
  <LinksUpToDate>false</LinksUpToDate>
  <CharactersWithSpaces>1295</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2010-01-14T07:49:00Z</dcterms:created>
  <dc:creator>Microsoft.com</dc:creator>
  <cp:lastModifiedBy>殷</cp:lastModifiedBy>
  <cp:lastPrinted>2023-11-09T00:41:00Z</cp:lastPrinted>
  <dcterms:modified xsi:type="dcterms:W3CDTF">2026-07-28T03:30:23Z</dcterms:modified>
  <dc:title>威 尼 斯 水 上 花 园 二 期 工 程</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F8403133655A42D4B9D118A71B29D717</vt:lpwstr>
  </property>
  <property fmtid="{D5CDD505-2E9C-101B-9397-08002B2CF9AE}" pid="4" name="KSOTemplateDocerSaveRecord">
    <vt:lpwstr>eyJoZGlkIjoiMTVlMDU4ODQ0MGI0ZWVkNTE5MTY3NWFjNDQ5OWM0ZDciLCJ1c2VySWQiOiIxNzU0OTI2MSJ9</vt:lpwstr>
  </property>
</Properties>
</file>