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cs="宋体"/>
          <w:b/>
          <w:sz w:val="48"/>
          <w:szCs w:val="48"/>
        </w:rPr>
      </w:pPr>
    </w:p>
    <w:p>
      <w:pPr>
        <w:spacing w:line="360" w:lineRule="auto"/>
        <w:jc w:val="center"/>
        <w:rPr>
          <w:rFonts w:ascii="宋体" w:cs="宋体"/>
          <w:b/>
          <w:sz w:val="48"/>
          <w:szCs w:val="48"/>
        </w:rPr>
      </w:pPr>
    </w:p>
    <w:p>
      <w:pPr>
        <w:spacing w:line="360" w:lineRule="auto"/>
        <w:jc w:val="center"/>
        <w:rPr>
          <w:rFonts w:ascii="宋体" w:cs="宋体"/>
          <w:b/>
          <w:sz w:val="48"/>
          <w:szCs w:val="48"/>
        </w:rPr>
      </w:pPr>
    </w:p>
    <w:p>
      <w:pPr>
        <w:spacing w:line="360" w:lineRule="auto"/>
        <w:jc w:val="both"/>
        <w:rPr>
          <w:rFonts w:ascii="宋体" w:cs="宋体"/>
          <w:b/>
          <w:sz w:val="48"/>
          <w:szCs w:val="48"/>
        </w:rPr>
      </w:pPr>
    </w:p>
    <w:p>
      <w:pPr>
        <w:spacing w:line="312" w:lineRule="auto"/>
        <w:jc w:val="center"/>
        <w:rPr>
          <w:rFonts w:hint="eastAsia" w:ascii="微软雅黑" w:hAnsi="微软雅黑" w:eastAsia="微软雅黑"/>
          <w:bCs/>
          <w:sz w:val="48"/>
          <w:szCs w:val="48"/>
          <w:lang w:val="en-US" w:eastAsia="zh-CN"/>
        </w:rPr>
      </w:pPr>
      <w:r>
        <w:rPr>
          <w:rFonts w:hint="eastAsia" w:ascii="微软雅黑" w:hAnsi="微软雅黑" w:eastAsia="微软雅黑"/>
          <w:bCs/>
          <w:sz w:val="48"/>
          <w:szCs w:val="48"/>
          <w:lang w:val="en-US" w:eastAsia="zh-CN"/>
        </w:rPr>
        <w:t>2026年</w:t>
      </w:r>
      <w:r>
        <w:rPr>
          <w:rFonts w:hint="eastAsia" w:ascii="黑体" w:hAnsi="黑体" w:eastAsia="黑体" w:cs="黑体"/>
          <w:spacing w:val="-40"/>
          <w:sz w:val="52"/>
          <w:szCs w:val="52"/>
          <w:lang w:val="en-US" w:eastAsia="zh-CN"/>
        </w:rPr>
        <w:t>孖</w:t>
      </w:r>
      <w:r>
        <w:rPr>
          <w:rFonts w:ascii="黑体" w:hAnsi="黑体" w:eastAsia="黑体" w:cs="黑体"/>
          <w:spacing w:val="-40"/>
          <w:sz w:val="52"/>
          <w:szCs w:val="52"/>
        </w:rPr>
        <w:t>桥集街区</w:t>
      </w:r>
      <w:r>
        <w:rPr>
          <w:rFonts w:hint="eastAsia" w:ascii="微软雅黑" w:hAnsi="微软雅黑" w:eastAsia="微软雅黑"/>
          <w:bCs/>
          <w:sz w:val="48"/>
          <w:szCs w:val="48"/>
          <w:lang w:val="en-US" w:eastAsia="zh-CN"/>
        </w:rPr>
        <w:t>四害消杀服务采购</w:t>
      </w:r>
    </w:p>
    <w:p>
      <w:pPr>
        <w:spacing w:line="312" w:lineRule="auto"/>
        <w:jc w:val="center"/>
        <w:rPr>
          <w:rFonts w:hint="default" w:ascii="微软雅黑" w:hAnsi="微软雅黑" w:eastAsia="微软雅黑"/>
          <w:bCs/>
          <w:sz w:val="48"/>
          <w:szCs w:val="48"/>
          <w:lang w:val="en-US" w:eastAsia="zh-CN"/>
        </w:rPr>
      </w:pPr>
      <w:r>
        <w:rPr>
          <w:rFonts w:hint="eastAsia" w:ascii="微软雅黑" w:hAnsi="微软雅黑" w:eastAsia="微软雅黑"/>
          <w:bCs/>
          <w:sz w:val="48"/>
          <w:szCs w:val="48"/>
          <w:lang w:val="en-US" w:eastAsia="zh-CN"/>
        </w:rPr>
        <w:t>技术任务书</w:t>
      </w:r>
    </w:p>
    <w:p>
      <w:pPr>
        <w:spacing w:line="312" w:lineRule="auto"/>
        <w:jc w:val="center"/>
        <w:rPr>
          <w:rFonts w:hint="eastAsia" w:ascii="微软雅黑" w:hAnsi="微软雅黑" w:eastAsia="微软雅黑"/>
          <w:bCs/>
          <w:sz w:val="48"/>
          <w:szCs w:val="48"/>
          <w:lang w:val="en-US" w:eastAsia="zh-CN"/>
        </w:rPr>
      </w:pPr>
    </w:p>
    <w:p>
      <w:pPr>
        <w:spacing w:line="312" w:lineRule="auto"/>
        <w:jc w:val="center"/>
        <w:rPr>
          <w:rFonts w:hint="eastAsia" w:ascii="微软雅黑" w:hAnsi="微软雅黑" w:eastAsia="微软雅黑"/>
          <w:bCs/>
          <w:sz w:val="48"/>
          <w:szCs w:val="48"/>
          <w:lang w:val="en-US" w:eastAsia="zh-CN"/>
        </w:rPr>
      </w:pPr>
    </w:p>
    <w:p>
      <w:pPr>
        <w:spacing w:line="312" w:lineRule="auto"/>
        <w:jc w:val="both"/>
        <w:rPr>
          <w:rFonts w:hint="eastAsia" w:ascii="微软雅黑" w:hAnsi="微软雅黑" w:eastAsia="微软雅黑"/>
          <w:bCs/>
          <w:sz w:val="48"/>
          <w:szCs w:val="48"/>
          <w:lang w:val="en-US" w:eastAsia="zh-CN"/>
        </w:rPr>
      </w:pPr>
    </w:p>
    <w:p>
      <w:pPr>
        <w:spacing w:line="312" w:lineRule="auto"/>
        <w:jc w:val="both"/>
        <w:rPr>
          <w:rFonts w:hint="eastAsia" w:ascii="微软雅黑" w:hAnsi="微软雅黑" w:eastAsia="微软雅黑"/>
          <w:bCs/>
          <w:sz w:val="48"/>
          <w:szCs w:val="48"/>
          <w:lang w:val="en-US" w:eastAsia="zh-CN"/>
        </w:rPr>
      </w:pPr>
    </w:p>
    <w:p>
      <w:pPr>
        <w:spacing w:line="312" w:lineRule="auto"/>
        <w:jc w:val="both"/>
        <w:rPr>
          <w:rFonts w:hint="eastAsia" w:ascii="微软雅黑" w:hAnsi="微软雅黑" w:eastAsia="微软雅黑"/>
          <w:bCs/>
          <w:sz w:val="48"/>
          <w:szCs w:val="48"/>
          <w:lang w:val="en-US" w:eastAsia="zh-CN"/>
        </w:rPr>
      </w:pPr>
    </w:p>
    <w:tbl>
      <w:tblPr>
        <w:tblStyle w:val="17"/>
        <w:tblW w:w="5800" w:type="dxa"/>
        <w:tblInd w:w="1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7"/>
        <w:gridCol w:w="3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607" w:type="dxa"/>
            <w:tcBorders>
              <w:top w:val="nil"/>
              <w:left w:val="nil"/>
              <w:bottom w:val="nil"/>
              <w:right w:val="nil"/>
            </w:tcBorders>
          </w:tcPr>
          <w:p>
            <w:pPr>
              <w:spacing w:line="312" w:lineRule="auto"/>
              <w:jc w:val="both"/>
              <w:rPr>
                <w:rFonts w:hint="default" w:ascii="微软雅黑" w:hAnsi="微软雅黑" w:eastAsia="微软雅黑"/>
                <w:bCs/>
                <w:sz w:val="28"/>
                <w:szCs w:val="28"/>
                <w:vertAlign w:val="baseline"/>
                <w:lang w:val="en-US" w:eastAsia="zh-CN"/>
              </w:rPr>
            </w:pPr>
            <w:r>
              <w:rPr>
                <w:rFonts w:hint="eastAsia" w:ascii="微软雅黑" w:hAnsi="微软雅黑" w:eastAsia="微软雅黑"/>
                <w:bCs/>
                <w:sz w:val="28"/>
                <w:szCs w:val="28"/>
                <w:vertAlign w:val="baseline"/>
                <w:lang w:val="en-US" w:eastAsia="zh-CN"/>
              </w:rPr>
              <w:t>编                  制：</w:t>
            </w:r>
          </w:p>
        </w:tc>
        <w:tc>
          <w:tcPr>
            <w:tcW w:w="3193" w:type="dxa"/>
            <w:tcBorders>
              <w:top w:val="nil"/>
              <w:left w:val="nil"/>
              <w:bottom w:val="nil"/>
              <w:right w:val="nil"/>
            </w:tcBorders>
          </w:tcPr>
          <w:p>
            <w:pPr>
              <w:spacing w:line="312" w:lineRule="auto"/>
              <w:jc w:val="both"/>
              <w:rPr>
                <w:rFonts w:hint="eastAsia" w:ascii="微软雅黑" w:hAnsi="微软雅黑" w:eastAsia="微软雅黑"/>
                <w:bCs/>
                <w:sz w:val="28"/>
                <w:szCs w:val="28"/>
                <w:vertAlign w:val="baseline"/>
                <w:lang w:val="en-US" w:eastAsia="zh-CN"/>
              </w:rPr>
            </w:pPr>
            <w:r>
              <w:rPr>
                <w:rFonts w:hint="eastAsia" w:ascii="微软雅黑" w:hAnsi="微软雅黑" w:eastAsia="微软雅黑"/>
                <w:bCs/>
                <w:sz w:val="28"/>
                <w:szCs w:val="28"/>
                <w:vertAlign w:val="baseline"/>
                <w:lang w:val="en-US" w:eastAsia="zh-CN"/>
              </w:rPr>
              <w:t>2026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607" w:type="dxa"/>
            <w:tcBorders>
              <w:top w:val="nil"/>
              <w:left w:val="nil"/>
              <w:bottom w:val="nil"/>
              <w:right w:val="nil"/>
            </w:tcBorders>
          </w:tcPr>
          <w:p>
            <w:pPr>
              <w:spacing w:line="312" w:lineRule="auto"/>
              <w:jc w:val="both"/>
              <w:rPr>
                <w:rFonts w:hint="eastAsia" w:ascii="微软雅黑" w:hAnsi="微软雅黑" w:eastAsia="微软雅黑"/>
                <w:bCs/>
                <w:sz w:val="28"/>
                <w:szCs w:val="28"/>
                <w:vertAlign w:val="baseline"/>
                <w:lang w:val="en-US" w:eastAsia="zh-CN"/>
              </w:rPr>
            </w:pPr>
            <w:r>
              <w:rPr>
                <w:rFonts w:hint="eastAsia" w:ascii="微软雅黑" w:hAnsi="微软雅黑" w:eastAsia="微软雅黑"/>
                <w:bCs/>
                <w:sz w:val="28"/>
                <w:szCs w:val="28"/>
                <w:vertAlign w:val="baseline"/>
                <w:lang w:val="en-US" w:eastAsia="zh-CN"/>
              </w:rPr>
              <w:t>部门/项目负责人：</w:t>
            </w:r>
          </w:p>
        </w:tc>
        <w:tc>
          <w:tcPr>
            <w:tcW w:w="3193" w:type="dxa"/>
            <w:tcBorders>
              <w:top w:val="nil"/>
              <w:left w:val="nil"/>
              <w:bottom w:val="nil"/>
              <w:right w:val="nil"/>
            </w:tcBorders>
          </w:tcPr>
          <w:p>
            <w:pPr>
              <w:spacing w:line="312" w:lineRule="auto"/>
              <w:jc w:val="both"/>
              <w:rPr>
                <w:rFonts w:hint="eastAsia" w:ascii="微软雅黑" w:hAnsi="微软雅黑" w:eastAsia="微软雅黑"/>
                <w:bCs/>
                <w:sz w:val="28"/>
                <w:szCs w:val="28"/>
                <w:vertAlign w:val="baseline"/>
                <w:lang w:val="en-US" w:eastAsia="zh-CN"/>
              </w:rPr>
            </w:pPr>
            <w:r>
              <w:rPr>
                <w:rFonts w:hint="eastAsia" w:ascii="微软雅黑" w:hAnsi="微软雅黑" w:eastAsia="微软雅黑"/>
                <w:bCs/>
                <w:sz w:val="28"/>
                <w:szCs w:val="28"/>
                <w:u w:val="single"/>
                <w:vertAlign w:val="baseline"/>
                <w:lang w:val="en-US" w:eastAsia="zh-CN"/>
              </w:rPr>
              <w:t xml:space="preserve"> </w:t>
            </w:r>
          </w:p>
        </w:tc>
      </w:tr>
    </w:tbl>
    <w:p>
      <w:pPr>
        <w:spacing w:line="880" w:lineRule="exact"/>
        <w:jc w:val="both"/>
        <w:rPr>
          <w:rFonts w:hint="eastAsia" w:ascii="微软雅黑" w:hAnsi="微软雅黑" w:eastAsia="微软雅黑"/>
          <w:bCs/>
          <w:szCs w:val="15"/>
          <w:lang w:eastAsia="zh-CN"/>
        </w:rPr>
      </w:pPr>
    </w:p>
    <w:p>
      <w:pPr>
        <w:pStyle w:val="6"/>
        <w:ind w:left="0" w:leftChars="0" w:firstLine="0" w:firstLineChars="0"/>
        <w:rPr>
          <w:lang w:eastAsia="zh-CN"/>
        </w:rPr>
      </w:pPr>
    </w:p>
    <w:p>
      <w:pPr>
        <w:pStyle w:val="2"/>
        <w:numPr>
          <w:ilvl w:val="1"/>
          <w:numId w:val="0"/>
        </w:numPr>
        <w:tabs>
          <w:tab w:val="left" w:pos="7860"/>
        </w:tabs>
        <w:spacing w:before="0" w:after="0"/>
        <w:ind w:firstLine="482" w:firstLineChars="200"/>
        <w:rPr>
          <w:rFonts w:ascii="宋体" w:hAnsi="宋体" w:cs="宋体"/>
          <w:sz w:val="24"/>
          <w:szCs w:val="24"/>
          <w:lang w:val="zh-CN"/>
        </w:rPr>
      </w:pPr>
      <w:bookmarkStart w:id="0" w:name="_Toc28969"/>
      <w:r>
        <w:rPr>
          <w:rFonts w:hint="eastAsia" w:ascii="宋体" w:hAnsi="宋体" w:cs="宋体"/>
          <w:bCs/>
          <w:sz w:val="24"/>
          <w:szCs w:val="24"/>
        </w:rPr>
        <w:t>一</w:t>
      </w:r>
      <w:r>
        <w:rPr>
          <w:rFonts w:hint="eastAsia" w:ascii="宋体" w:hAnsi="宋体" w:cs="宋体"/>
          <w:bCs/>
          <w:sz w:val="24"/>
          <w:szCs w:val="24"/>
          <w:lang w:val="zh-CN"/>
        </w:rPr>
        <w:t>、</w:t>
      </w:r>
      <w:r>
        <w:rPr>
          <w:rFonts w:hint="eastAsia" w:ascii="宋体" w:hAnsi="宋体" w:cs="宋体"/>
          <w:bCs/>
          <w:sz w:val="24"/>
          <w:szCs w:val="24"/>
        </w:rPr>
        <w:t>项目</w:t>
      </w:r>
      <w:r>
        <w:rPr>
          <w:rFonts w:hint="eastAsia" w:ascii="宋体" w:hAnsi="宋体" w:cs="宋体"/>
          <w:bCs/>
          <w:sz w:val="24"/>
          <w:szCs w:val="24"/>
          <w:lang w:val="zh-CN"/>
        </w:rPr>
        <w:t>概况</w:t>
      </w:r>
      <w:bookmarkEnd w:id="0"/>
    </w:p>
    <w:p>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孖桥集街区</w:t>
      </w:r>
    </w:p>
    <w:p>
      <w:pPr>
        <w:spacing w:line="360" w:lineRule="auto"/>
        <w:ind w:firstLine="480" w:firstLineChars="200"/>
        <w:rPr>
          <w:rFonts w:hint="default" w:ascii="宋体" w:hAnsi="宋体" w:eastAsia="宋体" w:cs="宋体"/>
          <w:bCs/>
          <w:sz w:val="22"/>
          <w:szCs w:val="22"/>
          <w:lang w:val="en-US" w:eastAsia="zh-CN"/>
        </w:rPr>
      </w:pPr>
      <w:r>
        <w:rPr>
          <w:rFonts w:hint="eastAsia" w:asciiTheme="minorEastAsia" w:hAnsiTheme="minorEastAsia" w:eastAsiaTheme="minorEastAsia" w:cstheme="minorEastAsia"/>
          <w:sz w:val="24"/>
          <w:szCs w:val="24"/>
          <w:lang w:eastAsia="zh-CN"/>
        </w:rPr>
        <w:t>（2）项目区位：</w:t>
      </w:r>
      <w:r>
        <w:rPr>
          <w:rFonts w:hint="eastAsia" w:ascii="宋体" w:hAnsi="宋体" w:eastAsia="宋体" w:cs="宋体"/>
          <w:b w:val="0"/>
          <w:bCs/>
          <w:sz w:val="24"/>
          <w:szCs w:val="40"/>
          <w:lang w:eastAsia="zh-CN"/>
        </w:rPr>
        <w:t>本次</w:t>
      </w:r>
      <w:r>
        <w:rPr>
          <w:rFonts w:hint="eastAsia" w:ascii="宋体" w:hAnsi="宋体" w:eastAsia="宋体" w:cs="宋体"/>
          <w:b w:val="0"/>
          <w:bCs/>
          <w:sz w:val="24"/>
          <w:szCs w:val="40"/>
          <w:lang w:val="en-US" w:eastAsia="zh-CN"/>
        </w:rPr>
        <w:t>采购</w:t>
      </w:r>
      <w:r>
        <w:rPr>
          <w:rFonts w:hint="eastAsia" w:ascii="宋体" w:hAnsi="宋体" w:eastAsia="宋体" w:cs="宋体"/>
          <w:b w:val="0"/>
          <w:bCs/>
          <w:sz w:val="24"/>
          <w:szCs w:val="40"/>
          <w:lang w:eastAsia="zh-CN"/>
        </w:rPr>
        <w:t>服务范围为香洲创港中心项目位于香洲区南屏镇景华路75号，前河南路南侧、水仙花园西侧、星 河蓝湾东侧。总占地面积5229.64 m²，总建筑面积4107.86 m², 其中农贸市场面积3028.9m²，党群服务中心面积1078.96m²。</w:t>
      </w:r>
      <w:r>
        <w:rPr>
          <w:rFonts w:hint="eastAsia" w:ascii="宋体" w:hAnsi="宋体" w:cs="宋体"/>
          <w:b w:val="0"/>
          <w:bCs/>
          <w:sz w:val="24"/>
          <w:szCs w:val="24"/>
        </w:rPr>
        <w:t>主要服务内容</w:t>
      </w:r>
      <w:r>
        <w:rPr>
          <w:rFonts w:hint="eastAsia" w:ascii="宋体" w:hAnsi="宋体" w:cs="宋体"/>
          <w:b w:val="0"/>
          <w:bCs/>
          <w:sz w:val="24"/>
          <w:szCs w:val="24"/>
          <w:lang w:val="en-US" w:eastAsia="zh-CN"/>
        </w:rPr>
        <w:t>为四害消杀。</w:t>
      </w:r>
    </w:p>
    <w:p>
      <w:pPr>
        <w:pStyle w:val="2"/>
        <w:numPr>
          <w:ilvl w:val="0"/>
          <w:numId w:val="0"/>
        </w:numPr>
        <w:tabs>
          <w:tab w:val="left" w:pos="7860"/>
        </w:tabs>
        <w:spacing w:before="0" w:after="0"/>
        <w:ind w:firstLine="482" w:firstLineChars="200"/>
        <w:rPr>
          <w:rFonts w:ascii="宋体" w:hAnsi="宋体" w:cs="宋体"/>
          <w:bCs/>
          <w:color w:val="auto"/>
          <w:sz w:val="24"/>
          <w:szCs w:val="24"/>
        </w:rPr>
      </w:pPr>
      <w:r>
        <w:rPr>
          <w:rFonts w:hint="eastAsia" w:ascii="宋体" w:hAnsi="宋体" w:cs="宋体"/>
          <w:b/>
          <w:bCs/>
          <w:color w:val="auto"/>
          <w:kern w:val="44"/>
          <w:sz w:val="24"/>
          <w:szCs w:val="24"/>
          <w:lang w:val="en-US" w:eastAsia="zh-CN" w:bidi="ar-SA"/>
        </w:rPr>
        <w:t>二</w:t>
      </w:r>
      <w:r>
        <w:rPr>
          <w:rFonts w:hint="eastAsia" w:ascii="宋体" w:hAnsi="宋体" w:eastAsia="宋体" w:cs="宋体"/>
          <w:b/>
          <w:bCs/>
          <w:color w:val="auto"/>
          <w:kern w:val="44"/>
          <w:sz w:val="24"/>
          <w:szCs w:val="24"/>
          <w:lang w:val="en-US" w:eastAsia="zh-CN" w:bidi="ar-SA"/>
        </w:rPr>
        <w:t>、</w:t>
      </w:r>
      <w:r>
        <w:rPr>
          <w:rFonts w:hint="eastAsia" w:ascii="宋体" w:hAnsi="宋体" w:cs="宋体"/>
          <w:bCs/>
          <w:color w:val="auto"/>
          <w:sz w:val="24"/>
          <w:szCs w:val="24"/>
        </w:rPr>
        <w:t>服务期限</w:t>
      </w:r>
    </w:p>
    <w:p>
      <w:pPr>
        <w:spacing w:line="360" w:lineRule="auto"/>
        <w:ind w:firstLine="480" w:firstLineChars="200"/>
        <w:rPr>
          <w:rFonts w:ascii="宋体" w:hAnsi="宋体" w:eastAsia="宋体" w:cs="宋体"/>
          <w:color w:val="auto"/>
          <w:lang w:eastAsia="zh-CN"/>
        </w:rPr>
      </w:pPr>
      <w:r>
        <w:rPr>
          <w:rFonts w:hint="eastAsia" w:ascii="宋体" w:hAnsi="宋体" w:eastAsia="宋体" w:cs="宋体"/>
          <w:color w:val="auto"/>
          <w:lang w:eastAsia="zh-CN"/>
        </w:rPr>
        <w:t>暂定合同签订日期为起始日期，</w:t>
      </w:r>
      <w:r>
        <w:rPr>
          <w:rFonts w:hint="eastAsia" w:ascii="宋体" w:hAnsi="宋体" w:eastAsia="宋体" w:cs="宋体"/>
          <w:color w:val="auto"/>
          <w:lang w:val="en-US" w:eastAsia="zh-CN"/>
        </w:rPr>
        <w:t>具体进场时间以甲方书面通知为准，合同</w:t>
      </w:r>
      <w:r>
        <w:rPr>
          <w:rFonts w:hint="eastAsia" w:ascii="宋体" w:hAnsi="宋体" w:eastAsia="宋体" w:cs="宋体"/>
          <w:color w:val="auto"/>
          <w:lang w:eastAsia="zh-CN"/>
        </w:rPr>
        <w:t>服务期限为</w:t>
      </w:r>
      <w:r>
        <w:rPr>
          <w:rFonts w:hint="eastAsia" w:ascii="宋体" w:hAnsi="宋体" w:eastAsia="宋体" w:cs="宋体"/>
          <w:color w:val="auto"/>
          <w:lang w:val="en-US" w:eastAsia="zh-CN"/>
        </w:rPr>
        <w:t>12</w:t>
      </w:r>
      <w:r>
        <w:rPr>
          <w:rFonts w:hint="eastAsia" w:ascii="宋体" w:hAnsi="宋体" w:eastAsia="宋体" w:cs="宋体"/>
          <w:color w:val="auto"/>
          <w:lang w:eastAsia="zh-CN"/>
        </w:rPr>
        <w:t>个月。</w:t>
      </w:r>
    </w:p>
    <w:p>
      <w:pPr>
        <w:pStyle w:val="2"/>
        <w:numPr>
          <w:ilvl w:val="0"/>
          <w:numId w:val="0"/>
        </w:numPr>
        <w:tabs>
          <w:tab w:val="left" w:pos="7860"/>
        </w:tabs>
        <w:spacing w:before="0" w:after="0"/>
        <w:ind w:firstLine="482" w:firstLineChars="200"/>
        <w:rPr>
          <w:rFonts w:hint="eastAsia" w:ascii="宋体" w:hAnsi="宋体" w:cs="宋体"/>
          <w:bCs/>
          <w:color w:val="auto"/>
          <w:sz w:val="24"/>
          <w:szCs w:val="24"/>
          <w:lang w:val="en-US" w:eastAsia="zh-CN"/>
        </w:rPr>
      </w:pPr>
      <w:r>
        <w:rPr>
          <w:rFonts w:hint="eastAsia" w:ascii="宋体" w:hAnsi="宋体" w:cs="宋体"/>
          <w:b/>
          <w:bCs/>
          <w:color w:val="auto"/>
          <w:kern w:val="44"/>
          <w:sz w:val="24"/>
          <w:szCs w:val="24"/>
          <w:lang w:val="en-US" w:eastAsia="zh-CN" w:bidi="ar-SA"/>
        </w:rPr>
        <w:t>三</w:t>
      </w:r>
      <w:r>
        <w:rPr>
          <w:rFonts w:hint="eastAsia" w:ascii="宋体" w:hAnsi="宋体" w:eastAsia="宋体" w:cs="宋体"/>
          <w:b/>
          <w:bCs/>
          <w:color w:val="auto"/>
          <w:kern w:val="44"/>
          <w:sz w:val="24"/>
          <w:szCs w:val="24"/>
          <w:lang w:val="en-US" w:eastAsia="zh-CN" w:bidi="ar-SA"/>
        </w:rPr>
        <w:t>、</w:t>
      </w:r>
      <w:r>
        <w:rPr>
          <w:rFonts w:hint="eastAsia" w:ascii="宋体" w:hAnsi="宋体" w:cs="宋体"/>
          <w:bCs/>
          <w:color w:val="auto"/>
          <w:sz w:val="24"/>
          <w:szCs w:val="24"/>
        </w:rPr>
        <w:t>费用预算</w:t>
      </w:r>
    </w:p>
    <w:p>
      <w:pPr>
        <w:pStyle w:val="8"/>
        <w:spacing w:after="0" w:line="360" w:lineRule="auto"/>
        <w:ind w:left="0" w:leftChars="0" w:right="0" w:rightChars="0" w:firstLine="480" w:firstLineChars="200"/>
        <w:jc w:val="left"/>
        <w:rPr>
          <w:rFonts w:hint="eastAsia" w:ascii="宋体" w:hAnsi="宋体" w:cs="宋体"/>
          <w:color w:val="auto"/>
          <w:szCs w:val="24"/>
          <w:lang w:eastAsia="zh-CN"/>
        </w:rPr>
      </w:pPr>
      <w:r>
        <w:rPr>
          <w:rFonts w:hint="eastAsia" w:ascii="宋体" w:hAnsi="宋体" w:eastAsia="宋体" w:cs="宋体"/>
          <w:b w:val="0"/>
          <w:color w:val="auto"/>
          <w:kern w:val="0"/>
          <w:sz w:val="24"/>
          <w:szCs w:val="24"/>
          <w:highlight w:val="yellow"/>
          <w:lang w:val="en-US" w:eastAsia="zh-CN" w:bidi="en-US"/>
        </w:rPr>
        <w:t>本次招标预算金额为限价</w:t>
      </w:r>
      <w:r>
        <w:rPr>
          <w:rFonts w:hint="eastAsia" w:ascii="宋体" w:hAnsi="宋体" w:eastAsia="宋体" w:cs="宋体"/>
          <w:b/>
          <w:bCs/>
          <w:color w:val="auto"/>
          <w:kern w:val="0"/>
          <w:sz w:val="24"/>
          <w:szCs w:val="24"/>
          <w:highlight w:val="yellow"/>
          <w:u w:val="single"/>
          <w:lang w:val="en-US" w:eastAsia="zh-CN" w:bidi="en-US"/>
        </w:rPr>
        <w:t xml:space="preserve"> </w:t>
      </w:r>
      <w:r>
        <w:rPr>
          <w:rFonts w:hint="eastAsia" w:ascii="宋体" w:hAnsi="宋体" w:cs="宋体"/>
          <w:b/>
          <w:bCs/>
          <w:color w:val="auto"/>
          <w:kern w:val="0"/>
          <w:sz w:val="24"/>
          <w:szCs w:val="24"/>
          <w:highlight w:val="yellow"/>
          <w:u w:val="single"/>
          <w:lang w:val="en-US" w:eastAsia="zh-CN" w:bidi="en-US"/>
        </w:rPr>
        <w:t>8000</w:t>
      </w:r>
      <w:r>
        <w:rPr>
          <w:rFonts w:hint="eastAsia" w:ascii="宋体" w:hAnsi="宋体" w:eastAsia="宋体" w:cs="宋体"/>
          <w:b w:val="0"/>
          <w:color w:val="auto"/>
          <w:kern w:val="0"/>
          <w:sz w:val="24"/>
          <w:szCs w:val="24"/>
          <w:highlight w:val="yellow"/>
          <w:lang w:val="en-US" w:eastAsia="zh-CN" w:bidi="en-US"/>
        </w:rPr>
        <w:t>元，其中分项</w:t>
      </w:r>
      <w:r>
        <w:rPr>
          <w:rFonts w:hint="eastAsia" w:ascii="宋体" w:hAnsi="宋体" w:cs="宋体"/>
          <w:color w:val="auto"/>
          <w:szCs w:val="24"/>
          <w:highlight w:val="yellow"/>
          <w:lang w:eastAsia="zh-CN"/>
        </w:rPr>
        <w:t>报价汇总不允许超过招标预算价。</w:t>
      </w:r>
    </w:p>
    <w:tbl>
      <w:tblPr>
        <w:tblStyle w:val="16"/>
        <w:tblpPr w:leftFromText="180" w:rightFromText="180" w:vertAnchor="text" w:horzAnchor="page" w:tblpX="1894" w:tblpY="62"/>
        <w:tblOverlap w:val="never"/>
        <w:tblW w:w="71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0"/>
        <w:gridCol w:w="773"/>
        <w:gridCol w:w="1283"/>
        <w:gridCol w:w="817"/>
        <w:gridCol w:w="1294"/>
        <w:gridCol w:w="1206"/>
        <w:gridCol w:w="11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r>
              <w:rPr>
                <w:rFonts w:hint="eastAsia" w:ascii="宋体" w:hAnsi="宋体" w:eastAsia="宋体" w:cs="宋体"/>
                <w:sz w:val="22"/>
                <w:lang w:val="en-US" w:eastAsia="zh-CN"/>
              </w:rPr>
              <w:t>序号</w:t>
            </w:r>
          </w:p>
        </w:tc>
        <w:tc>
          <w:tcPr>
            <w:tcW w:w="773" w:type="dxa"/>
            <w:tcBorders>
              <w:top w:val="single" w:color="000000" w:sz="8" w:space="0"/>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r>
              <w:rPr>
                <w:rFonts w:hint="eastAsia" w:ascii="宋体" w:hAnsi="宋体" w:eastAsia="宋体" w:cs="宋体"/>
                <w:sz w:val="22"/>
                <w:lang w:val="en-US" w:eastAsia="zh-CN"/>
              </w:rPr>
              <w:t>项目</w:t>
            </w:r>
          </w:p>
        </w:tc>
        <w:tc>
          <w:tcPr>
            <w:tcW w:w="1283" w:type="dxa"/>
            <w:tcBorders>
              <w:top w:val="single" w:color="000000" w:sz="8" w:space="0"/>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val="en-US" w:eastAsia="zh-CN"/>
              </w:rPr>
            </w:pPr>
            <w:r>
              <w:rPr>
                <w:rFonts w:hint="eastAsia" w:ascii="宋体" w:hAnsi="宋体" w:eastAsia="宋体" w:cs="宋体"/>
                <w:sz w:val="22"/>
                <w:lang w:val="en-US" w:eastAsia="zh-CN"/>
              </w:rPr>
              <w:t>面积</w:t>
            </w:r>
          </w:p>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sz w:val="22"/>
                <w:lang w:val="en-US" w:eastAsia="zh-CN"/>
              </w:rPr>
              <w:t>（平方米）</w:t>
            </w:r>
          </w:p>
        </w:tc>
        <w:tc>
          <w:tcPr>
            <w:tcW w:w="817" w:type="dxa"/>
            <w:tcBorders>
              <w:top w:val="single" w:color="000000" w:sz="8" w:space="0"/>
              <w:left w:val="nil"/>
              <w:bottom w:val="single" w:color="000000" w:sz="8" w:space="0"/>
              <w:right w:val="single" w:color="000000" w:sz="8" w:space="0"/>
            </w:tcBorders>
            <w:shd w:val="clear" w:color="auto" w:fill="auto"/>
            <w:vAlign w:val="center"/>
          </w:tcPr>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sz w:val="22"/>
                <w:lang w:val="en-US" w:eastAsia="zh-CN"/>
              </w:rPr>
              <w:t>次数（次）</w:t>
            </w:r>
          </w:p>
        </w:tc>
        <w:tc>
          <w:tcPr>
            <w:tcW w:w="1294" w:type="dxa"/>
            <w:tcBorders>
              <w:top w:val="single" w:color="000000" w:sz="8" w:space="0"/>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r>
              <w:rPr>
                <w:rFonts w:hint="eastAsia" w:ascii="宋体" w:hAnsi="宋体" w:eastAsia="宋体" w:cs="宋体"/>
                <w:sz w:val="22"/>
                <w:lang w:val="en-US" w:eastAsia="zh-CN"/>
              </w:rPr>
              <w:t>单次费用（元）</w:t>
            </w:r>
          </w:p>
        </w:tc>
        <w:tc>
          <w:tcPr>
            <w:tcW w:w="1206" w:type="dxa"/>
            <w:tcBorders>
              <w:top w:val="single" w:color="000000" w:sz="8" w:space="0"/>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r>
              <w:rPr>
                <w:rFonts w:hint="eastAsia" w:ascii="宋体" w:hAnsi="宋体" w:eastAsia="宋体" w:cs="宋体"/>
                <w:sz w:val="22"/>
                <w:lang w:val="en-US" w:eastAsia="zh-CN"/>
              </w:rPr>
              <w:t>年度费用（元）</w:t>
            </w:r>
          </w:p>
        </w:tc>
        <w:tc>
          <w:tcPr>
            <w:tcW w:w="1196" w:type="dxa"/>
            <w:tcBorders>
              <w:top w:val="single" w:color="000000" w:sz="8" w:space="0"/>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r>
              <w:rPr>
                <w:rFonts w:hint="eastAsia" w:ascii="宋体" w:hAnsi="宋体" w:eastAsia="宋体" w:cs="宋体"/>
                <w:sz w:val="22"/>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3" w:hRule="atLeast"/>
        </w:trPr>
        <w:tc>
          <w:tcPr>
            <w:tcW w:w="550" w:type="dxa"/>
            <w:tcBorders>
              <w:top w:val="nil"/>
              <w:left w:val="single" w:color="000000" w:sz="8" w:space="0"/>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val="en-US" w:eastAsia="zh-CN"/>
              </w:rPr>
            </w:pPr>
          </w:p>
          <w:p>
            <w:pPr>
              <w:pStyle w:val="6"/>
              <w:ind w:firstLine="0" w:firstLineChars="0"/>
              <w:jc w:val="center"/>
              <w:rPr>
                <w:rFonts w:hint="eastAsia" w:ascii="宋体" w:hAnsi="宋体" w:eastAsia="宋体" w:cs="宋体"/>
                <w:sz w:val="22"/>
                <w:lang w:val="en-US" w:eastAsia="zh-CN"/>
              </w:rPr>
            </w:pPr>
            <w:r>
              <w:rPr>
                <w:rFonts w:hint="eastAsia" w:ascii="宋体" w:hAnsi="宋体" w:eastAsia="宋体" w:cs="宋体"/>
                <w:sz w:val="22"/>
                <w:lang w:val="en-US" w:eastAsia="zh-CN"/>
              </w:rPr>
              <w:t>1</w:t>
            </w:r>
          </w:p>
        </w:tc>
        <w:tc>
          <w:tcPr>
            <w:tcW w:w="773"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val="en-US" w:eastAsia="zh-CN"/>
              </w:rPr>
            </w:pPr>
            <w:r>
              <w:rPr>
                <w:rFonts w:hint="eastAsia" w:ascii="宋体" w:hAnsi="宋体" w:eastAsia="宋体" w:cs="宋体"/>
                <w:sz w:val="22"/>
                <w:lang w:val="en-US" w:eastAsia="zh-CN"/>
              </w:rPr>
              <w:t>四害消杀</w:t>
            </w:r>
          </w:p>
        </w:tc>
        <w:tc>
          <w:tcPr>
            <w:tcW w:w="1283"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b w:val="0"/>
                <w:bCs/>
                <w:sz w:val="24"/>
                <w:szCs w:val="40"/>
                <w:lang w:eastAsia="zh-CN"/>
              </w:rPr>
              <w:t xml:space="preserve">4107.86 </w:t>
            </w:r>
          </w:p>
        </w:tc>
        <w:tc>
          <w:tcPr>
            <w:tcW w:w="817"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sz w:val="22"/>
                <w:lang w:val="en-US" w:eastAsia="zh-CN"/>
              </w:rPr>
              <w:t>12</w:t>
            </w:r>
          </w:p>
        </w:tc>
        <w:tc>
          <w:tcPr>
            <w:tcW w:w="1294"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sz w:val="22"/>
                <w:lang w:val="en-US" w:eastAsia="zh-CN"/>
              </w:rPr>
              <w:t>590</w:t>
            </w:r>
          </w:p>
        </w:tc>
        <w:tc>
          <w:tcPr>
            <w:tcW w:w="1206"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sz w:val="22"/>
                <w:lang w:val="en-US" w:eastAsia="zh-CN"/>
              </w:rPr>
              <w:t>7080</w:t>
            </w:r>
          </w:p>
        </w:tc>
        <w:tc>
          <w:tcPr>
            <w:tcW w:w="1196"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default" w:ascii="宋体" w:hAnsi="宋体" w:eastAsia="宋体" w:cs="宋体"/>
                <w:sz w:val="22"/>
                <w:lang w:val="en-US" w:eastAsia="zh-CN"/>
              </w:rPr>
            </w:pPr>
            <w:r>
              <w:rPr>
                <w:rFonts w:hint="eastAsia" w:ascii="宋体" w:hAnsi="宋体" w:eastAsia="宋体" w:cs="宋体"/>
                <w:sz w:val="22"/>
                <w:lang w:val="en-US" w:eastAsia="zh-CN"/>
              </w:rPr>
              <w:t>频次：每月一次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3" w:hRule="atLeast"/>
        </w:trPr>
        <w:tc>
          <w:tcPr>
            <w:tcW w:w="1323" w:type="dxa"/>
            <w:gridSpan w:val="2"/>
            <w:tcBorders>
              <w:top w:val="nil"/>
              <w:left w:val="single" w:color="000000" w:sz="8" w:space="0"/>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r>
              <w:rPr>
                <w:rFonts w:hint="eastAsia" w:ascii="宋体" w:hAnsi="宋体" w:eastAsia="宋体" w:cs="宋体"/>
                <w:sz w:val="22"/>
                <w:lang w:val="en-US" w:eastAsia="zh-CN"/>
              </w:rPr>
              <w:t>小计</w:t>
            </w:r>
          </w:p>
        </w:tc>
        <w:tc>
          <w:tcPr>
            <w:tcW w:w="1283"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val="en-US" w:eastAsia="zh-CN"/>
              </w:rPr>
            </w:pPr>
          </w:p>
        </w:tc>
        <w:tc>
          <w:tcPr>
            <w:tcW w:w="817"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p>
        </w:tc>
        <w:tc>
          <w:tcPr>
            <w:tcW w:w="1294"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eastAsia="zh-CN"/>
              </w:rPr>
            </w:pPr>
          </w:p>
        </w:tc>
        <w:tc>
          <w:tcPr>
            <w:tcW w:w="1206" w:type="dxa"/>
            <w:tcBorders>
              <w:top w:val="nil"/>
              <w:left w:val="nil"/>
              <w:bottom w:val="single" w:color="000000" w:sz="8" w:space="0"/>
              <w:right w:val="single" w:color="000000" w:sz="8" w:space="0"/>
            </w:tcBorders>
            <w:shd w:val="clear" w:color="auto" w:fill="auto"/>
            <w:vAlign w:val="center"/>
          </w:tcPr>
          <w:p>
            <w:pPr>
              <w:pStyle w:val="6"/>
              <w:ind w:firstLine="0" w:firstLineChars="0"/>
              <w:jc w:val="center"/>
              <w:rPr>
                <w:rFonts w:hint="eastAsia" w:ascii="宋体" w:hAnsi="宋体" w:eastAsia="宋体" w:cs="宋体"/>
                <w:sz w:val="22"/>
                <w:lang w:val="en-US" w:eastAsia="zh-CN"/>
              </w:rPr>
            </w:pPr>
            <w:r>
              <w:rPr>
                <w:rFonts w:hint="eastAsia" w:ascii="宋体" w:hAnsi="宋体" w:eastAsia="宋体" w:cs="宋体"/>
                <w:sz w:val="22"/>
                <w:lang w:val="en-US" w:eastAsia="zh-CN"/>
              </w:rPr>
              <w:t xml:space="preserve"> 7080</w:t>
            </w:r>
          </w:p>
        </w:tc>
        <w:tc>
          <w:tcPr>
            <w:tcW w:w="1196" w:type="dxa"/>
            <w:tcBorders>
              <w:top w:val="nil"/>
              <w:left w:val="nil"/>
              <w:bottom w:val="single" w:color="000000" w:sz="8" w:space="0"/>
              <w:right w:val="single" w:color="000000" w:sz="8" w:space="0"/>
            </w:tcBorders>
            <w:shd w:val="clear" w:color="auto" w:fill="auto"/>
            <w:noWrap/>
            <w:vAlign w:val="center"/>
          </w:tcPr>
          <w:p>
            <w:pPr>
              <w:pStyle w:val="6"/>
              <w:ind w:firstLine="0" w:firstLineChars="0"/>
              <w:jc w:val="center"/>
              <w:rPr>
                <w:rFonts w:hint="eastAsia" w:ascii="宋体" w:hAnsi="宋体" w:eastAsia="宋体" w:cs="宋体"/>
                <w:sz w:val="22"/>
                <w:lang w:eastAsia="zh-CN"/>
              </w:rPr>
            </w:pPr>
          </w:p>
        </w:tc>
      </w:tr>
    </w:tbl>
    <w:p>
      <w:pPr>
        <w:pStyle w:val="2"/>
        <w:numPr>
          <w:ilvl w:val="0"/>
          <w:numId w:val="0"/>
        </w:numPr>
        <w:tabs>
          <w:tab w:val="left" w:pos="7860"/>
        </w:tabs>
        <w:spacing w:before="0" w:after="0"/>
        <w:ind w:firstLine="482" w:firstLineChars="200"/>
        <w:rPr>
          <w:rFonts w:hint="eastAsia" w:ascii="宋体" w:hAnsi="宋体" w:cs="宋体"/>
          <w:b/>
          <w:bCs/>
          <w:color w:val="auto"/>
          <w:kern w:val="44"/>
          <w:sz w:val="24"/>
          <w:szCs w:val="24"/>
          <w:lang w:val="en-US" w:eastAsia="zh-CN" w:bidi="ar-SA"/>
        </w:rPr>
      </w:pPr>
    </w:p>
    <w:p>
      <w:pPr>
        <w:pStyle w:val="2"/>
        <w:numPr>
          <w:ilvl w:val="0"/>
          <w:numId w:val="0"/>
        </w:numPr>
        <w:tabs>
          <w:tab w:val="left" w:pos="7860"/>
        </w:tabs>
        <w:spacing w:before="0" w:after="0"/>
        <w:ind w:firstLine="482" w:firstLineChars="200"/>
        <w:rPr>
          <w:rFonts w:hint="eastAsia" w:ascii="宋体" w:hAnsi="宋体" w:cs="宋体"/>
          <w:b/>
          <w:bCs/>
          <w:color w:val="auto"/>
          <w:kern w:val="44"/>
          <w:sz w:val="24"/>
          <w:szCs w:val="24"/>
          <w:lang w:val="en-US" w:eastAsia="zh-CN" w:bidi="ar-SA"/>
        </w:rPr>
      </w:pPr>
    </w:p>
    <w:p>
      <w:pPr>
        <w:pStyle w:val="2"/>
        <w:numPr>
          <w:ilvl w:val="0"/>
          <w:numId w:val="0"/>
        </w:numPr>
        <w:tabs>
          <w:tab w:val="left" w:pos="7860"/>
        </w:tabs>
        <w:spacing w:before="0" w:after="0"/>
        <w:ind w:firstLine="482" w:firstLineChars="200"/>
        <w:rPr>
          <w:rFonts w:hint="eastAsia" w:ascii="宋体" w:hAnsi="宋体" w:eastAsia="宋体" w:cs="宋体"/>
          <w:sz w:val="24"/>
          <w:lang w:val="en-US" w:eastAsia="zh-CN"/>
        </w:rPr>
      </w:pPr>
      <w:r>
        <w:rPr>
          <w:rFonts w:hint="eastAsia" w:ascii="宋体" w:hAnsi="宋体" w:cs="宋体"/>
          <w:b/>
          <w:bCs/>
          <w:color w:val="auto"/>
          <w:kern w:val="44"/>
          <w:sz w:val="24"/>
          <w:szCs w:val="24"/>
          <w:lang w:val="en-US" w:eastAsia="zh-CN" w:bidi="ar-SA"/>
        </w:rPr>
        <w:t>四、四害消杀主要工作内容</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乙方应在签订合同后7日内提交全年除“四害”防治实施方案，经甲方同意后实施；每月2日前提供前月的检测报告和当月防治计划书；建立 “四害”防治技术档案，每月提交甲方存档，乙方负责将每次处理记录在处理完成后3个工作日报告甲方。</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乙方定期对鼠、蟑螂、白蚁、夏季对蚊、蝇等进行灭杀（包括不限于：地下室、天台、外围，通道楼梯、管道井、垃圾房等防治区域）。乙方在接获甲方突发性虫害报事后，必须在12小时内到达现场，24小时内提供治理措施计划</w:t>
      </w:r>
      <w:r>
        <w:rPr>
          <w:rFonts w:hint="eastAsia" w:ascii="宋体" w:hAnsi="宋体" w:eastAsia="宋体" w:cs="宋体"/>
          <w:sz w:val="24"/>
          <w:lang w:val="en-US" w:eastAsia="zh-CN"/>
        </w:rPr>
        <w:t xml:space="preserve">或实施灭杀，并保持持续的跟踪处理。  </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3、工作方法及验收标准：</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乙方应保证合同区域内的虫害危害不超过如下标准：该标准以危害投诉（ 业主第一次报事为虫害报告，第一次报事经处理未处理好，1周内业主再次报事则为危害投诉）为据，同一项目，每月不超过2件；所有项目，全年不超过15件。</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3.1灭鼠控制标准和要求：</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3.1.1灭鼠合格标准：主要根据具体环境设置毒饵投放点（下水道、围墙边、绿化带、管道井、屋面、楼道、设备机房、宿舍、垃圾房、”四害”消杀防治带内等），放置或更换毒饵进行诱杀（现场有对应记录），餐饮区须使用物理方式杀灭。若采用粉迹法，原则上1次/季度，一夜后阳性粉块≤3%【每布100块粉板，一夜后粉板上有鼠迹或鼠脚印的粉板，在有效粉板中不超过3%】；鼠征法≤2%【指，室内：每15㎡计为一个房间，有鼠洞、鼠粪、鼠咬痕等鼠迹的房间不超过2%；室外：检查不同类型的外环境2000平方米，鼠迹不超过2处】，原则上1次/月。每月底由甲乙双方共同检查验收，并出具经双方人员签字认可的服务结果的验收证明。</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3.2灭蚊控制标准和要求：</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3.2.1用机动喷雾器（汽油机）向道路两旁和人员经常滞留区域喷洒“环境卫生杀虫剂” 溶液（按1：50或1：100比例配置）。</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3.2.2内外环境各种存水容器和水体中，蚊幼及蛹的阳性率不超过3%。</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特殊场所白天人诱蚊30分钟，平均每人.次诱获成蚊数不超过1只。</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3.3灭蝇控制标准和要求：</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防治区域内的重点区域（副食店、餐饮店、垃圾场等室外公共区域）有蝇房间不超过1%。</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3.3.1其他区域有蝇房间不超过3%，阳性间平均蝇只数不超过3只。</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3.3.2加工、销售直接入口食品的场所不得有蝇。</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3.3.3蝇类孽生场所得到有效控制和治理，幼虫和蛹的检出率不超过3%。</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3.3.4每年3月～10月，乙方对商业和外接项目物业公共区域的灭蝇效果若不能达到合同约定的标准，乙方须增加频次现场进行超低容量的灭蝇药物的喷雾或喷洒，直至达到约定的验收标准。</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3.4蟑螂控制标准：</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3.4.1主要在蟑螂经常出没的地方投放胃毒剂或灭蟑胶饵进行诱杀。</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3.4.2防治区域内有蟑螂成虫和若虫阳性房间不超过3%，有蟑螂房间平均大蠊不超过5只，小蠊不超过10只。</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3.4.3有活蟑螂卵鞘房间不超过3%，平均每阳性房间不超过4只。</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3.4.4有蟑螂粪便、蜕皮、残肢、蟑尸等蟑迹的房间不超过5只。</w:t>
      </w:r>
    </w:p>
    <w:p>
      <w:pPr>
        <w:pStyle w:val="6"/>
        <w:bidi w:val="0"/>
        <w:spacing w:line="360" w:lineRule="auto"/>
        <w:ind w:firstLine="0" w:firstLineChars="0"/>
        <w:jc w:val="both"/>
        <w:rPr>
          <w:rFonts w:hint="eastAsia" w:ascii="宋体" w:hAnsi="宋体" w:eastAsia="宋体" w:cs="宋体"/>
          <w:b/>
          <w:bCs/>
          <w:sz w:val="24"/>
          <w:lang w:eastAsia="zh-CN"/>
        </w:rPr>
      </w:pPr>
      <w:r>
        <w:rPr>
          <w:rFonts w:hint="eastAsia" w:ascii="宋体" w:hAnsi="宋体" w:eastAsia="宋体" w:cs="宋体"/>
          <w:b/>
          <w:bCs/>
          <w:sz w:val="24"/>
          <w:lang w:eastAsia="zh-CN"/>
        </w:rPr>
        <w:t>五、人员及管理要求</w:t>
      </w:r>
    </w:p>
    <w:p>
      <w:pPr>
        <w:pStyle w:val="6"/>
        <w:bidi w:val="0"/>
        <w:spacing w:line="360" w:lineRule="auto"/>
        <w:ind w:firstLine="480" w:firstLineChars="200"/>
        <w:jc w:val="both"/>
        <w:rPr>
          <w:rFonts w:hint="eastAsia" w:ascii="宋体" w:hAnsi="宋体" w:eastAsia="宋体" w:cs="宋体"/>
          <w:sz w:val="24"/>
          <w:lang w:eastAsia="zh-CN"/>
        </w:rPr>
      </w:pPr>
      <w:r>
        <w:rPr>
          <w:rFonts w:hint="eastAsia" w:ascii="宋体" w:hAnsi="宋体" w:eastAsia="宋体" w:cs="宋体"/>
          <w:sz w:val="24"/>
          <w:lang w:eastAsia="zh-CN"/>
        </w:rPr>
        <w:t>1、服务人员身体健康，形象良好，无吸毒史、无纹身，服务期间不得出现酗酒、打架斗殴、发生争吵等不文明行为，服从招标人及现场管理。</w:t>
      </w:r>
    </w:p>
    <w:p>
      <w:pPr>
        <w:pStyle w:val="6"/>
        <w:bidi w:val="0"/>
        <w:spacing w:line="360" w:lineRule="auto"/>
        <w:ind w:firstLine="480" w:firstLineChars="200"/>
        <w:jc w:val="both"/>
        <w:rPr>
          <w:rFonts w:hint="eastAsia" w:ascii="宋体" w:hAnsi="宋体" w:eastAsia="宋体" w:cs="宋体"/>
          <w:sz w:val="24"/>
          <w:lang w:eastAsia="zh-CN"/>
        </w:rPr>
      </w:pPr>
      <w:r>
        <w:rPr>
          <w:rFonts w:hint="eastAsia" w:ascii="宋体" w:hAnsi="宋体" w:eastAsia="宋体" w:cs="宋体"/>
          <w:sz w:val="24"/>
          <w:lang w:eastAsia="zh-CN"/>
        </w:rPr>
        <w:t>2、中标人需为服务人员购买社保或意外险/商业险，且由中标人承担用工的所有风险（不仅限于工伤、解雇风险等）。</w:t>
      </w:r>
    </w:p>
    <w:p>
      <w:pPr>
        <w:pStyle w:val="6"/>
        <w:bidi w:val="0"/>
        <w:spacing w:line="360" w:lineRule="auto"/>
        <w:ind w:firstLine="0" w:firstLineChars="0"/>
        <w:jc w:val="both"/>
        <w:rPr>
          <w:rFonts w:hint="eastAsia" w:ascii="宋体" w:hAnsi="宋体" w:eastAsia="宋体" w:cs="宋体"/>
          <w:b/>
          <w:bCs/>
          <w:sz w:val="24"/>
          <w:lang w:eastAsia="zh-CN"/>
        </w:rPr>
      </w:pPr>
      <w:r>
        <w:rPr>
          <w:rFonts w:hint="eastAsia" w:ascii="宋体" w:hAnsi="宋体" w:eastAsia="宋体" w:cs="宋体"/>
          <w:b/>
          <w:bCs/>
          <w:sz w:val="24"/>
          <w:lang w:val="en-US" w:eastAsia="zh-CN"/>
        </w:rPr>
        <w:t>七、</w:t>
      </w:r>
      <w:r>
        <w:rPr>
          <w:rFonts w:hint="eastAsia" w:ascii="宋体" w:hAnsi="宋体" w:eastAsia="宋体" w:cs="宋体"/>
          <w:b/>
          <w:bCs/>
          <w:sz w:val="24"/>
          <w:lang w:eastAsia="zh-CN"/>
        </w:rPr>
        <w:t>服务结算考核和服务不当费用扣减</w:t>
      </w:r>
    </w:p>
    <w:p>
      <w:pPr>
        <w:pStyle w:val="6"/>
        <w:bidi w:val="0"/>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eastAsia="zh-CN"/>
        </w:rPr>
        <w:t>服务完成后，招标人按《</w:t>
      </w:r>
      <w:r>
        <w:rPr>
          <w:rFonts w:hint="eastAsia" w:ascii="宋体" w:hAnsi="宋体" w:eastAsia="宋体" w:cs="宋体"/>
          <w:sz w:val="24"/>
          <w:lang w:val="en-US" w:eastAsia="zh-CN"/>
        </w:rPr>
        <w:t>四害消杀考核表</w:t>
      </w:r>
      <w:r>
        <w:rPr>
          <w:rFonts w:hint="eastAsia" w:ascii="宋体" w:hAnsi="宋体" w:eastAsia="宋体" w:cs="宋体"/>
          <w:sz w:val="24"/>
          <w:lang w:eastAsia="zh-CN"/>
        </w:rPr>
        <w:t>》对中标人服务进行评价，各项目</w:t>
      </w:r>
      <w:r>
        <w:rPr>
          <w:rFonts w:hint="eastAsia" w:ascii="宋体" w:hAnsi="宋体" w:eastAsia="宋体" w:cs="宋体"/>
          <w:sz w:val="24"/>
          <w:lang w:val="en-US" w:eastAsia="zh-CN"/>
        </w:rPr>
        <w:t>按时分别</w:t>
      </w:r>
      <w:r>
        <w:rPr>
          <w:rFonts w:hint="eastAsia" w:ascii="宋体" w:hAnsi="宋体" w:eastAsia="宋体" w:cs="宋体"/>
          <w:sz w:val="24"/>
          <w:lang w:eastAsia="zh-CN"/>
        </w:rPr>
        <w:t>在相应得分框内填写得分，如有扣分项或扣款项需说明情况和理由，</w:t>
      </w:r>
      <w:r>
        <w:rPr>
          <w:rFonts w:hint="eastAsia" w:ascii="宋体" w:hAnsi="宋体" w:eastAsia="宋体" w:cs="宋体"/>
          <w:sz w:val="24"/>
          <w:lang w:val="en-US" w:eastAsia="zh-CN"/>
        </w:rPr>
        <w:t>最终根考核分数及实际服务次数结算。</w:t>
      </w:r>
    </w:p>
    <w:p>
      <w:pPr>
        <w:pStyle w:val="6"/>
        <w:bidi w:val="0"/>
        <w:spacing w:line="360" w:lineRule="auto"/>
        <w:ind w:firstLine="480" w:firstLineChars="200"/>
        <w:jc w:val="both"/>
      </w:pPr>
      <w:r>
        <w:rPr>
          <w:rFonts w:hint="eastAsia" w:ascii="宋体" w:hAnsi="宋体" w:eastAsia="宋体" w:cs="宋体"/>
          <w:sz w:val="24"/>
          <w:lang w:val="en-US" w:eastAsia="zh-CN"/>
        </w:rPr>
        <w:t>为进一步提升服务品质，由甲方依据本考核办法对乙方各方面工作情况进行月度考核，实行扣分制，满分为100分，评分 ≥90分以上为合格，甲方将按时全额结算费用，若低于90分，除对扣分项要求立即整改外，甲方将按300元/分在当月服务费中扣罚，扣罚基数从90分开始计算，80≤评分＜90分为一般，70分≤评分＜80分为服务不达标，甲方将按500元/分在当月服务费用中扣罚，评分＜70分为严重不合格，暂缓支付当月服务费用。若得分连续3个月低于70分，甲方将有权单方面终止合同。</w:t>
      </w:r>
    </w:p>
    <w:tbl>
      <w:tblPr>
        <w:tblStyle w:val="16"/>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95"/>
        <w:gridCol w:w="919"/>
        <w:gridCol w:w="414"/>
        <w:gridCol w:w="1583"/>
        <w:gridCol w:w="1134"/>
        <w:gridCol w:w="683"/>
        <w:gridCol w:w="1833"/>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8537" w:type="dxa"/>
            <w:gridSpan w:val="8"/>
            <w:tcMar>
              <w:top w:w="60" w:type="dxa"/>
              <w:left w:w="120" w:type="dxa"/>
              <w:bottom w:w="30" w:type="dxa"/>
              <w:right w:w="120" w:type="dxa"/>
            </w:tcMar>
            <w:vAlign w:val="top"/>
          </w:tcPr>
          <w:p>
            <w:pPr>
              <w:pStyle w:val="6"/>
              <w:ind w:firstLine="0" w:firstLineChars="0"/>
              <w:jc w:val="center"/>
              <w:rPr>
                <w:rFonts w:hint="default" w:eastAsia="等线"/>
                <w:lang w:val="en-US" w:eastAsia="zh-CN"/>
              </w:rPr>
            </w:pPr>
            <w:r>
              <w:rPr>
                <w:rFonts w:hint="eastAsia"/>
                <w:lang w:val="en-US" w:eastAsia="zh-CN"/>
              </w:rPr>
              <w:t>四害消杀考核明细表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90" w:hRule="atLeast"/>
        </w:trPr>
        <w:tc>
          <w:tcPr>
            <w:tcW w:w="2114" w:type="dxa"/>
            <w:gridSpan w:val="2"/>
            <w:tcMar>
              <w:top w:w="60" w:type="dxa"/>
              <w:left w:w="120" w:type="dxa"/>
              <w:bottom w:w="30" w:type="dxa"/>
              <w:right w:w="120" w:type="dxa"/>
            </w:tcMar>
            <w:vAlign w:val="top"/>
          </w:tcPr>
          <w:p>
            <w:pPr>
              <w:pStyle w:val="6"/>
              <w:ind w:firstLine="0" w:firstLineChars="0"/>
              <w:jc w:val="center"/>
              <w:rPr>
                <w:rFonts w:hint="eastAsia"/>
                <w:lang w:val="en-US" w:eastAsia="zh-CN"/>
              </w:rPr>
            </w:pPr>
            <w:r>
              <w:rPr>
                <w:rFonts w:hint="eastAsia"/>
                <w:lang w:val="en-US" w:eastAsia="zh-CN"/>
              </w:rPr>
              <w:t>所属项目部/片区</w:t>
            </w:r>
          </w:p>
        </w:tc>
        <w:tc>
          <w:tcPr>
            <w:tcW w:w="1997" w:type="dxa"/>
            <w:gridSpan w:val="2"/>
            <w:tcMar>
              <w:top w:w="60" w:type="dxa"/>
              <w:left w:w="120" w:type="dxa"/>
              <w:bottom w:w="30" w:type="dxa"/>
              <w:right w:w="120" w:type="dxa"/>
            </w:tcMar>
            <w:vAlign w:val="top"/>
          </w:tcPr>
          <w:p>
            <w:pPr>
              <w:pStyle w:val="6"/>
              <w:ind w:firstLine="0" w:firstLineChars="0"/>
              <w:jc w:val="center"/>
              <w:rPr>
                <w:rFonts w:hint="eastAsia"/>
                <w:lang w:val="en-US" w:eastAsia="zh-CN"/>
              </w:rPr>
            </w:pPr>
          </w:p>
        </w:tc>
        <w:tc>
          <w:tcPr>
            <w:tcW w:w="1817" w:type="dxa"/>
            <w:gridSpan w:val="2"/>
            <w:tcMar>
              <w:top w:w="60" w:type="dxa"/>
              <w:left w:w="120" w:type="dxa"/>
              <w:bottom w:w="30" w:type="dxa"/>
              <w:right w:w="120" w:type="dxa"/>
            </w:tcMar>
            <w:vAlign w:val="top"/>
          </w:tcPr>
          <w:p>
            <w:pPr>
              <w:pStyle w:val="6"/>
              <w:ind w:firstLine="0" w:firstLineChars="0"/>
              <w:jc w:val="center"/>
              <w:rPr>
                <w:rFonts w:hint="eastAsia"/>
                <w:lang w:val="en-US" w:eastAsia="zh-CN"/>
              </w:rPr>
            </w:pPr>
            <w:r>
              <w:rPr>
                <w:rFonts w:hint="eastAsia"/>
                <w:lang w:val="en-US" w:eastAsia="zh-CN"/>
              </w:rPr>
              <w:t>供应商名称</w:t>
            </w:r>
          </w:p>
        </w:tc>
        <w:tc>
          <w:tcPr>
            <w:tcW w:w="2609" w:type="dxa"/>
            <w:gridSpan w:val="2"/>
            <w:tcMar>
              <w:top w:w="60" w:type="dxa"/>
              <w:left w:w="120" w:type="dxa"/>
              <w:bottom w:w="30" w:type="dxa"/>
              <w:right w:w="120" w:type="dxa"/>
            </w:tcMar>
            <w:vAlign w:val="top"/>
          </w:tcPr>
          <w:p>
            <w:pPr>
              <w:pStyle w:val="6"/>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tcMar>
              <w:top w:w="60" w:type="dxa"/>
              <w:left w:w="120" w:type="dxa"/>
              <w:bottom w:w="30" w:type="dxa"/>
              <w:right w:w="120" w:type="dxa"/>
            </w:tcMar>
          </w:tcPr>
          <w:p>
            <w:pPr>
              <w:pStyle w:val="39"/>
            </w:pPr>
            <w:r>
              <w:t>考核大类</w:t>
            </w:r>
          </w:p>
        </w:tc>
        <w:tc>
          <w:tcPr>
            <w:tcW w:w="1333" w:type="dxa"/>
            <w:gridSpan w:val="2"/>
            <w:tcMar>
              <w:top w:w="60" w:type="dxa"/>
              <w:left w:w="120" w:type="dxa"/>
              <w:bottom w:w="30" w:type="dxa"/>
              <w:right w:w="120" w:type="dxa"/>
            </w:tcMar>
          </w:tcPr>
          <w:p>
            <w:pPr>
              <w:pStyle w:val="39"/>
            </w:pPr>
            <w:r>
              <w:t>考核项目</w:t>
            </w:r>
          </w:p>
        </w:tc>
        <w:tc>
          <w:tcPr>
            <w:tcW w:w="2717" w:type="dxa"/>
            <w:gridSpan w:val="2"/>
            <w:tcMar>
              <w:top w:w="60" w:type="dxa"/>
              <w:left w:w="120" w:type="dxa"/>
              <w:bottom w:w="30" w:type="dxa"/>
              <w:right w:w="120" w:type="dxa"/>
            </w:tcMar>
          </w:tcPr>
          <w:p>
            <w:pPr>
              <w:pStyle w:val="39"/>
            </w:pPr>
            <w:r>
              <w:t>考核标准</w:t>
            </w:r>
          </w:p>
        </w:tc>
        <w:tc>
          <w:tcPr>
            <w:tcW w:w="2516" w:type="dxa"/>
            <w:gridSpan w:val="2"/>
            <w:tcMar>
              <w:top w:w="60" w:type="dxa"/>
              <w:left w:w="120" w:type="dxa"/>
              <w:bottom w:w="30" w:type="dxa"/>
              <w:right w:w="120" w:type="dxa"/>
            </w:tcMar>
          </w:tcPr>
          <w:p>
            <w:pPr>
              <w:pStyle w:val="39"/>
            </w:pPr>
            <w:r>
              <w:t>扣分说明</w:t>
            </w:r>
          </w:p>
        </w:tc>
        <w:tc>
          <w:tcPr>
            <w:tcW w:w="776" w:type="dxa"/>
            <w:tcMar>
              <w:top w:w="60" w:type="dxa"/>
              <w:left w:w="120" w:type="dxa"/>
              <w:bottom w:w="30" w:type="dxa"/>
              <w:right w:w="120" w:type="dxa"/>
            </w:tcMar>
          </w:tcPr>
          <w:p>
            <w:pPr>
              <w:pStyle w:val="39"/>
            </w:pPr>
            <w: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276" w:hRule="atLeast"/>
        </w:trPr>
        <w:tc>
          <w:tcPr>
            <w:tcW w:w="1195" w:type="dxa"/>
            <w:vMerge w:val="restart"/>
            <w:tcMar>
              <w:top w:w="60" w:type="dxa"/>
              <w:left w:w="120" w:type="dxa"/>
              <w:bottom w:w="30" w:type="dxa"/>
              <w:right w:w="120" w:type="dxa"/>
            </w:tcMar>
            <w:vAlign w:val="center"/>
          </w:tcPr>
          <w:p>
            <w:pPr>
              <w:pStyle w:val="39"/>
              <w:jc w:val="center"/>
            </w:pPr>
            <w:r>
              <w:t>一、基础信息考核（10 分）</w:t>
            </w:r>
          </w:p>
        </w:tc>
        <w:tc>
          <w:tcPr>
            <w:tcW w:w="1333" w:type="dxa"/>
            <w:gridSpan w:val="2"/>
            <w:tcMar>
              <w:top w:w="60" w:type="dxa"/>
              <w:left w:w="120" w:type="dxa"/>
              <w:bottom w:w="30" w:type="dxa"/>
              <w:right w:w="120" w:type="dxa"/>
            </w:tcMar>
            <w:vAlign w:val="center"/>
          </w:tcPr>
          <w:p>
            <w:pPr>
              <w:pStyle w:val="39"/>
              <w:jc w:val="center"/>
            </w:pPr>
            <w:r>
              <w:t>消杀方案完整性</w:t>
            </w:r>
          </w:p>
        </w:tc>
        <w:tc>
          <w:tcPr>
            <w:tcW w:w="2717" w:type="dxa"/>
            <w:gridSpan w:val="2"/>
            <w:tcMar>
              <w:top w:w="60" w:type="dxa"/>
              <w:left w:w="120" w:type="dxa"/>
              <w:bottom w:w="30" w:type="dxa"/>
              <w:right w:w="120" w:type="dxa"/>
            </w:tcMar>
          </w:tcPr>
          <w:p>
            <w:pPr>
              <w:pStyle w:val="39"/>
            </w:pPr>
            <w:r>
              <w:t>具备针对性的四害消杀方案，明确消杀范围、频次、药物及方法</w:t>
            </w:r>
          </w:p>
        </w:tc>
        <w:tc>
          <w:tcPr>
            <w:tcW w:w="2516" w:type="dxa"/>
            <w:gridSpan w:val="2"/>
            <w:tcMar>
              <w:top w:w="60" w:type="dxa"/>
              <w:left w:w="120" w:type="dxa"/>
              <w:bottom w:w="30" w:type="dxa"/>
              <w:right w:w="120" w:type="dxa"/>
            </w:tcMar>
          </w:tcPr>
          <w:p>
            <w:pPr>
              <w:pStyle w:val="39"/>
            </w:pPr>
            <w:r>
              <w:t>方案缺失关键信息，每项扣 1 分；无方案得 0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109" w:hRule="atLeast"/>
        </w:trPr>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人员资质合规性</w:t>
            </w:r>
          </w:p>
        </w:tc>
        <w:tc>
          <w:tcPr>
            <w:tcW w:w="2717" w:type="dxa"/>
            <w:gridSpan w:val="2"/>
            <w:tcMar>
              <w:top w:w="60" w:type="dxa"/>
              <w:left w:w="120" w:type="dxa"/>
              <w:bottom w:w="30" w:type="dxa"/>
              <w:right w:w="120" w:type="dxa"/>
            </w:tcMar>
          </w:tcPr>
          <w:p>
            <w:pPr>
              <w:pStyle w:val="39"/>
            </w:pPr>
            <w:r>
              <w:t>消杀人员持有效从业资格证书，熟悉消杀流程及安全规范</w:t>
            </w:r>
          </w:p>
        </w:tc>
        <w:tc>
          <w:tcPr>
            <w:tcW w:w="2516" w:type="dxa"/>
            <w:gridSpan w:val="2"/>
            <w:tcMar>
              <w:top w:w="60" w:type="dxa"/>
              <w:left w:w="120" w:type="dxa"/>
              <w:bottom w:w="30" w:type="dxa"/>
              <w:right w:w="120" w:type="dxa"/>
            </w:tcMar>
          </w:tcPr>
          <w:p>
            <w:pPr>
              <w:pStyle w:val="39"/>
            </w:pPr>
            <w:r>
              <w:t>1 人无资质扣 2 分；人员不熟悉规范扣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025" w:hRule="atLeast"/>
        </w:trPr>
        <w:tc>
          <w:tcPr>
            <w:tcW w:w="1195" w:type="dxa"/>
            <w:vMerge w:val="restart"/>
            <w:tcMar>
              <w:top w:w="60" w:type="dxa"/>
              <w:left w:w="120" w:type="dxa"/>
              <w:bottom w:w="30" w:type="dxa"/>
              <w:right w:w="120" w:type="dxa"/>
            </w:tcMar>
            <w:vAlign w:val="center"/>
          </w:tcPr>
          <w:p>
            <w:pPr>
              <w:pStyle w:val="39"/>
              <w:jc w:val="center"/>
            </w:pPr>
            <w:r>
              <w:t>二、鼠类消杀考核（25 分）</w:t>
            </w:r>
          </w:p>
        </w:tc>
        <w:tc>
          <w:tcPr>
            <w:tcW w:w="1333" w:type="dxa"/>
            <w:gridSpan w:val="2"/>
            <w:tcMar>
              <w:top w:w="60" w:type="dxa"/>
              <w:left w:w="120" w:type="dxa"/>
              <w:bottom w:w="30" w:type="dxa"/>
              <w:right w:w="120" w:type="dxa"/>
            </w:tcMar>
            <w:vAlign w:val="center"/>
          </w:tcPr>
          <w:p>
            <w:pPr>
              <w:pStyle w:val="39"/>
              <w:jc w:val="center"/>
            </w:pPr>
            <w:r>
              <w:t>鼠迹排查情况</w:t>
            </w:r>
          </w:p>
        </w:tc>
        <w:tc>
          <w:tcPr>
            <w:tcW w:w="2717" w:type="dxa"/>
            <w:gridSpan w:val="2"/>
            <w:tcMar>
              <w:top w:w="60" w:type="dxa"/>
              <w:left w:w="120" w:type="dxa"/>
              <w:bottom w:w="30" w:type="dxa"/>
              <w:right w:w="120" w:type="dxa"/>
            </w:tcMar>
          </w:tcPr>
          <w:p>
            <w:pPr>
              <w:pStyle w:val="39"/>
            </w:pPr>
            <w:r>
              <w:t>重点区域（库房、厨房、垃圾站等）无鼠粪、鼠洞、鼠咬痕</w:t>
            </w:r>
          </w:p>
        </w:tc>
        <w:tc>
          <w:tcPr>
            <w:tcW w:w="2516" w:type="dxa"/>
            <w:gridSpan w:val="2"/>
            <w:tcMar>
              <w:top w:w="60" w:type="dxa"/>
              <w:left w:w="120" w:type="dxa"/>
              <w:bottom w:w="30" w:type="dxa"/>
              <w:right w:w="120" w:type="dxa"/>
            </w:tcMar>
          </w:tcPr>
          <w:p>
            <w:pPr>
              <w:pStyle w:val="39"/>
            </w:pPr>
            <w:r>
              <w:t>每发现 1 处鼠迹扣 2 分，扣完为止</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142" w:hRule="atLeast"/>
        </w:trPr>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防鼠设施配置</w:t>
            </w:r>
          </w:p>
        </w:tc>
        <w:tc>
          <w:tcPr>
            <w:tcW w:w="2717" w:type="dxa"/>
            <w:gridSpan w:val="2"/>
            <w:tcMar>
              <w:top w:w="60" w:type="dxa"/>
              <w:left w:w="120" w:type="dxa"/>
              <w:bottom w:w="30" w:type="dxa"/>
              <w:right w:w="120" w:type="dxa"/>
            </w:tcMar>
          </w:tcPr>
          <w:p>
            <w:pPr>
              <w:pStyle w:val="39"/>
            </w:pPr>
            <w:r>
              <w:t>门窗缝隙≤0.6cm，地漏、通风口装防鼠网，食品密封存放</w:t>
            </w:r>
          </w:p>
        </w:tc>
        <w:tc>
          <w:tcPr>
            <w:tcW w:w="2516" w:type="dxa"/>
            <w:gridSpan w:val="2"/>
            <w:tcMar>
              <w:top w:w="60" w:type="dxa"/>
              <w:left w:w="120" w:type="dxa"/>
              <w:bottom w:w="30" w:type="dxa"/>
              <w:right w:w="120" w:type="dxa"/>
            </w:tcMar>
          </w:tcPr>
          <w:p>
            <w:pPr>
              <w:pStyle w:val="39"/>
            </w:pPr>
            <w:r>
              <w:t>1 处设施不达标扣 1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消杀效果</w:t>
            </w:r>
          </w:p>
        </w:tc>
        <w:tc>
          <w:tcPr>
            <w:tcW w:w="2717" w:type="dxa"/>
            <w:gridSpan w:val="2"/>
            <w:tcMar>
              <w:top w:w="60" w:type="dxa"/>
              <w:left w:w="120" w:type="dxa"/>
              <w:bottom w:w="30" w:type="dxa"/>
              <w:right w:w="120" w:type="dxa"/>
            </w:tcMar>
          </w:tcPr>
          <w:p>
            <w:pPr>
              <w:pStyle w:val="39"/>
            </w:pPr>
            <w:r>
              <w:t>考核周期内鼠密度达标（按当地疾控标准），无鼠害投诉</w:t>
            </w:r>
          </w:p>
        </w:tc>
        <w:tc>
          <w:tcPr>
            <w:tcW w:w="2516" w:type="dxa"/>
            <w:gridSpan w:val="2"/>
            <w:tcMar>
              <w:top w:w="60" w:type="dxa"/>
              <w:left w:w="120" w:type="dxa"/>
              <w:bottom w:w="30" w:type="dxa"/>
              <w:right w:w="120" w:type="dxa"/>
            </w:tcMar>
          </w:tcPr>
          <w:p>
            <w:pPr>
              <w:pStyle w:val="39"/>
            </w:pPr>
            <w:r>
              <w:t>密度不达标扣 6 分；每有 1 次投诉扣 4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restart"/>
            <w:tcMar>
              <w:top w:w="60" w:type="dxa"/>
              <w:left w:w="120" w:type="dxa"/>
              <w:bottom w:w="30" w:type="dxa"/>
              <w:right w:w="120" w:type="dxa"/>
            </w:tcMar>
            <w:vAlign w:val="center"/>
          </w:tcPr>
          <w:p>
            <w:pPr>
              <w:pStyle w:val="39"/>
              <w:jc w:val="center"/>
            </w:pPr>
            <w:r>
              <w:t>三、蚊类消杀考核（2</w:t>
            </w:r>
            <w:r>
              <w:rPr>
                <w:rFonts w:hint="eastAsia"/>
                <w:lang w:val="en-US" w:eastAsia="zh-CN"/>
              </w:rPr>
              <w:t>5</w:t>
            </w:r>
            <w:r>
              <w:t>分）</w:t>
            </w:r>
          </w:p>
        </w:tc>
        <w:tc>
          <w:tcPr>
            <w:tcW w:w="1333" w:type="dxa"/>
            <w:gridSpan w:val="2"/>
            <w:tcMar>
              <w:top w:w="60" w:type="dxa"/>
              <w:left w:w="120" w:type="dxa"/>
              <w:bottom w:w="30" w:type="dxa"/>
              <w:right w:w="120" w:type="dxa"/>
            </w:tcMar>
            <w:vAlign w:val="center"/>
          </w:tcPr>
          <w:p>
            <w:pPr>
              <w:pStyle w:val="39"/>
              <w:jc w:val="center"/>
            </w:pPr>
            <w:r>
              <w:t>孳生地清理</w:t>
            </w:r>
          </w:p>
        </w:tc>
        <w:tc>
          <w:tcPr>
            <w:tcW w:w="2717" w:type="dxa"/>
            <w:gridSpan w:val="2"/>
            <w:tcMar>
              <w:top w:w="60" w:type="dxa"/>
              <w:left w:w="120" w:type="dxa"/>
              <w:bottom w:w="30" w:type="dxa"/>
              <w:right w:w="120" w:type="dxa"/>
            </w:tcMar>
          </w:tcPr>
          <w:p>
            <w:pPr>
              <w:pStyle w:val="39"/>
            </w:pPr>
            <w:r>
              <w:t>无积水容器、杂草丛生区域，排水系统畅通</w:t>
            </w:r>
          </w:p>
        </w:tc>
        <w:tc>
          <w:tcPr>
            <w:tcW w:w="2516" w:type="dxa"/>
            <w:gridSpan w:val="2"/>
            <w:tcMar>
              <w:top w:w="60" w:type="dxa"/>
              <w:left w:w="120" w:type="dxa"/>
              <w:bottom w:w="30" w:type="dxa"/>
              <w:right w:w="120" w:type="dxa"/>
            </w:tcMar>
          </w:tcPr>
          <w:p>
            <w:pPr>
              <w:pStyle w:val="39"/>
            </w:pPr>
            <w:r>
              <w:t>每发现 1 处孳生地扣 2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092" w:hRule="atLeast"/>
        </w:trPr>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消杀措施落实</w:t>
            </w:r>
          </w:p>
        </w:tc>
        <w:tc>
          <w:tcPr>
            <w:tcW w:w="2717" w:type="dxa"/>
            <w:gridSpan w:val="2"/>
            <w:tcMar>
              <w:top w:w="60" w:type="dxa"/>
              <w:left w:w="120" w:type="dxa"/>
              <w:bottom w:w="30" w:type="dxa"/>
              <w:right w:w="120" w:type="dxa"/>
            </w:tcMar>
          </w:tcPr>
          <w:p>
            <w:pPr>
              <w:pStyle w:val="39"/>
            </w:pPr>
            <w:r>
              <w:t>定期喷洒灭蚊药剂，重点区域（积水处、绿化带）全覆盖</w:t>
            </w:r>
          </w:p>
        </w:tc>
        <w:tc>
          <w:tcPr>
            <w:tcW w:w="2516" w:type="dxa"/>
            <w:gridSpan w:val="2"/>
            <w:tcMar>
              <w:top w:w="60" w:type="dxa"/>
              <w:left w:w="120" w:type="dxa"/>
              <w:bottom w:w="30" w:type="dxa"/>
              <w:right w:w="120" w:type="dxa"/>
            </w:tcMar>
          </w:tcPr>
          <w:p>
            <w:pPr>
              <w:pStyle w:val="39"/>
            </w:pPr>
            <w:r>
              <w:t>未按频次消杀扣 3 分；覆盖不全扣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效果评估</w:t>
            </w:r>
          </w:p>
        </w:tc>
        <w:tc>
          <w:tcPr>
            <w:tcW w:w="2717" w:type="dxa"/>
            <w:gridSpan w:val="2"/>
            <w:tcMar>
              <w:top w:w="60" w:type="dxa"/>
              <w:left w:w="120" w:type="dxa"/>
              <w:bottom w:w="30" w:type="dxa"/>
              <w:right w:w="120" w:type="dxa"/>
            </w:tcMar>
          </w:tcPr>
          <w:p>
            <w:pPr>
              <w:pStyle w:val="39"/>
            </w:pPr>
            <w:r>
              <w:t>蚊密度适中，无集中叮咬现象及相关投诉</w:t>
            </w:r>
          </w:p>
        </w:tc>
        <w:tc>
          <w:tcPr>
            <w:tcW w:w="2516" w:type="dxa"/>
            <w:gridSpan w:val="2"/>
            <w:tcMar>
              <w:top w:w="60" w:type="dxa"/>
              <w:left w:w="120" w:type="dxa"/>
              <w:bottom w:w="30" w:type="dxa"/>
              <w:right w:w="120" w:type="dxa"/>
            </w:tcMar>
          </w:tcPr>
          <w:p>
            <w:pPr>
              <w:pStyle w:val="39"/>
            </w:pPr>
            <w:r>
              <w:t>密度超标扣 3 分；每有 1 次投诉扣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restart"/>
            <w:tcMar>
              <w:top w:w="60" w:type="dxa"/>
              <w:left w:w="120" w:type="dxa"/>
              <w:bottom w:w="30" w:type="dxa"/>
              <w:right w:w="120" w:type="dxa"/>
            </w:tcMar>
            <w:vAlign w:val="center"/>
          </w:tcPr>
          <w:p>
            <w:pPr>
              <w:pStyle w:val="39"/>
              <w:jc w:val="center"/>
            </w:pPr>
            <w:r>
              <w:t>四、蝇类消杀考核（20 分）</w:t>
            </w:r>
          </w:p>
        </w:tc>
        <w:tc>
          <w:tcPr>
            <w:tcW w:w="1333" w:type="dxa"/>
            <w:gridSpan w:val="2"/>
            <w:tcMar>
              <w:top w:w="60" w:type="dxa"/>
              <w:left w:w="120" w:type="dxa"/>
              <w:bottom w:w="30" w:type="dxa"/>
              <w:right w:w="120" w:type="dxa"/>
            </w:tcMar>
            <w:vAlign w:val="center"/>
          </w:tcPr>
          <w:p>
            <w:pPr>
              <w:pStyle w:val="39"/>
              <w:jc w:val="center"/>
            </w:pPr>
            <w:r>
              <w:t>孳生地管控</w:t>
            </w:r>
          </w:p>
        </w:tc>
        <w:tc>
          <w:tcPr>
            <w:tcW w:w="2717" w:type="dxa"/>
            <w:gridSpan w:val="2"/>
            <w:tcMar>
              <w:top w:w="60" w:type="dxa"/>
              <w:left w:w="120" w:type="dxa"/>
              <w:bottom w:w="30" w:type="dxa"/>
              <w:right w:w="120" w:type="dxa"/>
            </w:tcMar>
          </w:tcPr>
          <w:p>
            <w:pPr>
              <w:pStyle w:val="39"/>
            </w:pPr>
            <w:r>
              <w:t>垃圾日产日清，垃圾桶密封加盖，无腐烂有机物堆积</w:t>
            </w:r>
          </w:p>
        </w:tc>
        <w:tc>
          <w:tcPr>
            <w:tcW w:w="2516" w:type="dxa"/>
            <w:gridSpan w:val="2"/>
            <w:tcMar>
              <w:top w:w="60" w:type="dxa"/>
              <w:left w:w="120" w:type="dxa"/>
              <w:bottom w:w="30" w:type="dxa"/>
              <w:right w:w="120" w:type="dxa"/>
            </w:tcMar>
          </w:tcPr>
          <w:p>
            <w:pPr>
              <w:pStyle w:val="39"/>
            </w:pPr>
            <w:r>
              <w:t>垃圾未及时清理扣 4 分；垃圾桶未密封扣 4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009" w:hRule="atLeast"/>
        </w:trPr>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消杀实施</w:t>
            </w:r>
          </w:p>
        </w:tc>
        <w:tc>
          <w:tcPr>
            <w:tcW w:w="2717" w:type="dxa"/>
            <w:gridSpan w:val="2"/>
            <w:tcMar>
              <w:top w:w="60" w:type="dxa"/>
              <w:left w:w="120" w:type="dxa"/>
              <w:bottom w:w="30" w:type="dxa"/>
              <w:right w:w="120" w:type="dxa"/>
            </w:tcMar>
          </w:tcPr>
          <w:p>
            <w:pPr>
              <w:pStyle w:val="39"/>
            </w:pPr>
            <w:r>
              <w:t>投放灭蝇诱饵、喷洒药剂，餐饮区、垃圾站重点消杀</w:t>
            </w:r>
          </w:p>
        </w:tc>
        <w:tc>
          <w:tcPr>
            <w:tcW w:w="2516" w:type="dxa"/>
            <w:gridSpan w:val="2"/>
            <w:tcMar>
              <w:top w:w="60" w:type="dxa"/>
              <w:left w:w="120" w:type="dxa"/>
              <w:bottom w:w="30" w:type="dxa"/>
              <w:right w:w="120" w:type="dxa"/>
            </w:tcMar>
          </w:tcPr>
          <w:p>
            <w:pPr>
              <w:pStyle w:val="39"/>
            </w:pPr>
            <w:r>
              <w:t>未落实消杀措施扣 6 分；重点区域遗漏扣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效果反馈</w:t>
            </w:r>
          </w:p>
        </w:tc>
        <w:tc>
          <w:tcPr>
            <w:tcW w:w="2717" w:type="dxa"/>
            <w:gridSpan w:val="2"/>
            <w:tcMar>
              <w:top w:w="60" w:type="dxa"/>
              <w:left w:w="120" w:type="dxa"/>
              <w:bottom w:w="30" w:type="dxa"/>
              <w:right w:w="120" w:type="dxa"/>
            </w:tcMar>
          </w:tcPr>
          <w:p>
            <w:pPr>
              <w:pStyle w:val="39"/>
            </w:pPr>
            <w:r>
              <w:t>蝇密度达标，无大量蝇类聚集，无相关投诉</w:t>
            </w:r>
          </w:p>
        </w:tc>
        <w:tc>
          <w:tcPr>
            <w:tcW w:w="2516" w:type="dxa"/>
            <w:gridSpan w:val="2"/>
            <w:tcMar>
              <w:top w:w="60" w:type="dxa"/>
              <w:left w:w="120" w:type="dxa"/>
              <w:bottom w:w="30" w:type="dxa"/>
              <w:right w:w="120" w:type="dxa"/>
            </w:tcMar>
          </w:tcPr>
          <w:p>
            <w:pPr>
              <w:pStyle w:val="39"/>
            </w:pPr>
            <w:r>
              <w:t>密度不达标扣 3 分；每有 1 次投诉扣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restart"/>
            <w:tcMar>
              <w:top w:w="60" w:type="dxa"/>
              <w:left w:w="120" w:type="dxa"/>
              <w:bottom w:w="30" w:type="dxa"/>
              <w:right w:w="120" w:type="dxa"/>
            </w:tcMar>
            <w:vAlign w:val="center"/>
          </w:tcPr>
          <w:p>
            <w:pPr>
              <w:pStyle w:val="39"/>
              <w:jc w:val="center"/>
            </w:pPr>
            <w:r>
              <w:t>五、蟑螂消杀考核（20 分）</w:t>
            </w:r>
          </w:p>
        </w:tc>
        <w:tc>
          <w:tcPr>
            <w:tcW w:w="1333" w:type="dxa"/>
            <w:gridSpan w:val="2"/>
            <w:tcMar>
              <w:top w:w="60" w:type="dxa"/>
              <w:left w:w="120" w:type="dxa"/>
              <w:bottom w:w="30" w:type="dxa"/>
              <w:right w:w="120" w:type="dxa"/>
            </w:tcMar>
            <w:vAlign w:val="center"/>
          </w:tcPr>
          <w:p>
            <w:pPr>
              <w:pStyle w:val="39"/>
              <w:jc w:val="center"/>
            </w:pPr>
            <w:r>
              <w:t>栖息环境整治</w:t>
            </w:r>
          </w:p>
        </w:tc>
        <w:tc>
          <w:tcPr>
            <w:tcW w:w="2717" w:type="dxa"/>
            <w:gridSpan w:val="2"/>
            <w:tcMar>
              <w:top w:w="60" w:type="dxa"/>
              <w:left w:w="120" w:type="dxa"/>
              <w:bottom w:w="30" w:type="dxa"/>
              <w:right w:w="120" w:type="dxa"/>
            </w:tcMar>
          </w:tcPr>
          <w:p>
            <w:pPr>
              <w:pStyle w:val="39"/>
            </w:pPr>
            <w:r>
              <w:t>卫生死角清理彻底，餐具、食品存放规范，无残留食物</w:t>
            </w:r>
          </w:p>
        </w:tc>
        <w:tc>
          <w:tcPr>
            <w:tcW w:w="2516" w:type="dxa"/>
            <w:gridSpan w:val="2"/>
            <w:tcMar>
              <w:top w:w="60" w:type="dxa"/>
              <w:left w:w="120" w:type="dxa"/>
              <w:bottom w:w="30" w:type="dxa"/>
              <w:right w:w="120" w:type="dxa"/>
            </w:tcMar>
          </w:tcPr>
          <w:p>
            <w:pPr>
              <w:pStyle w:val="39"/>
            </w:pPr>
            <w:r>
              <w:t>每发现 1 处卫生死角扣 2 分；食品存放不规范扣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消杀操作</w:t>
            </w:r>
          </w:p>
        </w:tc>
        <w:tc>
          <w:tcPr>
            <w:tcW w:w="2717" w:type="dxa"/>
            <w:gridSpan w:val="2"/>
            <w:tcMar>
              <w:top w:w="60" w:type="dxa"/>
              <w:left w:w="120" w:type="dxa"/>
              <w:bottom w:w="30" w:type="dxa"/>
              <w:right w:w="120" w:type="dxa"/>
            </w:tcMar>
          </w:tcPr>
          <w:p>
            <w:pPr>
              <w:pStyle w:val="39"/>
            </w:pPr>
            <w:r>
              <w:t>采用胶饵、粉剂等合适药剂，对橱柜、下水道周边等重点部位消杀</w:t>
            </w:r>
          </w:p>
        </w:tc>
        <w:tc>
          <w:tcPr>
            <w:tcW w:w="2516" w:type="dxa"/>
            <w:gridSpan w:val="2"/>
            <w:tcMar>
              <w:top w:w="60" w:type="dxa"/>
              <w:left w:w="120" w:type="dxa"/>
              <w:bottom w:w="30" w:type="dxa"/>
              <w:right w:w="120" w:type="dxa"/>
            </w:tcMar>
          </w:tcPr>
          <w:p>
            <w:pPr>
              <w:pStyle w:val="39"/>
            </w:pPr>
            <w:r>
              <w:t>药剂选择不当扣 3 分；重点部位未消杀扣 4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926" w:hRule="atLeast"/>
        </w:trPr>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效果验证</w:t>
            </w:r>
          </w:p>
        </w:tc>
        <w:tc>
          <w:tcPr>
            <w:tcW w:w="2717" w:type="dxa"/>
            <w:gridSpan w:val="2"/>
            <w:tcMar>
              <w:top w:w="60" w:type="dxa"/>
              <w:left w:w="120" w:type="dxa"/>
              <w:bottom w:w="30" w:type="dxa"/>
              <w:right w:w="120" w:type="dxa"/>
            </w:tcMar>
          </w:tcPr>
          <w:p>
            <w:pPr>
              <w:pStyle w:val="39"/>
            </w:pPr>
            <w:r>
              <w:t>无蟑螂活体及卵鞘，无蟑螂活动痕迹，无相关投诉</w:t>
            </w:r>
          </w:p>
        </w:tc>
        <w:tc>
          <w:tcPr>
            <w:tcW w:w="2516" w:type="dxa"/>
            <w:gridSpan w:val="2"/>
            <w:tcMar>
              <w:top w:w="60" w:type="dxa"/>
              <w:left w:w="120" w:type="dxa"/>
              <w:bottom w:w="30" w:type="dxa"/>
              <w:right w:w="120" w:type="dxa"/>
            </w:tcMar>
          </w:tcPr>
          <w:p>
            <w:pPr>
              <w:pStyle w:val="39"/>
            </w:pPr>
            <w:r>
              <w:t>发现活体或卵鞘扣 3 分；每有 1 次投诉扣 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restart"/>
            <w:tcMar>
              <w:top w:w="60" w:type="dxa"/>
              <w:left w:w="120" w:type="dxa"/>
              <w:bottom w:w="30" w:type="dxa"/>
              <w:right w:w="120" w:type="dxa"/>
            </w:tcMar>
            <w:vAlign w:val="center"/>
          </w:tcPr>
          <w:p>
            <w:pPr>
              <w:pStyle w:val="39"/>
              <w:jc w:val="center"/>
            </w:pPr>
            <w:r>
              <w:t>六、加分项（最多 5 分）</w:t>
            </w:r>
          </w:p>
        </w:tc>
        <w:tc>
          <w:tcPr>
            <w:tcW w:w="1333" w:type="dxa"/>
            <w:gridSpan w:val="2"/>
            <w:tcMar>
              <w:top w:w="60" w:type="dxa"/>
              <w:left w:w="120" w:type="dxa"/>
              <w:bottom w:w="30" w:type="dxa"/>
              <w:right w:w="120" w:type="dxa"/>
            </w:tcMar>
            <w:vAlign w:val="center"/>
          </w:tcPr>
          <w:p>
            <w:pPr>
              <w:pStyle w:val="39"/>
              <w:jc w:val="center"/>
            </w:pPr>
            <w:r>
              <w:t>创新消杀方法</w:t>
            </w:r>
          </w:p>
        </w:tc>
        <w:tc>
          <w:tcPr>
            <w:tcW w:w="2717" w:type="dxa"/>
            <w:gridSpan w:val="2"/>
            <w:tcMar>
              <w:top w:w="60" w:type="dxa"/>
              <w:left w:w="120" w:type="dxa"/>
              <w:bottom w:w="30" w:type="dxa"/>
              <w:right w:w="120" w:type="dxa"/>
            </w:tcMar>
          </w:tcPr>
          <w:p>
            <w:pPr>
              <w:pStyle w:val="39"/>
            </w:pPr>
            <w:r>
              <w:t>采用环保、高效的新型消杀技术或设备，效果显著</w:t>
            </w:r>
          </w:p>
        </w:tc>
        <w:tc>
          <w:tcPr>
            <w:tcW w:w="2516" w:type="dxa"/>
            <w:gridSpan w:val="2"/>
            <w:tcMar>
              <w:top w:w="60" w:type="dxa"/>
              <w:left w:w="120" w:type="dxa"/>
              <w:bottom w:w="30" w:type="dxa"/>
              <w:right w:w="120" w:type="dxa"/>
            </w:tcMar>
          </w:tcPr>
          <w:p>
            <w:pPr>
              <w:pStyle w:val="39"/>
            </w:pPr>
            <w:r>
              <w:t>加分 2-3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continue"/>
            <w:tcMar>
              <w:top w:w="60" w:type="dxa"/>
              <w:left w:w="120" w:type="dxa"/>
              <w:bottom w:w="30" w:type="dxa"/>
              <w:right w:w="120" w:type="dxa"/>
            </w:tcMar>
            <w:vAlign w:val="center"/>
          </w:tcPr>
          <w:p>
            <w:pPr>
              <w:pStyle w:val="39"/>
              <w:jc w:val="center"/>
            </w:pPr>
          </w:p>
        </w:tc>
        <w:tc>
          <w:tcPr>
            <w:tcW w:w="1333" w:type="dxa"/>
            <w:gridSpan w:val="2"/>
            <w:tcMar>
              <w:top w:w="60" w:type="dxa"/>
              <w:left w:w="120" w:type="dxa"/>
              <w:bottom w:w="30" w:type="dxa"/>
              <w:right w:w="120" w:type="dxa"/>
            </w:tcMar>
            <w:vAlign w:val="center"/>
          </w:tcPr>
          <w:p>
            <w:pPr>
              <w:pStyle w:val="39"/>
              <w:jc w:val="center"/>
            </w:pPr>
            <w:r>
              <w:t>零投诉记录</w:t>
            </w:r>
          </w:p>
        </w:tc>
        <w:tc>
          <w:tcPr>
            <w:tcW w:w="2717" w:type="dxa"/>
            <w:gridSpan w:val="2"/>
            <w:tcMar>
              <w:top w:w="60" w:type="dxa"/>
              <w:left w:w="120" w:type="dxa"/>
              <w:bottom w:w="30" w:type="dxa"/>
              <w:right w:w="120" w:type="dxa"/>
            </w:tcMar>
          </w:tcPr>
          <w:p>
            <w:pPr>
              <w:pStyle w:val="39"/>
            </w:pPr>
            <w:r>
              <w:t>考核周期内无任何四害相关投诉</w:t>
            </w:r>
          </w:p>
        </w:tc>
        <w:tc>
          <w:tcPr>
            <w:tcW w:w="2516" w:type="dxa"/>
            <w:gridSpan w:val="2"/>
            <w:tcMar>
              <w:top w:w="60" w:type="dxa"/>
              <w:left w:w="120" w:type="dxa"/>
              <w:bottom w:w="30" w:type="dxa"/>
              <w:right w:w="120" w:type="dxa"/>
            </w:tcMar>
          </w:tcPr>
          <w:p>
            <w:pPr>
              <w:pStyle w:val="39"/>
            </w:pPr>
            <w:r>
              <w:t>加分 2 分</w:t>
            </w:r>
          </w:p>
        </w:tc>
        <w:tc>
          <w:tcPr>
            <w:tcW w:w="776" w:type="dxa"/>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restart"/>
            <w:tcMar>
              <w:top w:w="60" w:type="dxa"/>
              <w:left w:w="120" w:type="dxa"/>
              <w:bottom w:w="30" w:type="dxa"/>
              <w:right w:w="120" w:type="dxa"/>
            </w:tcMar>
            <w:vAlign w:val="center"/>
          </w:tcPr>
          <w:p>
            <w:pPr>
              <w:pStyle w:val="39"/>
              <w:jc w:val="center"/>
            </w:pPr>
            <w:r>
              <w:t>考核总结</w:t>
            </w:r>
          </w:p>
        </w:tc>
        <w:tc>
          <w:tcPr>
            <w:tcW w:w="1333" w:type="dxa"/>
            <w:gridSpan w:val="2"/>
            <w:tcMar>
              <w:top w:w="60" w:type="dxa"/>
              <w:left w:w="120" w:type="dxa"/>
              <w:bottom w:w="30" w:type="dxa"/>
              <w:right w:w="120" w:type="dxa"/>
            </w:tcMar>
            <w:vAlign w:val="center"/>
          </w:tcPr>
          <w:p>
            <w:pPr>
              <w:pStyle w:val="39"/>
              <w:jc w:val="center"/>
            </w:pPr>
            <w:r>
              <w:t>存在问题</w:t>
            </w:r>
          </w:p>
        </w:tc>
        <w:tc>
          <w:tcPr>
            <w:tcW w:w="6009" w:type="dxa"/>
            <w:gridSpan w:val="5"/>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195" w:type="dxa"/>
            <w:vMerge w:val="continue"/>
            <w:tcMar>
              <w:top w:w="60" w:type="dxa"/>
              <w:left w:w="120" w:type="dxa"/>
              <w:bottom w:w="30" w:type="dxa"/>
              <w:right w:w="120" w:type="dxa"/>
            </w:tcMar>
          </w:tcPr>
          <w:p>
            <w:pPr>
              <w:pStyle w:val="39"/>
            </w:pPr>
          </w:p>
        </w:tc>
        <w:tc>
          <w:tcPr>
            <w:tcW w:w="1333" w:type="dxa"/>
            <w:gridSpan w:val="2"/>
            <w:tcMar>
              <w:top w:w="60" w:type="dxa"/>
              <w:left w:w="120" w:type="dxa"/>
              <w:bottom w:w="30" w:type="dxa"/>
              <w:right w:w="120" w:type="dxa"/>
            </w:tcMar>
            <w:vAlign w:val="center"/>
          </w:tcPr>
          <w:p>
            <w:pPr>
              <w:pStyle w:val="39"/>
              <w:jc w:val="center"/>
            </w:pPr>
            <w:r>
              <w:t>整改建议</w:t>
            </w:r>
          </w:p>
        </w:tc>
        <w:tc>
          <w:tcPr>
            <w:tcW w:w="6009" w:type="dxa"/>
            <w:gridSpan w:val="5"/>
            <w:tcMar>
              <w:top w:w="60" w:type="dxa"/>
              <w:left w:w="120" w:type="dxa"/>
              <w:bottom w:w="30" w:type="dxa"/>
              <w:right w:w="120" w:type="dxa"/>
            </w:tcMar>
          </w:tcPr>
          <w:p>
            <w:pPr>
              <w:pStyle w:val="3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5245" w:type="dxa"/>
            <w:gridSpan w:val="5"/>
            <w:tcMar>
              <w:top w:w="60" w:type="dxa"/>
              <w:left w:w="120" w:type="dxa"/>
              <w:bottom w:w="30" w:type="dxa"/>
              <w:right w:w="120" w:type="dxa"/>
            </w:tcMar>
            <w:vAlign w:val="top"/>
          </w:tcPr>
          <w:p>
            <w:pPr>
              <w:pStyle w:val="6"/>
              <w:ind w:firstLine="0" w:firstLineChars="0"/>
              <w:jc w:val="both"/>
              <w:rPr>
                <w:rFonts w:hint="eastAsia" w:ascii="Arial" w:hAnsi="Arial" w:eastAsia="等线" w:cs="Arial"/>
                <w:sz w:val="22"/>
                <w:szCs w:val="22"/>
                <w:lang w:eastAsia="zh-CN"/>
              </w:rPr>
            </w:pPr>
            <w:r>
              <w:rPr>
                <w:rFonts w:hint="eastAsia" w:ascii="Arial" w:hAnsi="Arial" w:eastAsia="等线" w:cs="Arial"/>
                <w:sz w:val="22"/>
                <w:szCs w:val="22"/>
                <w:lang w:eastAsia="zh-CN"/>
              </w:rPr>
              <w:t>验收人（签字）：</w:t>
            </w:r>
          </w:p>
          <w:p>
            <w:pPr>
              <w:pStyle w:val="6"/>
              <w:ind w:firstLine="0" w:firstLineChars="0"/>
              <w:jc w:val="center"/>
              <w:rPr>
                <w:rFonts w:hint="eastAsia" w:ascii="Arial" w:hAnsi="Arial" w:eastAsia="等线" w:cs="Arial"/>
                <w:sz w:val="22"/>
                <w:szCs w:val="22"/>
                <w:lang w:eastAsia="zh-CN"/>
              </w:rPr>
            </w:pPr>
          </w:p>
          <w:p>
            <w:pPr>
              <w:pStyle w:val="6"/>
              <w:ind w:firstLine="0" w:firstLineChars="0"/>
              <w:jc w:val="center"/>
              <w:rPr>
                <w:rFonts w:hint="eastAsia" w:ascii="Arial" w:hAnsi="Arial" w:eastAsia="等线" w:cs="Arial"/>
                <w:sz w:val="22"/>
                <w:szCs w:val="22"/>
                <w:lang w:eastAsia="zh-CN"/>
              </w:rPr>
            </w:pPr>
          </w:p>
          <w:p>
            <w:pPr>
              <w:pStyle w:val="6"/>
              <w:ind w:firstLine="0" w:firstLineChars="0"/>
              <w:jc w:val="both"/>
              <w:rPr>
                <w:rFonts w:hint="eastAsia" w:ascii="Arial" w:hAnsi="Arial" w:eastAsia="等线" w:cs="Arial"/>
                <w:sz w:val="22"/>
                <w:szCs w:val="22"/>
                <w:lang w:eastAsia="zh-CN"/>
              </w:rPr>
            </w:pPr>
            <w:r>
              <w:rPr>
                <w:rFonts w:hint="eastAsia" w:ascii="Arial" w:hAnsi="Arial" w:eastAsia="等线" w:cs="Arial"/>
                <w:sz w:val="22"/>
                <w:szCs w:val="22"/>
                <w:lang w:eastAsia="zh-CN"/>
              </w:rPr>
              <w:t>验收时间：</w:t>
            </w:r>
          </w:p>
          <w:p>
            <w:pPr>
              <w:pStyle w:val="6"/>
              <w:ind w:firstLine="0" w:firstLineChars="0"/>
              <w:jc w:val="center"/>
              <w:rPr>
                <w:rFonts w:ascii="Arial" w:hAnsi="Arial" w:eastAsia="等线" w:cs="Arial"/>
                <w:sz w:val="22"/>
                <w:szCs w:val="22"/>
              </w:rPr>
            </w:pPr>
          </w:p>
        </w:tc>
        <w:tc>
          <w:tcPr>
            <w:tcW w:w="3292" w:type="dxa"/>
            <w:gridSpan w:val="3"/>
            <w:tcMar>
              <w:top w:w="60" w:type="dxa"/>
              <w:left w:w="120" w:type="dxa"/>
              <w:bottom w:w="30" w:type="dxa"/>
              <w:right w:w="120" w:type="dxa"/>
            </w:tcMar>
            <w:vAlign w:val="top"/>
          </w:tcPr>
          <w:p>
            <w:pPr>
              <w:pStyle w:val="6"/>
              <w:ind w:firstLine="0" w:firstLineChars="0"/>
              <w:jc w:val="both"/>
              <w:rPr>
                <w:rFonts w:ascii="Arial" w:hAnsi="Arial" w:eastAsia="等线" w:cs="Arial"/>
                <w:sz w:val="22"/>
                <w:szCs w:val="22"/>
              </w:rPr>
            </w:pPr>
            <w:r>
              <w:rPr>
                <w:rFonts w:hint="eastAsia" w:ascii="Arial" w:hAnsi="Arial" w:eastAsia="等线" w:cs="Arial"/>
                <w:sz w:val="22"/>
                <w:szCs w:val="22"/>
                <w:lang w:eastAsia="zh-CN"/>
              </w:rPr>
              <w:t>审核人（签字）：</w:t>
            </w:r>
          </w:p>
          <w:p>
            <w:pPr>
              <w:pStyle w:val="6"/>
              <w:ind w:firstLine="0" w:firstLineChars="0"/>
              <w:jc w:val="center"/>
              <w:rPr>
                <w:rFonts w:hint="eastAsia" w:ascii="Arial" w:hAnsi="Arial" w:eastAsia="等线" w:cs="Arial"/>
                <w:sz w:val="22"/>
                <w:szCs w:val="22"/>
                <w:lang w:eastAsia="zh-CN"/>
              </w:rPr>
            </w:pPr>
          </w:p>
          <w:p>
            <w:pPr>
              <w:pStyle w:val="6"/>
              <w:ind w:firstLine="0" w:firstLineChars="0"/>
              <w:jc w:val="center"/>
              <w:rPr>
                <w:rFonts w:hint="eastAsia" w:ascii="Arial" w:hAnsi="Arial" w:eastAsia="等线" w:cs="Arial"/>
                <w:sz w:val="22"/>
                <w:szCs w:val="22"/>
                <w:lang w:eastAsia="zh-CN"/>
              </w:rPr>
            </w:pPr>
          </w:p>
          <w:p>
            <w:pPr>
              <w:pStyle w:val="6"/>
              <w:ind w:firstLine="0" w:firstLineChars="0"/>
              <w:jc w:val="center"/>
              <w:rPr>
                <w:rFonts w:ascii="Arial" w:hAnsi="Arial" w:eastAsia="等线" w:cs="Arial"/>
                <w:sz w:val="22"/>
                <w:szCs w:val="22"/>
              </w:rPr>
            </w:pPr>
          </w:p>
        </w:tc>
      </w:tr>
    </w:tbl>
    <w:p>
      <w:pPr>
        <w:pStyle w:val="6"/>
        <w:bidi w:val="0"/>
        <w:spacing w:line="360" w:lineRule="auto"/>
        <w:ind w:firstLine="480" w:firstLineChars="200"/>
        <w:jc w:val="both"/>
        <w:rPr>
          <w:rFonts w:hint="eastAsia" w:ascii="宋体" w:hAnsi="宋体" w:eastAsia="宋体" w:cs="宋体"/>
          <w:sz w:val="24"/>
          <w:lang w:val="en-US" w:eastAsia="zh-CN"/>
        </w:rPr>
        <w:sectPr>
          <w:headerReference r:id="rId5" w:type="default"/>
          <w:footerReference r:id="rId6" w:type="default"/>
          <w:pgSz w:w="11900" w:h="16820"/>
          <w:pgMar w:top="1440" w:right="1803" w:bottom="1440" w:left="1800" w:header="720" w:footer="720" w:gutter="0"/>
          <w:pgBorders>
            <w:top w:val="none" w:sz="0" w:space="0"/>
            <w:left w:val="none" w:sz="0" w:space="0"/>
            <w:bottom w:val="none" w:sz="0" w:space="0"/>
            <w:right w:val="none" w:sz="0" w:space="0"/>
          </w:pgBorders>
          <w:pgNumType w:fmt="decimal"/>
          <w:cols w:space="720" w:num="1"/>
          <w:docGrid w:linePitch="1" w:charSpace="0"/>
        </w:sectPr>
      </w:pPr>
    </w:p>
    <w:tbl>
      <w:tblPr>
        <w:tblStyle w:val="16"/>
        <w:tblpPr w:leftFromText="180" w:rightFromText="180" w:vertAnchor="text" w:horzAnchor="page" w:tblpX="1902" w:tblpY="47"/>
        <w:tblOverlap w:val="never"/>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290"/>
        <w:gridCol w:w="2774"/>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38" w:hRule="atLeast"/>
        </w:trPr>
        <w:tc>
          <w:tcPr>
            <w:tcW w:w="8340" w:type="dxa"/>
            <w:gridSpan w:val="4"/>
            <w:shd w:val="clear" w:color="auto" w:fill="B4C6E7"/>
            <w:noWrap w:val="0"/>
            <w:vAlign w:val="center"/>
          </w:tcPr>
          <w:p>
            <w:pPr>
              <w:spacing w:line="360" w:lineRule="auto"/>
              <w:jc w:val="center"/>
              <w:rPr>
                <w:rFonts w:hint="eastAsia" w:ascii="微软雅黑" w:hAnsi="微软雅黑" w:eastAsia="微软雅黑" w:cs="宋体"/>
                <w:b/>
                <w:sz w:val="18"/>
                <w:szCs w:val="18"/>
              </w:rPr>
            </w:pPr>
            <w:bookmarkStart w:id="1" w:name="_Toc436395769"/>
            <w:bookmarkStart w:id="2" w:name="_Toc438029537"/>
            <w:r>
              <w:rPr>
                <w:rFonts w:hint="eastAsia" w:ascii="微软雅黑" w:hAnsi="微软雅黑" w:eastAsia="微软雅黑" w:cs="宋体"/>
                <w:b/>
                <w:sz w:val="18"/>
                <w:szCs w:val="18"/>
                <w:u w:val="single"/>
              </w:rPr>
              <w:t xml:space="preserve"> </w:t>
            </w:r>
            <w:r>
              <w:rPr>
                <w:rFonts w:ascii="微软雅黑" w:hAnsi="微软雅黑" w:eastAsia="微软雅黑" w:cs="宋体"/>
                <w:b/>
                <w:sz w:val="18"/>
                <w:szCs w:val="18"/>
                <w:u w:val="single"/>
              </w:rPr>
              <w:t xml:space="preserve">         </w:t>
            </w:r>
            <w:r>
              <w:rPr>
                <w:rFonts w:hint="eastAsia" w:ascii="微软雅黑" w:hAnsi="微软雅黑" w:eastAsia="微软雅黑" w:cs="宋体"/>
                <w:b/>
                <w:sz w:val="18"/>
                <w:szCs w:val="18"/>
              </w:rPr>
              <w:t>项目</w:t>
            </w:r>
            <w:r>
              <w:rPr>
                <w:rFonts w:ascii="微软雅黑" w:hAnsi="微软雅黑" w:eastAsia="微软雅黑" w:cs="宋体"/>
                <w:b/>
                <w:sz w:val="18"/>
                <w:szCs w:val="18"/>
                <w:u w:val="single"/>
              </w:rPr>
              <w:t xml:space="preserve"> </w:t>
            </w:r>
            <w:r>
              <w:rPr>
                <w:rFonts w:hint="eastAsia" w:ascii="微软雅黑" w:hAnsi="微软雅黑" w:eastAsia="微软雅黑" w:cs="宋体"/>
                <w:b/>
                <w:sz w:val="18"/>
                <w:szCs w:val="18"/>
                <w:u w:val="single"/>
                <w:lang w:val="en-US" w:eastAsia="zh-CN"/>
              </w:rPr>
              <w:t>XX</w:t>
            </w:r>
            <w:r>
              <w:rPr>
                <w:rFonts w:ascii="微软雅黑" w:hAnsi="微软雅黑" w:eastAsia="微软雅黑" w:cs="宋体"/>
                <w:b/>
                <w:sz w:val="18"/>
                <w:szCs w:val="18"/>
                <w:u w:val="single"/>
              </w:rPr>
              <w:t xml:space="preserve"> </w:t>
            </w:r>
            <w:r>
              <w:rPr>
                <w:rFonts w:hint="eastAsia" w:ascii="微软雅黑" w:hAnsi="微软雅黑" w:eastAsia="微软雅黑" w:cs="宋体"/>
                <w:b/>
                <w:sz w:val="18"/>
                <w:szCs w:val="18"/>
                <w:lang w:eastAsia="zh-CN"/>
              </w:rPr>
              <w:t>专业</w:t>
            </w:r>
            <w:r>
              <w:rPr>
                <w:rFonts w:hint="eastAsia" w:ascii="微软雅黑" w:hAnsi="微软雅黑" w:eastAsia="微软雅黑" w:cs="宋体"/>
                <w:b/>
                <w:sz w:val="18"/>
                <w:szCs w:val="18"/>
              </w:rPr>
              <w:t>结算申请表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2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供应商名称</w:t>
            </w:r>
          </w:p>
        </w:tc>
        <w:tc>
          <w:tcPr>
            <w:tcW w:w="7116" w:type="dxa"/>
            <w:gridSpan w:val="3"/>
            <w:noWrap w:val="0"/>
            <w:vAlign w:val="center"/>
          </w:tcPr>
          <w:p>
            <w:pPr>
              <w:spacing w:line="360" w:lineRule="auto"/>
              <w:jc w:val="left"/>
              <w:rPr>
                <w:rFonts w:hint="eastAsia" w:ascii="微软雅黑" w:hAnsi="微软雅黑" w:eastAsia="微软雅黑"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24" w:type="dxa"/>
            <w:noWrap w:val="0"/>
            <w:vAlign w:val="center"/>
          </w:tcPr>
          <w:p>
            <w:pPr>
              <w:spacing w:line="360" w:lineRule="auto"/>
              <w:jc w:val="center"/>
              <w:rPr>
                <w:rFonts w:hint="default" w:ascii="微软雅黑" w:hAnsi="微软雅黑" w:eastAsia="微软雅黑" w:cs="宋体"/>
                <w:sz w:val="18"/>
                <w:szCs w:val="18"/>
                <w:lang w:val="en-US" w:eastAsia="zh-CN"/>
              </w:rPr>
            </w:pPr>
            <w:r>
              <w:rPr>
                <w:rFonts w:hint="eastAsia" w:ascii="微软雅黑" w:hAnsi="微软雅黑" w:eastAsia="微软雅黑" w:cs="宋体"/>
                <w:sz w:val="18"/>
                <w:szCs w:val="18"/>
                <w:lang w:val="en-US" w:eastAsia="zh-CN"/>
              </w:rPr>
              <w:t>结算方式</w:t>
            </w:r>
          </w:p>
        </w:tc>
        <w:tc>
          <w:tcPr>
            <w:tcW w:w="7116" w:type="dxa"/>
            <w:gridSpan w:val="3"/>
            <w:noWrap w:val="0"/>
            <w:vAlign w:val="center"/>
          </w:tcPr>
          <w:p>
            <w:pPr>
              <w:spacing w:line="360" w:lineRule="auto"/>
              <w:jc w:val="left"/>
              <w:rPr>
                <w:rFonts w:hint="default" w:ascii="微软雅黑" w:hAnsi="微软雅黑" w:eastAsia="微软雅黑" w:cs="宋体"/>
                <w:sz w:val="18"/>
                <w:szCs w:val="18"/>
                <w:lang w:val="en-US" w:eastAsia="zh-CN"/>
              </w:rPr>
            </w:pPr>
            <w:r>
              <w:rPr>
                <w:rFonts w:hint="eastAsia" w:ascii="微软雅黑" w:hAnsi="微软雅黑" w:eastAsia="微软雅黑" w:cs="宋体"/>
                <w:sz w:val="18"/>
                <w:szCs w:val="18"/>
                <w:lang w:val="en-US" w:eastAsia="zh-CN"/>
              </w:rPr>
              <w:t>单次结算（）、月度结算（）、季度结算（√）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2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合同</w:t>
            </w:r>
            <w:r>
              <w:rPr>
                <w:rFonts w:hint="eastAsia" w:ascii="微软雅黑" w:hAnsi="微软雅黑" w:eastAsia="微软雅黑" w:cs="宋体"/>
                <w:sz w:val="18"/>
                <w:szCs w:val="18"/>
                <w:lang w:val="en-US" w:eastAsia="zh-CN"/>
              </w:rPr>
              <w:t>总</w:t>
            </w:r>
            <w:r>
              <w:rPr>
                <w:rFonts w:hint="eastAsia" w:ascii="微软雅黑" w:hAnsi="微软雅黑" w:eastAsia="微软雅黑" w:cs="宋体"/>
                <w:sz w:val="18"/>
                <w:szCs w:val="18"/>
              </w:rPr>
              <w:t>金额</w:t>
            </w:r>
          </w:p>
        </w:tc>
        <w:tc>
          <w:tcPr>
            <w:tcW w:w="2290" w:type="dxa"/>
            <w:noWrap w:val="0"/>
            <w:vAlign w:val="center"/>
          </w:tcPr>
          <w:p>
            <w:pPr>
              <w:spacing w:line="360" w:lineRule="auto"/>
              <w:jc w:val="center"/>
              <w:rPr>
                <w:rFonts w:hint="eastAsia" w:ascii="微软雅黑" w:hAnsi="微软雅黑" w:eastAsia="微软雅黑" w:cs="宋体"/>
                <w:sz w:val="18"/>
                <w:szCs w:val="18"/>
              </w:rPr>
            </w:pPr>
          </w:p>
        </w:tc>
        <w:tc>
          <w:tcPr>
            <w:tcW w:w="277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结算时间</w:t>
            </w:r>
          </w:p>
        </w:tc>
        <w:tc>
          <w:tcPr>
            <w:tcW w:w="2052" w:type="dxa"/>
            <w:noWrap w:val="0"/>
            <w:vAlign w:val="center"/>
          </w:tcPr>
          <w:p>
            <w:pPr>
              <w:spacing w:line="360" w:lineRule="auto"/>
              <w:jc w:val="center"/>
              <w:rPr>
                <w:rFonts w:hint="eastAsia" w:ascii="微软雅黑" w:hAnsi="微软雅黑" w:eastAsia="微软雅黑"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8" w:hRule="atLeast"/>
        </w:trPr>
        <w:tc>
          <w:tcPr>
            <w:tcW w:w="1224" w:type="dxa"/>
            <w:vMerge w:val="restart"/>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lang w:val="en-US" w:eastAsia="zh-CN"/>
              </w:rPr>
              <w:t>本次</w:t>
            </w:r>
            <w:r>
              <w:rPr>
                <w:rFonts w:hint="eastAsia" w:ascii="微软雅黑" w:hAnsi="微软雅黑" w:eastAsia="微软雅黑" w:cs="宋体"/>
                <w:sz w:val="18"/>
                <w:szCs w:val="18"/>
              </w:rPr>
              <w:t>结算金额</w:t>
            </w:r>
          </w:p>
        </w:tc>
        <w:tc>
          <w:tcPr>
            <w:tcW w:w="2290" w:type="dxa"/>
            <w:vMerge w:val="restart"/>
            <w:noWrap w:val="0"/>
            <w:vAlign w:val="center"/>
          </w:tcPr>
          <w:p>
            <w:pPr>
              <w:spacing w:line="360" w:lineRule="auto"/>
              <w:jc w:val="center"/>
              <w:rPr>
                <w:rFonts w:hint="eastAsia" w:ascii="微软雅黑" w:hAnsi="微软雅黑" w:eastAsia="微软雅黑" w:cs="宋体"/>
                <w:sz w:val="18"/>
                <w:szCs w:val="18"/>
                <w:u w:val="single"/>
              </w:rPr>
            </w:pPr>
            <w:r>
              <w:rPr>
                <w:rFonts w:hint="eastAsia" w:ascii="微软雅黑" w:hAnsi="微软雅黑" w:eastAsia="微软雅黑" w:cs="宋体"/>
                <w:sz w:val="18"/>
                <w:szCs w:val="18"/>
                <w:u w:val="single"/>
              </w:rPr>
              <w:t xml:space="preserve"> </w:t>
            </w:r>
            <w:r>
              <w:rPr>
                <w:rFonts w:ascii="微软雅黑" w:hAnsi="微软雅黑" w:eastAsia="微软雅黑" w:cs="宋体"/>
                <w:sz w:val="18"/>
                <w:szCs w:val="18"/>
                <w:u w:val="single"/>
              </w:rPr>
              <w:t xml:space="preserve">             </w:t>
            </w:r>
            <w:r>
              <w:rPr>
                <w:rFonts w:hint="eastAsia" w:ascii="微软雅黑" w:hAnsi="微软雅黑" w:eastAsia="微软雅黑" w:cs="宋体"/>
                <w:sz w:val="18"/>
                <w:szCs w:val="18"/>
                <w:u w:val="single"/>
              </w:rPr>
              <w:t>元</w:t>
            </w:r>
          </w:p>
        </w:tc>
        <w:tc>
          <w:tcPr>
            <w:tcW w:w="277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lang w:val="en-US" w:eastAsia="zh-CN"/>
              </w:rPr>
              <w:t>本次</w:t>
            </w:r>
            <w:r>
              <w:rPr>
                <w:rFonts w:hint="eastAsia" w:ascii="微软雅黑" w:hAnsi="微软雅黑" w:eastAsia="微软雅黑" w:cs="宋体"/>
                <w:sz w:val="18"/>
                <w:szCs w:val="18"/>
              </w:rPr>
              <w:t>合同费用</w:t>
            </w:r>
          </w:p>
        </w:tc>
        <w:tc>
          <w:tcPr>
            <w:tcW w:w="2052"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u w:val="single"/>
              </w:rPr>
              <w:t xml:space="preserve"> </w:t>
            </w:r>
            <w:r>
              <w:rPr>
                <w:rFonts w:ascii="微软雅黑" w:hAnsi="微软雅黑" w:eastAsia="微软雅黑" w:cs="宋体"/>
                <w:sz w:val="18"/>
                <w:szCs w:val="18"/>
                <w:u w:val="single"/>
              </w:rPr>
              <w:t xml:space="preserve">             </w:t>
            </w:r>
            <w:r>
              <w:rPr>
                <w:rFonts w:hint="eastAsia" w:ascii="微软雅黑" w:hAnsi="微软雅黑" w:eastAsia="微软雅黑" w:cs="宋体"/>
                <w:sz w:val="18"/>
                <w:szCs w:val="18"/>
                <w:u w:val="singl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6" w:hRule="atLeast"/>
        </w:trPr>
        <w:tc>
          <w:tcPr>
            <w:tcW w:w="1224" w:type="dxa"/>
            <w:vMerge w:val="continue"/>
            <w:noWrap w:val="0"/>
            <w:vAlign w:val="center"/>
          </w:tcPr>
          <w:p>
            <w:pPr>
              <w:spacing w:line="360" w:lineRule="auto"/>
              <w:jc w:val="center"/>
              <w:rPr>
                <w:rFonts w:hint="eastAsia" w:ascii="微软雅黑" w:hAnsi="微软雅黑" w:eastAsia="微软雅黑" w:cs="宋体"/>
                <w:sz w:val="18"/>
                <w:szCs w:val="18"/>
              </w:rPr>
            </w:pPr>
          </w:p>
        </w:tc>
        <w:tc>
          <w:tcPr>
            <w:tcW w:w="2290" w:type="dxa"/>
            <w:vMerge w:val="continue"/>
            <w:noWrap w:val="0"/>
            <w:vAlign w:val="center"/>
          </w:tcPr>
          <w:p>
            <w:pPr>
              <w:spacing w:line="360" w:lineRule="auto"/>
              <w:jc w:val="center"/>
              <w:rPr>
                <w:rFonts w:hint="eastAsia" w:ascii="微软雅黑" w:hAnsi="微软雅黑" w:eastAsia="微软雅黑" w:cs="宋体"/>
                <w:sz w:val="18"/>
                <w:szCs w:val="18"/>
              </w:rPr>
            </w:pPr>
          </w:p>
        </w:tc>
        <w:tc>
          <w:tcPr>
            <w:tcW w:w="277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扣款金额</w:t>
            </w:r>
          </w:p>
        </w:tc>
        <w:tc>
          <w:tcPr>
            <w:tcW w:w="2052"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u w:val="single"/>
              </w:rPr>
              <w:t xml:space="preserve"> </w:t>
            </w:r>
            <w:r>
              <w:rPr>
                <w:rFonts w:ascii="微软雅黑" w:hAnsi="微软雅黑" w:eastAsia="微软雅黑" w:cs="宋体"/>
                <w:sz w:val="18"/>
                <w:szCs w:val="18"/>
                <w:u w:val="single"/>
              </w:rPr>
              <w:t xml:space="preserve">             </w:t>
            </w:r>
            <w:r>
              <w:rPr>
                <w:rFonts w:hint="eastAsia" w:ascii="微软雅黑" w:hAnsi="微软雅黑" w:eastAsia="微软雅黑" w:cs="宋体"/>
                <w:sz w:val="18"/>
                <w:szCs w:val="18"/>
                <w:u w:val="singl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9" w:hRule="atLeast"/>
        </w:trPr>
        <w:tc>
          <w:tcPr>
            <w:tcW w:w="8340" w:type="dxa"/>
            <w:gridSpan w:val="4"/>
            <w:shd w:val="clear" w:color="auto" w:fill="B4C6E7"/>
            <w:noWrap w:val="0"/>
            <w:vAlign w:val="center"/>
          </w:tcPr>
          <w:p>
            <w:pPr>
              <w:spacing w:line="360" w:lineRule="auto"/>
              <w:jc w:val="center"/>
              <w:rPr>
                <w:rFonts w:hint="eastAsia" w:ascii="微软雅黑" w:hAnsi="微软雅黑" w:eastAsia="微软雅黑" w:cs="宋体"/>
                <w:b/>
                <w:sz w:val="18"/>
                <w:szCs w:val="18"/>
              </w:rPr>
            </w:pPr>
            <w:r>
              <w:rPr>
                <w:rFonts w:hint="eastAsia" w:ascii="微软雅黑" w:hAnsi="微软雅黑" w:eastAsia="微软雅黑" w:cs="宋体"/>
                <w:b/>
                <w:sz w:val="18"/>
                <w:szCs w:val="18"/>
              </w:rPr>
              <w:t>扣款内容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2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类别</w:t>
            </w:r>
          </w:p>
        </w:tc>
        <w:tc>
          <w:tcPr>
            <w:tcW w:w="5064" w:type="dxa"/>
            <w:gridSpan w:val="2"/>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事项明细</w:t>
            </w:r>
          </w:p>
        </w:tc>
        <w:tc>
          <w:tcPr>
            <w:tcW w:w="2052"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2" w:hRule="atLeast"/>
        </w:trPr>
        <w:tc>
          <w:tcPr>
            <w:tcW w:w="122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管理目标类</w:t>
            </w:r>
          </w:p>
        </w:tc>
        <w:tc>
          <w:tcPr>
            <w:tcW w:w="5064" w:type="dxa"/>
            <w:gridSpan w:val="2"/>
            <w:noWrap w:val="0"/>
            <w:vAlign w:val="center"/>
          </w:tcPr>
          <w:p>
            <w:pPr>
              <w:spacing w:line="360" w:lineRule="auto"/>
              <w:jc w:val="left"/>
              <w:rPr>
                <w:rFonts w:hint="eastAsia" w:ascii="微软雅黑" w:hAnsi="微软雅黑" w:eastAsia="微软雅黑" w:cs="宋体"/>
                <w:sz w:val="18"/>
                <w:szCs w:val="18"/>
              </w:rPr>
            </w:pPr>
          </w:p>
        </w:tc>
        <w:tc>
          <w:tcPr>
            <w:tcW w:w="2052" w:type="dxa"/>
            <w:noWrap w:val="0"/>
            <w:vAlign w:val="center"/>
          </w:tcPr>
          <w:p>
            <w:pPr>
              <w:spacing w:line="360" w:lineRule="auto"/>
              <w:jc w:val="center"/>
              <w:rPr>
                <w:rFonts w:hint="eastAsia" w:ascii="微软雅黑" w:hAnsi="微软雅黑" w:eastAsia="微软雅黑"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2" w:hRule="atLeast"/>
        </w:trPr>
        <w:tc>
          <w:tcPr>
            <w:tcW w:w="1224" w:type="dxa"/>
            <w:noWrap w:val="0"/>
            <w:vAlign w:val="center"/>
          </w:tcPr>
          <w:p>
            <w:pPr>
              <w:spacing w:line="360" w:lineRule="auto"/>
              <w:jc w:val="center"/>
              <w:rPr>
                <w:rFonts w:hint="eastAsia" w:ascii="微软雅黑" w:hAnsi="微软雅黑" w:eastAsia="微软雅黑" w:cs="宋体"/>
                <w:sz w:val="18"/>
                <w:szCs w:val="18"/>
                <w:lang w:val="en-US" w:eastAsia="zh-CN"/>
              </w:rPr>
            </w:pPr>
            <w:r>
              <w:rPr>
                <w:rFonts w:hint="eastAsia" w:ascii="微软雅黑" w:hAnsi="微软雅黑" w:eastAsia="微软雅黑" w:cs="宋体"/>
                <w:sz w:val="18"/>
                <w:szCs w:val="18"/>
                <w:lang w:val="en-US" w:eastAsia="zh-CN"/>
              </w:rPr>
              <w:t>其他扣款类</w:t>
            </w:r>
          </w:p>
        </w:tc>
        <w:tc>
          <w:tcPr>
            <w:tcW w:w="5064" w:type="dxa"/>
            <w:gridSpan w:val="2"/>
            <w:noWrap w:val="0"/>
            <w:vAlign w:val="center"/>
          </w:tcPr>
          <w:p>
            <w:pPr>
              <w:spacing w:line="360" w:lineRule="auto"/>
              <w:jc w:val="left"/>
              <w:rPr>
                <w:rFonts w:hint="eastAsia" w:ascii="微软雅黑" w:hAnsi="微软雅黑" w:eastAsia="微软雅黑" w:cs="宋体"/>
                <w:sz w:val="18"/>
                <w:szCs w:val="18"/>
              </w:rPr>
            </w:pPr>
          </w:p>
        </w:tc>
        <w:tc>
          <w:tcPr>
            <w:tcW w:w="2052" w:type="dxa"/>
            <w:noWrap w:val="0"/>
            <w:vAlign w:val="center"/>
          </w:tcPr>
          <w:p>
            <w:pPr>
              <w:spacing w:line="360" w:lineRule="auto"/>
              <w:jc w:val="center"/>
              <w:rPr>
                <w:rFonts w:hint="eastAsia" w:ascii="微软雅黑" w:hAnsi="微软雅黑" w:eastAsia="微软雅黑"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3" w:hRule="atLeast"/>
        </w:trPr>
        <w:tc>
          <w:tcPr>
            <w:tcW w:w="8340" w:type="dxa"/>
            <w:gridSpan w:val="4"/>
            <w:shd w:val="clear" w:color="auto" w:fill="B4C6E7"/>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b/>
                <w:sz w:val="18"/>
                <w:szCs w:val="18"/>
              </w:rPr>
              <w:t>签字确认区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6" w:hRule="atLeast"/>
        </w:trPr>
        <w:tc>
          <w:tcPr>
            <w:tcW w:w="122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乙方项目经理</w:t>
            </w:r>
          </w:p>
        </w:tc>
        <w:tc>
          <w:tcPr>
            <w:tcW w:w="7116" w:type="dxa"/>
            <w:gridSpan w:val="3"/>
            <w:noWrap w:val="0"/>
            <w:vAlign w:val="center"/>
          </w:tcPr>
          <w:p>
            <w:pPr>
              <w:spacing w:line="360" w:lineRule="auto"/>
              <w:jc w:val="center"/>
              <w:rPr>
                <w:rFonts w:hint="eastAsia" w:ascii="微软雅黑" w:hAnsi="微软雅黑" w:eastAsia="微软雅黑"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6" w:hRule="atLeast"/>
        </w:trPr>
        <w:tc>
          <w:tcPr>
            <w:tcW w:w="1224" w:type="dxa"/>
            <w:noWrap w:val="0"/>
            <w:vAlign w:val="center"/>
          </w:tcPr>
          <w:p>
            <w:pPr>
              <w:spacing w:line="360" w:lineRule="auto"/>
              <w:jc w:val="center"/>
              <w:rPr>
                <w:rFonts w:hint="default" w:ascii="微软雅黑" w:hAnsi="微软雅黑" w:eastAsia="微软雅黑" w:cs="宋体"/>
                <w:sz w:val="18"/>
                <w:szCs w:val="18"/>
                <w:lang w:val="en-US" w:eastAsia="zh-CN"/>
              </w:rPr>
            </w:pPr>
            <w:r>
              <w:rPr>
                <w:rFonts w:hint="eastAsia" w:ascii="微软雅黑" w:hAnsi="微软雅黑" w:eastAsia="微软雅黑" w:cs="宋体"/>
                <w:sz w:val="18"/>
                <w:szCs w:val="18"/>
                <w:lang w:val="en-US" w:eastAsia="zh-CN"/>
              </w:rPr>
              <w:t>专业负责人</w:t>
            </w:r>
          </w:p>
        </w:tc>
        <w:tc>
          <w:tcPr>
            <w:tcW w:w="7116" w:type="dxa"/>
            <w:gridSpan w:val="3"/>
            <w:noWrap w:val="0"/>
            <w:vAlign w:val="center"/>
          </w:tcPr>
          <w:p>
            <w:pPr>
              <w:spacing w:line="360" w:lineRule="auto"/>
              <w:jc w:val="center"/>
              <w:rPr>
                <w:rFonts w:hint="eastAsia" w:ascii="微软雅黑" w:hAnsi="微软雅黑" w:eastAsia="微软雅黑"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9" w:hRule="atLeast"/>
        </w:trPr>
        <w:tc>
          <w:tcPr>
            <w:tcW w:w="1224" w:type="dxa"/>
            <w:noWrap w:val="0"/>
            <w:vAlign w:val="center"/>
          </w:tcPr>
          <w:p>
            <w:pPr>
              <w:spacing w:line="360" w:lineRule="auto"/>
              <w:jc w:val="center"/>
              <w:rPr>
                <w:rFonts w:hint="eastAsia" w:ascii="微软雅黑" w:hAnsi="微软雅黑" w:eastAsia="微软雅黑" w:cs="宋体"/>
                <w:sz w:val="18"/>
                <w:szCs w:val="18"/>
              </w:rPr>
            </w:pPr>
            <w:r>
              <w:rPr>
                <w:rFonts w:hint="eastAsia" w:ascii="微软雅黑" w:hAnsi="微软雅黑" w:eastAsia="微软雅黑" w:cs="宋体"/>
                <w:sz w:val="18"/>
                <w:szCs w:val="18"/>
              </w:rPr>
              <w:t>项目负责人</w:t>
            </w:r>
          </w:p>
        </w:tc>
        <w:tc>
          <w:tcPr>
            <w:tcW w:w="7116" w:type="dxa"/>
            <w:gridSpan w:val="3"/>
            <w:noWrap w:val="0"/>
            <w:vAlign w:val="center"/>
          </w:tcPr>
          <w:p>
            <w:pPr>
              <w:spacing w:line="360" w:lineRule="auto"/>
              <w:jc w:val="center"/>
              <w:rPr>
                <w:rFonts w:hint="eastAsia" w:ascii="微软雅黑" w:hAnsi="微软雅黑" w:eastAsia="微软雅黑" w:cs="宋体"/>
                <w:sz w:val="18"/>
                <w:szCs w:val="18"/>
              </w:rPr>
            </w:pPr>
          </w:p>
        </w:tc>
      </w:tr>
      <w:bookmarkEnd w:id="1"/>
      <w:bookmarkEnd w:id="2"/>
    </w:tbl>
    <w:p>
      <w:pPr>
        <w:pStyle w:val="6"/>
        <w:ind w:firstLine="0" w:firstLineChars="0"/>
        <w:jc w:val="both"/>
        <w:rPr>
          <w:rFonts w:hint="eastAsia" w:ascii="宋体" w:hAnsi="宋体" w:cs="宋体"/>
          <w:sz w:val="22"/>
          <w:lang w:val="en-US" w:eastAsia="zh-CN"/>
        </w:rPr>
      </w:pPr>
    </w:p>
    <w:p>
      <w:pPr>
        <w:pStyle w:val="6"/>
        <w:ind w:firstLine="0" w:firstLineChars="0"/>
        <w:jc w:val="center"/>
        <w:rPr>
          <w:rFonts w:hint="eastAsia" w:ascii="宋体" w:hAnsi="宋体" w:cs="宋体"/>
          <w:sz w:val="22"/>
          <w:lang w:val="en-US" w:eastAsia="zh-CN"/>
        </w:rPr>
      </w:pPr>
    </w:p>
    <w:p>
      <w:pPr>
        <w:pStyle w:val="2"/>
        <w:tabs>
          <w:tab w:val="left" w:pos="1108"/>
        </w:tabs>
        <w:rPr>
          <w:rFonts w:hint="eastAsia" w:ascii="宋体" w:hAnsi="宋体" w:eastAsia="宋体" w:cs="宋体"/>
          <w:color w:val="auto"/>
          <w:sz w:val="21"/>
          <w:szCs w:val="21"/>
          <w:lang w:eastAsia="zh-CN"/>
        </w:rPr>
      </w:pPr>
      <w:bookmarkStart w:id="6" w:name="_GoBack"/>
      <w:bookmarkEnd w:id="6"/>
      <w:bookmarkStart w:id="3" w:name="_Toc438029536"/>
      <w:bookmarkStart w:id="4" w:name="_Toc436395768"/>
      <w:bookmarkStart w:id="5" w:name="_Toc453663903"/>
      <w:r>
        <w:rPr>
          <w:rFonts w:hint="eastAsia" w:ascii="宋体" w:hAnsi="宋体" w:eastAsia="宋体" w:cs="宋体"/>
          <w:color w:val="auto"/>
          <w:sz w:val="21"/>
          <w:szCs w:val="21"/>
          <w:lang w:eastAsia="zh-CN"/>
        </w:rPr>
        <w:t>附件</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w:t>
      </w:r>
      <w:bookmarkEnd w:id="3"/>
      <w:bookmarkEnd w:id="4"/>
      <w:bookmarkEnd w:id="5"/>
      <w:r>
        <w:rPr>
          <w:rFonts w:hint="eastAsia" w:ascii="宋体" w:hAnsi="宋体" w:eastAsia="宋体" w:cs="宋体"/>
          <w:color w:val="auto"/>
          <w:sz w:val="21"/>
          <w:szCs w:val="21"/>
          <w:lang w:eastAsia="zh-CN"/>
        </w:rPr>
        <w:t>结算原则</w:t>
      </w:r>
    </w:p>
    <w:p>
      <w:pPr>
        <w:pStyle w:val="3"/>
        <w:numPr>
          <w:ilvl w:val="0"/>
          <w:numId w:val="1"/>
        </w:numPr>
        <w:spacing w:after="0" w:afterAutospacing="0"/>
        <w:ind w:right="198"/>
        <w:rPr>
          <w:rFonts w:ascii="微软雅黑" w:hAnsi="微软雅黑" w:eastAsia="微软雅黑"/>
          <w:sz w:val="21"/>
          <w:szCs w:val="21"/>
          <w:lang w:eastAsia="zh-CN"/>
        </w:rPr>
      </w:pPr>
      <w:r>
        <w:rPr>
          <w:rFonts w:hint="eastAsia" w:ascii="微软雅黑" w:hAnsi="微软雅黑" w:eastAsia="微软雅黑"/>
          <w:sz w:val="21"/>
          <w:szCs w:val="21"/>
          <w:lang w:eastAsia="zh-CN"/>
        </w:rPr>
        <w:t>结算规则</w:t>
      </w:r>
    </w:p>
    <w:p>
      <w:pPr>
        <w:pStyle w:val="29"/>
        <w:spacing w:line="360" w:lineRule="auto"/>
        <w:rPr>
          <w:rFonts w:ascii="微软雅黑" w:hAnsi="微软雅黑" w:eastAsia="微软雅黑" w:cs="Arial"/>
          <w:sz w:val="21"/>
          <w:szCs w:val="21"/>
          <w:lang w:eastAsia="zh-CN"/>
        </w:rPr>
      </w:pPr>
      <w:r>
        <w:rPr>
          <w:rFonts w:hint="eastAsia" w:ascii="微软雅黑" w:hAnsi="微软雅黑" w:eastAsia="微软雅黑" w:cs="Arial"/>
          <w:sz w:val="21"/>
          <w:szCs w:val="21"/>
          <w:lang w:eastAsia="zh-CN"/>
        </w:rPr>
        <w:t>1</w:t>
      </w:r>
      <w:r>
        <w:rPr>
          <w:rFonts w:ascii="微软雅黑" w:hAnsi="微软雅黑" w:eastAsia="微软雅黑" w:cs="Arial"/>
          <w:sz w:val="21"/>
          <w:szCs w:val="21"/>
          <w:lang w:eastAsia="zh-CN"/>
        </w:rPr>
        <w:t>.1</w:t>
      </w:r>
      <w:r>
        <w:rPr>
          <w:rFonts w:hint="eastAsia" w:ascii="微软雅黑" w:hAnsi="微软雅黑" w:eastAsia="微软雅黑" w:cs="Arial"/>
          <w:sz w:val="21"/>
          <w:szCs w:val="21"/>
          <w:lang w:val="en-US" w:eastAsia="zh-CN"/>
        </w:rPr>
        <w:t xml:space="preserve"> 本次</w:t>
      </w:r>
      <w:r>
        <w:rPr>
          <w:rFonts w:hint="eastAsia" w:ascii="微软雅黑" w:hAnsi="微软雅黑" w:eastAsia="微软雅黑" w:cs="Arial"/>
          <w:sz w:val="21"/>
          <w:szCs w:val="21"/>
          <w:lang w:eastAsia="zh-CN"/>
        </w:rPr>
        <w:t>应付款=</w:t>
      </w:r>
      <w:r>
        <w:rPr>
          <w:rFonts w:hint="eastAsia" w:ascii="微软雅黑" w:hAnsi="微软雅黑" w:eastAsia="微软雅黑" w:cs="Arial"/>
          <w:sz w:val="21"/>
          <w:szCs w:val="21"/>
          <w:lang w:val="en-US" w:eastAsia="zh-CN"/>
        </w:rPr>
        <w:t>本次</w:t>
      </w:r>
      <w:r>
        <w:rPr>
          <w:rFonts w:hint="eastAsia" w:ascii="微软雅黑" w:hAnsi="微软雅黑" w:eastAsia="微软雅黑" w:cs="Arial"/>
          <w:sz w:val="21"/>
          <w:szCs w:val="21"/>
          <w:lang w:eastAsia="zh-CN"/>
        </w:rPr>
        <w:t>包干合同费用-扣款费用；</w:t>
      </w:r>
    </w:p>
    <w:p>
      <w:pPr>
        <w:pStyle w:val="29"/>
        <w:spacing w:line="360" w:lineRule="auto"/>
        <w:rPr>
          <w:rFonts w:ascii="微软雅黑" w:hAnsi="微软雅黑" w:eastAsia="微软雅黑" w:cs="Arial"/>
          <w:sz w:val="21"/>
          <w:szCs w:val="21"/>
          <w:lang w:eastAsia="zh-CN"/>
        </w:rPr>
      </w:pPr>
      <w:r>
        <w:rPr>
          <w:rFonts w:hint="eastAsia" w:ascii="微软雅黑" w:hAnsi="微软雅黑" w:eastAsia="微软雅黑" w:cs="Arial"/>
          <w:sz w:val="21"/>
          <w:szCs w:val="21"/>
          <w:lang w:eastAsia="zh-CN"/>
        </w:rPr>
        <w:t>1</w:t>
      </w:r>
      <w:r>
        <w:rPr>
          <w:rFonts w:ascii="微软雅黑" w:hAnsi="微软雅黑" w:eastAsia="微软雅黑" w:cs="Arial"/>
          <w:sz w:val="21"/>
          <w:szCs w:val="21"/>
          <w:lang w:eastAsia="zh-CN"/>
        </w:rPr>
        <w:t>.</w:t>
      </w:r>
      <w:r>
        <w:rPr>
          <w:rFonts w:hint="eastAsia" w:ascii="微软雅黑" w:hAnsi="微软雅黑" w:eastAsia="微软雅黑" w:cs="Arial"/>
          <w:sz w:val="21"/>
          <w:szCs w:val="21"/>
          <w:lang w:val="en-US" w:eastAsia="zh-CN"/>
        </w:rPr>
        <w:t xml:space="preserve">2 </w:t>
      </w:r>
      <w:r>
        <w:rPr>
          <w:rFonts w:hint="eastAsia" w:ascii="微软雅黑" w:hAnsi="微软雅黑" w:eastAsia="微软雅黑" w:cs="Arial"/>
          <w:sz w:val="21"/>
          <w:szCs w:val="21"/>
          <w:lang w:eastAsia="zh-CN"/>
        </w:rPr>
        <w:t>合同签订后，</w:t>
      </w:r>
      <w:r>
        <w:rPr>
          <w:rFonts w:hint="eastAsia" w:ascii="微软雅黑" w:hAnsi="微软雅黑" w:eastAsia="微软雅黑" w:cs="Arial"/>
          <w:sz w:val="21"/>
          <w:szCs w:val="21"/>
          <w:lang w:val="en-US" w:eastAsia="zh-CN"/>
        </w:rPr>
        <w:t>本次</w:t>
      </w:r>
      <w:r>
        <w:rPr>
          <w:rFonts w:hint="eastAsia" w:ascii="微软雅黑" w:hAnsi="微软雅黑" w:eastAsia="微软雅黑" w:cs="Arial"/>
          <w:sz w:val="21"/>
          <w:szCs w:val="21"/>
          <w:lang w:eastAsia="zh-CN"/>
        </w:rPr>
        <w:t>合同费用在次月支付（按照乙方实际接管日期起计费用）。</w:t>
      </w:r>
    </w:p>
    <w:p>
      <w:pPr>
        <w:pStyle w:val="29"/>
        <w:spacing w:line="360" w:lineRule="auto"/>
        <w:ind w:firstLine="0" w:firstLineChars="0"/>
        <w:rPr>
          <w:rFonts w:hint="default" w:ascii="微软雅黑" w:hAnsi="微软雅黑" w:eastAsia="微软雅黑" w:cs="Arial"/>
          <w:b/>
          <w:bCs/>
          <w:sz w:val="21"/>
          <w:szCs w:val="21"/>
          <w:lang w:val="en-US" w:eastAsia="zh-CN"/>
        </w:rPr>
      </w:pPr>
      <w:r>
        <w:rPr>
          <w:rFonts w:hint="eastAsia" w:ascii="微软雅黑" w:hAnsi="微软雅黑" w:eastAsia="微软雅黑" w:cs="Arial"/>
          <w:b/>
          <w:bCs/>
          <w:sz w:val="21"/>
          <w:szCs w:val="21"/>
          <w:lang w:val="en-US" w:eastAsia="zh-CN"/>
        </w:rPr>
        <w:t>二、处罚规则</w:t>
      </w:r>
    </w:p>
    <w:p>
      <w:pPr>
        <w:pStyle w:val="29"/>
        <w:spacing w:line="360" w:lineRule="auto"/>
        <w:rPr>
          <w:rFonts w:hint="eastAsia" w:ascii="微软雅黑" w:hAnsi="微软雅黑" w:eastAsia="微软雅黑" w:cs="Arial"/>
          <w:sz w:val="21"/>
          <w:szCs w:val="21"/>
          <w:lang w:eastAsia="zh-CN"/>
        </w:rPr>
      </w:pPr>
      <w:r>
        <w:rPr>
          <w:rFonts w:hint="eastAsia" w:ascii="微软雅黑" w:hAnsi="微软雅黑" w:eastAsia="微软雅黑" w:cs="Arial"/>
          <w:sz w:val="21"/>
          <w:szCs w:val="21"/>
          <w:lang w:eastAsia="zh-CN"/>
        </w:rPr>
        <w:t>合作过程中，如乙方出现违背上述管理要求，甲方将依据以下细则条款进行处罚，并在月度结算中进行扣款</w:t>
      </w:r>
      <w:r>
        <w:rPr>
          <w:rFonts w:ascii="微软雅黑" w:hAnsi="微软雅黑" w:eastAsia="微软雅黑" w:cs="Arial"/>
          <w:sz w:val="21"/>
          <w:szCs w:val="21"/>
          <w:lang w:eastAsia="zh-CN"/>
        </w:rPr>
        <w:t>。如同一事件触发多条罚则，可累计处罚；如多次触发同一罚则，也可累计处罚。</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093"/>
        <w:gridCol w:w="4130"/>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969" w:type="dxa"/>
            <w:noWrap w:val="0"/>
            <w:vAlign w:val="center"/>
          </w:tcPr>
          <w:p>
            <w:pPr>
              <w:widowControl/>
              <w:spacing w:line="300" w:lineRule="exact"/>
              <w:jc w:val="center"/>
              <w:rPr>
                <w:rFonts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类别</w:t>
            </w:r>
          </w:p>
        </w:tc>
        <w:tc>
          <w:tcPr>
            <w:tcW w:w="1093" w:type="dxa"/>
            <w:noWrap w:val="0"/>
            <w:vAlign w:val="center"/>
          </w:tcPr>
          <w:p>
            <w:pPr>
              <w:widowControl/>
              <w:spacing w:line="300" w:lineRule="exact"/>
              <w:jc w:val="center"/>
              <w:rPr>
                <w:rFonts w:hint="eastAsia"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内容</w:t>
            </w:r>
          </w:p>
        </w:tc>
        <w:tc>
          <w:tcPr>
            <w:tcW w:w="4130" w:type="dxa"/>
            <w:noWrap w:val="0"/>
            <w:vAlign w:val="center"/>
          </w:tcPr>
          <w:p>
            <w:pPr>
              <w:widowControl/>
              <w:spacing w:line="300" w:lineRule="exact"/>
              <w:jc w:val="center"/>
              <w:rPr>
                <w:rFonts w:hint="eastAsia"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扣款条款</w:t>
            </w:r>
          </w:p>
        </w:tc>
        <w:tc>
          <w:tcPr>
            <w:tcW w:w="2327" w:type="dxa"/>
            <w:noWrap w:val="0"/>
            <w:vAlign w:val="center"/>
          </w:tcPr>
          <w:p>
            <w:pPr>
              <w:widowControl/>
              <w:spacing w:line="300" w:lineRule="exact"/>
              <w:jc w:val="center"/>
              <w:rPr>
                <w:rFonts w:hint="eastAsia"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扣款额度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969" w:type="dxa"/>
            <w:vMerge w:val="restart"/>
            <w:shd w:val="clear" w:color="000000" w:fill="FFFFFF"/>
            <w:noWrap w:val="0"/>
            <w:vAlign w:val="center"/>
          </w:tcPr>
          <w:p>
            <w:pPr>
              <w:widowControl/>
              <w:spacing w:line="300" w:lineRule="exact"/>
              <w:jc w:val="center"/>
              <w:rPr>
                <w:rFonts w:hint="eastAsia" w:ascii="微软雅黑" w:hAnsi="微软雅黑" w:eastAsia="微软雅黑" w:cs="宋体"/>
                <w:b/>
                <w:color w:val="000000"/>
                <w:kern w:val="0"/>
                <w:sz w:val="18"/>
                <w:szCs w:val="18"/>
              </w:rPr>
            </w:pPr>
            <w:r>
              <w:rPr>
                <w:rFonts w:hint="eastAsia" w:ascii="微软雅黑" w:hAnsi="微软雅黑" w:eastAsia="微软雅黑" w:cs="宋体"/>
                <w:b/>
                <w:color w:val="000000"/>
                <w:kern w:val="0"/>
                <w:sz w:val="18"/>
                <w:szCs w:val="18"/>
              </w:rPr>
              <w:t>行为准则类</w:t>
            </w: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品牌影响</w:t>
            </w:r>
          </w:p>
        </w:tc>
        <w:tc>
          <w:tcPr>
            <w:tcW w:w="4130" w:type="dxa"/>
            <w:shd w:val="clear" w:color="auto" w:fill="auto"/>
            <w:noWrap w:val="0"/>
            <w:vAlign w:val="center"/>
          </w:tcPr>
          <w:p>
            <w:pPr>
              <w:widowControl/>
              <w:spacing w:line="300" w:lineRule="exac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①乙方原因导致甲方遭受媒体通报、政府处罚、业主群诉等，对甲方品牌产生恶劣影响；</w:t>
            </w:r>
          </w:p>
          <w:p>
            <w:pPr>
              <w:widowControl/>
              <w:spacing w:line="300" w:lineRule="exac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②乙方原因导致甲方在集团检查中出现</w:t>
            </w:r>
            <w:r>
              <w:rPr>
                <w:rFonts w:hint="eastAsia" w:ascii="微软雅黑" w:hAnsi="微软雅黑" w:eastAsia="微软雅黑" w:cs="宋体"/>
                <w:color w:val="000000"/>
                <w:kern w:val="0"/>
                <w:sz w:val="18"/>
                <w:szCs w:val="18"/>
                <w:lang w:eastAsia="zh-CN"/>
              </w:rPr>
              <w:t>的</w:t>
            </w:r>
            <w:r>
              <w:rPr>
                <w:rFonts w:hint="eastAsia" w:ascii="微软雅黑" w:hAnsi="微软雅黑" w:eastAsia="微软雅黑" w:cs="宋体"/>
                <w:color w:val="000000"/>
                <w:kern w:val="0"/>
                <w:sz w:val="18"/>
                <w:szCs w:val="18"/>
              </w:rPr>
              <w:t>通报批评；</w:t>
            </w:r>
          </w:p>
        </w:tc>
        <w:tc>
          <w:tcPr>
            <w:tcW w:w="2327" w:type="dxa"/>
            <w:vMerge w:val="restart"/>
            <w:shd w:val="clear" w:color="000000" w:fill="FFFFFF"/>
            <w:noWrap w:val="0"/>
            <w:vAlign w:val="center"/>
          </w:tcPr>
          <w:p>
            <w:pPr>
              <w:widowControl/>
              <w:spacing w:line="300" w:lineRule="exact"/>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触发一次，扣除合同总金额</w:t>
            </w:r>
            <w:r>
              <w:rPr>
                <w:rFonts w:ascii="微软雅黑" w:hAnsi="微软雅黑" w:eastAsia="微软雅黑" w:cs="宋体"/>
                <w:color w:val="000000"/>
                <w:kern w:val="0"/>
                <w:sz w:val="18"/>
                <w:szCs w:val="18"/>
              </w:rPr>
              <w:t>5</w:t>
            </w:r>
            <w:r>
              <w:rPr>
                <w:rFonts w:hint="eastAsia" w:ascii="微软雅黑" w:hAnsi="微软雅黑" w:eastAsia="微软雅黑" w:cs="宋体"/>
                <w:color w:val="000000"/>
                <w:kern w:val="0"/>
                <w:sz w:val="18"/>
                <w:szCs w:val="18"/>
              </w:rPr>
              <w:t>%，可累计处罚；</w:t>
            </w:r>
          </w:p>
          <w:p>
            <w:pPr>
              <w:widowControl/>
              <w:spacing w:line="300" w:lineRule="exact"/>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如触发两次，处罚并终止合同；</w:t>
            </w:r>
          </w:p>
          <w:p>
            <w:pPr>
              <w:widowControl/>
              <w:spacing w:line="300" w:lineRule="exact"/>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（服务期间出现左侧事件即触发）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969" w:type="dxa"/>
            <w:vMerge w:val="continue"/>
            <w:shd w:val="clear" w:color="auto" w:fill="auto"/>
            <w:noWrap w:val="0"/>
            <w:vAlign w:val="center"/>
          </w:tcPr>
          <w:p>
            <w:pPr>
              <w:widowControl/>
              <w:spacing w:line="300" w:lineRule="exact"/>
              <w:jc w:val="left"/>
              <w:rPr>
                <w:rFonts w:ascii="微软雅黑" w:hAnsi="微软雅黑" w:eastAsia="微软雅黑" w:cs="宋体"/>
                <w:b/>
                <w:color w:val="000000"/>
                <w:kern w:val="0"/>
                <w:sz w:val="18"/>
                <w:szCs w:val="18"/>
              </w:rPr>
            </w:pP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职业操守类</w:t>
            </w:r>
          </w:p>
        </w:tc>
        <w:tc>
          <w:tcPr>
            <w:tcW w:w="4130" w:type="dxa"/>
            <w:noWrap w:val="0"/>
            <w:vAlign w:val="center"/>
          </w:tcPr>
          <w:p>
            <w:pPr>
              <w:widowControl/>
              <w:spacing w:line="300" w:lineRule="exac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乙方员工存在寻衅滋事、故意伤害、监守自盗、敲诈勒索、招摇撞骗、额外收费、弄虚作假、商业信息泄露、行贿受贿等情况，经查证属实；</w:t>
            </w:r>
          </w:p>
        </w:tc>
        <w:tc>
          <w:tcPr>
            <w:tcW w:w="2327" w:type="dxa"/>
            <w:vMerge w:val="continue"/>
            <w:noWrap w:val="0"/>
            <w:vAlign w:val="center"/>
          </w:tcPr>
          <w:p>
            <w:pPr>
              <w:widowControl/>
              <w:spacing w:line="300" w:lineRule="exact"/>
              <w:jc w:val="left"/>
              <w:rPr>
                <w:rFonts w:ascii="微软雅黑" w:hAnsi="微软雅黑" w:eastAsia="微软雅黑"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969" w:type="dxa"/>
            <w:vMerge w:val="continue"/>
            <w:shd w:val="clear" w:color="auto" w:fill="auto"/>
            <w:noWrap w:val="0"/>
            <w:vAlign w:val="center"/>
          </w:tcPr>
          <w:p>
            <w:pPr>
              <w:widowControl/>
              <w:spacing w:line="300" w:lineRule="exact"/>
              <w:jc w:val="left"/>
              <w:rPr>
                <w:rFonts w:ascii="微软雅黑" w:hAnsi="微软雅黑" w:eastAsia="微软雅黑" w:cs="宋体"/>
                <w:b/>
                <w:color w:val="000000"/>
                <w:kern w:val="0"/>
                <w:sz w:val="18"/>
                <w:szCs w:val="18"/>
              </w:rPr>
            </w:pP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重大缺陷</w:t>
            </w:r>
          </w:p>
        </w:tc>
        <w:tc>
          <w:tcPr>
            <w:tcW w:w="4130" w:type="dxa"/>
            <w:noWrap w:val="0"/>
            <w:vAlign w:val="center"/>
          </w:tcPr>
          <w:p>
            <w:pPr>
              <w:widowControl/>
              <w:spacing w:line="300" w:lineRule="exac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因违规作业或管理缺陷，造成甲方或第三方生命或财产损失的；</w:t>
            </w:r>
          </w:p>
        </w:tc>
        <w:tc>
          <w:tcPr>
            <w:tcW w:w="2327" w:type="dxa"/>
            <w:vMerge w:val="continue"/>
            <w:noWrap w:val="0"/>
            <w:vAlign w:val="center"/>
          </w:tcPr>
          <w:p>
            <w:pPr>
              <w:widowControl/>
              <w:spacing w:line="300" w:lineRule="exact"/>
              <w:jc w:val="left"/>
              <w:rPr>
                <w:rFonts w:ascii="微软雅黑" w:hAnsi="微软雅黑" w:eastAsia="微软雅黑"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969" w:type="dxa"/>
            <w:vMerge w:val="continue"/>
            <w:shd w:val="clear" w:color="auto" w:fill="auto"/>
            <w:noWrap w:val="0"/>
            <w:vAlign w:val="center"/>
          </w:tcPr>
          <w:p>
            <w:pPr>
              <w:widowControl/>
              <w:spacing w:line="300" w:lineRule="exact"/>
              <w:jc w:val="left"/>
              <w:rPr>
                <w:rFonts w:ascii="微软雅黑" w:hAnsi="微软雅黑" w:eastAsia="微软雅黑" w:cs="宋体"/>
                <w:b/>
                <w:color w:val="000000"/>
                <w:kern w:val="0"/>
                <w:sz w:val="18"/>
                <w:szCs w:val="18"/>
              </w:rPr>
            </w:pP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社会影响</w:t>
            </w:r>
          </w:p>
        </w:tc>
        <w:tc>
          <w:tcPr>
            <w:tcW w:w="4130" w:type="dxa"/>
            <w:noWrap w:val="0"/>
            <w:vAlign w:val="center"/>
          </w:tcPr>
          <w:p>
            <w:pPr>
              <w:widowControl/>
              <w:spacing w:line="300" w:lineRule="exac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①合同中断或终止时，乙方在工作交接时拒不配合出现员工堵门、闹事等情况；</w:t>
            </w:r>
          </w:p>
          <w:p>
            <w:pPr>
              <w:widowControl/>
              <w:spacing w:line="300" w:lineRule="exac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②乙方员工出现讨薪、堵门、闹事、恶意报警等影响社会稳定的情况；</w:t>
            </w:r>
          </w:p>
        </w:tc>
        <w:tc>
          <w:tcPr>
            <w:tcW w:w="2327" w:type="dxa"/>
            <w:vMerge w:val="continue"/>
            <w:noWrap w:val="0"/>
            <w:vAlign w:val="center"/>
          </w:tcPr>
          <w:p>
            <w:pPr>
              <w:widowControl/>
              <w:spacing w:line="300" w:lineRule="exact"/>
              <w:jc w:val="left"/>
              <w:rPr>
                <w:rFonts w:ascii="微软雅黑" w:hAnsi="微软雅黑" w:eastAsia="微软雅黑"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969" w:type="dxa"/>
            <w:vMerge w:val="restart"/>
            <w:shd w:val="clear" w:color="auto" w:fill="auto"/>
            <w:noWrap w:val="0"/>
            <w:vAlign w:val="center"/>
          </w:tcPr>
          <w:p>
            <w:pPr>
              <w:widowControl/>
              <w:spacing w:line="300" w:lineRule="exact"/>
              <w:jc w:val="center"/>
              <w:rPr>
                <w:rFonts w:ascii="微软雅黑" w:hAnsi="微软雅黑" w:eastAsia="微软雅黑" w:cs="宋体"/>
                <w:b/>
                <w:color w:val="000000"/>
                <w:kern w:val="0"/>
                <w:sz w:val="18"/>
                <w:szCs w:val="18"/>
              </w:rPr>
            </w:pPr>
            <w:r>
              <w:rPr>
                <w:rFonts w:hint="eastAsia" w:ascii="微软雅黑" w:hAnsi="微软雅黑" w:eastAsia="微软雅黑" w:cs="宋体"/>
                <w:b/>
                <w:color w:val="000000"/>
                <w:kern w:val="0"/>
                <w:sz w:val="18"/>
                <w:szCs w:val="18"/>
                <w:lang w:val="en-US" w:eastAsia="zh-CN"/>
              </w:rPr>
              <w:t>其他扣款</w:t>
            </w:r>
            <w:r>
              <w:rPr>
                <w:rFonts w:hint="eastAsia" w:ascii="微软雅黑" w:hAnsi="微软雅黑" w:eastAsia="微软雅黑" w:cs="宋体"/>
                <w:b/>
                <w:color w:val="000000"/>
                <w:kern w:val="0"/>
                <w:sz w:val="18"/>
                <w:szCs w:val="18"/>
              </w:rPr>
              <w:t>类</w:t>
            </w: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员工行为</w:t>
            </w:r>
          </w:p>
        </w:tc>
        <w:tc>
          <w:tcPr>
            <w:tcW w:w="4130" w:type="dxa"/>
            <w:noWrap w:val="0"/>
            <w:vAlign w:val="center"/>
          </w:tcPr>
          <w:p>
            <w:pPr>
              <w:widowControl/>
              <w:spacing w:line="300" w:lineRule="exac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①员工私自捡拾、出售废品、擅自离岗、消极待岗、上岗饮酒等</w:t>
            </w:r>
          </w:p>
        </w:tc>
        <w:tc>
          <w:tcPr>
            <w:tcW w:w="2327" w:type="dxa"/>
            <w:noWrap w:val="0"/>
            <w:vAlign w:val="center"/>
          </w:tcPr>
          <w:p>
            <w:pPr>
              <w:widowControl/>
              <w:spacing w:line="300" w:lineRule="exact"/>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扣款：50元/次</w:t>
            </w:r>
          </w:p>
          <w:p>
            <w:pPr>
              <w:widowControl/>
              <w:spacing w:line="300" w:lineRule="exact"/>
              <w:jc w:val="left"/>
              <w:rPr>
                <w:rFonts w:ascii="微软雅黑" w:hAnsi="微软雅黑" w:eastAsia="微软雅黑" w:cs="宋体"/>
                <w:color w:val="000000"/>
                <w:kern w:val="0"/>
                <w:sz w:val="18"/>
                <w:szCs w:val="18"/>
              </w:rPr>
            </w:pPr>
            <w:r>
              <w:rPr>
                <w:rFonts w:ascii="微软雅黑" w:hAnsi="微软雅黑" w:eastAsia="微软雅黑" w:cs="宋体"/>
                <w:color w:val="000000"/>
                <w:kern w:val="0"/>
                <w:sz w:val="18"/>
                <w:szCs w:val="18"/>
              </w:rPr>
              <w:t>（随机检查触发）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969" w:type="dxa"/>
            <w:vMerge w:val="continue"/>
            <w:shd w:val="clear" w:color="auto" w:fill="auto"/>
            <w:noWrap w:val="0"/>
            <w:vAlign w:val="center"/>
          </w:tcPr>
          <w:p>
            <w:pPr>
              <w:rPr>
                <w:rFonts w:ascii="微软雅黑" w:hAnsi="微软雅黑" w:eastAsia="微软雅黑" w:cs="宋体"/>
                <w:b/>
                <w:color w:val="000000"/>
                <w:kern w:val="0"/>
                <w:sz w:val="18"/>
                <w:szCs w:val="18"/>
              </w:rPr>
            </w:pP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lang w:val="en-US" w:eastAsia="zh-CN" w:bidi="ar-SA"/>
              </w:rPr>
            </w:pPr>
            <w:r>
              <w:rPr>
                <w:rFonts w:hint="eastAsia" w:ascii="微软雅黑" w:hAnsi="微软雅黑" w:eastAsia="微软雅黑" w:cs="宋体"/>
                <w:color w:val="000000"/>
                <w:kern w:val="0"/>
                <w:sz w:val="18"/>
                <w:szCs w:val="18"/>
              </w:rPr>
              <w:t>作业标准</w:t>
            </w:r>
          </w:p>
        </w:tc>
        <w:tc>
          <w:tcPr>
            <w:tcW w:w="4130" w:type="dxa"/>
            <w:noWrap w:val="0"/>
            <w:vAlign w:val="center"/>
          </w:tcPr>
          <w:p>
            <w:pPr>
              <w:widowControl/>
              <w:spacing w:line="300" w:lineRule="exac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①乙方未按照合同约定执行，导致作业频次、标准不达标；</w:t>
            </w:r>
          </w:p>
          <w:p>
            <w:pPr>
              <w:widowControl/>
              <w:spacing w:line="300" w:lineRule="exac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②乙方未按照安全生产、节能减排要求进行作业；</w:t>
            </w:r>
          </w:p>
          <w:p>
            <w:pPr>
              <w:widowControl/>
              <w:spacing w:line="300" w:lineRule="exact"/>
              <w:rPr>
                <w:rFonts w:hint="eastAsia" w:ascii="微软雅黑" w:hAnsi="微软雅黑" w:eastAsia="微软雅黑" w:cs="宋体"/>
                <w:color w:val="000000"/>
                <w:kern w:val="0"/>
                <w:sz w:val="18"/>
                <w:szCs w:val="18"/>
                <w:lang w:val="en-US" w:eastAsia="zh-CN" w:bidi="ar-SA"/>
              </w:rPr>
            </w:pPr>
            <w:r>
              <w:rPr>
                <w:rFonts w:hint="eastAsia" w:ascii="微软雅黑" w:hAnsi="微软雅黑" w:eastAsia="微软雅黑" w:cs="宋体"/>
                <w:color w:val="000000"/>
                <w:kern w:val="0"/>
                <w:sz w:val="18"/>
                <w:szCs w:val="18"/>
              </w:rPr>
              <w:t>③相同类型的问题在同一周内出现3次以上客户投诉；</w:t>
            </w:r>
          </w:p>
        </w:tc>
        <w:tc>
          <w:tcPr>
            <w:tcW w:w="2327" w:type="dxa"/>
            <w:noWrap w:val="0"/>
            <w:vAlign w:val="center"/>
          </w:tcPr>
          <w:p>
            <w:pPr>
              <w:widowControl/>
              <w:spacing w:line="300" w:lineRule="exact"/>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扣款：</w:t>
            </w:r>
            <w:r>
              <w:rPr>
                <w:rFonts w:hint="eastAsia" w:ascii="微软雅黑" w:hAnsi="微软雅黑" w:eastAsia="微软雅黑" w:cs="宋体"/>
                <w:color w:val="000000"/>
                <w:kern w:val="0"/>
                <w:sz w:val="18"/>
                <w:szCs w:val="18"/>
                <w:lang w:val="en-US" w:eastAsia="zh-CN"/>
              </w:rPr>
              <w:t>5</w:t>
            </w:r>
            <w:r>
              <w:rPr>
                <w:rFonts w:hint="eastAsia" w:ascii="微软雅黑" w:hAnsi="微软雅黑" w:eastAsia="微软雅黑" w:cs="宋体"/>
                <w:color w:val="000000"/>
                <w:kern w:val="0"/>
                <w:sz w:val="18"/>
                <w:szCs w:val="18"/>
              </w:rPr>
              <w:t>0元/次</w:t>
            </w:r>
          </w:p>
          <w:p>
            <w:pPr>
              <w:widowControl/>
              <w:spacing w:line="300" w:lineRule="exact"/>
              <w:jc w:val="left"/>
              <w:rPr>
                <w:rFonts w:ascii="微软雅黑" w:hAnsi="微软雅黑" w:eastAsia="微软雅黑" w:cs="宋体"/>
                <w:color w:val="000000"/>
                <w:kern w:val="0"/>
                <w:sz w:val="18"/>
                <w:szCs w:val="18"/>
                <w:lang w:val="en-US" w:eastAsia="zh-CN" w:bidi="ar-SA"/>
              </w:rPr>
            </w:pPr>
            <w:r>
              <w:rPr>
                <w:rFonts w:ascii="微软雅黑" w:hAnsi="微软雅黑" w:eastAsia="微软雅黑" w:cs="宋体"/>
                <w:color w:val="000000"/>
                <w:kern w:val="0"/>
                <w:sz w:val="18"/>
                <w:szCs w:val="18"/>
              </w:rPr>
              <w:t>（随机检查触发）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969" w:type="dxa"/>
            <w:vMerge w:val="continue"/>
            <w:shd w:val="clear" w:color="auto" w:fill="auto"/>
            <w:noWrap w:val="0"/>
            <w:vAlign w:val="center"/>
          </w:tcPr>
          <w:p>
            <w:pPr>
              <w:widowControl/>
              <w:spacing w:line="300" w:lineRule="exact"/>
              <w:jc w:val="left"/>
              <w:rPr>
                <w:rFonts w:ascii="微软雅黑" w:hAnsi="微软雅黑" w:eastAsia="微软雅黑" w:cs="宋体"/>
                <w:b/>
                <w:color w:val="000000"/>
                <w:kern w:val="0"/>
                <w:sz w:val="18"/>
                <w:szCs w:val="18"/>
              </w:rPr>
            </w:pPr>
          </w:p>
        </w:tc>
        <w:tc>
          <w:tcPr>
            <w:tcW w:w="1093" w:type="dxa"/>
            <w:shd w:val="clear" w:color="000000" w:fill="FFFFFF"/>
            <w:noWrap w:val="0"/>
            <w:vAlign w:val="center"/>
          </w:tcPr>
          <w:p>
            <w:pPr>
              <w:widowControl/>
              <w:spacing w:line="300" w:lineRule="exact"/>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指令执行</w:t>
            </w:r>
          </w:p>
        </w:tc>
        <w:tc>
          <w:tcPr>
            <w:tcW w:w="4130" w:type="dxa"/>
            <w:noWrap w:val="0"/>
            <w:vAlign w:val="center"/>
          </w:tcPr>
          <w:p>
            <w:pPr>
              <w:widowControl/>
              <w:spacing w:line="300" w:lineRule="exac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①项目遇到突发事件，乙方拒绝配合或配合不理想；</w:t>
            </w:r>
          </w:p>
          <w:p>
            <w:pPr>
              <w:widowControl/>
              <w:spacing w:line="300" w:lineRule="exac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②对甲方巡场问题，未整改、未反馈或整改效果未达到要求；</w:t>
            </w:r>
          </w:p>
        </w:tc>
        <w:tc>
          <w:tcPr>
            <w:tcW w:w="2327" w:type="dxa"/>
            <w:noWrap w:val="0"/>
            <w:vAlign w:val="center"/>
          </w:tcPr>
          <w:p>
            <w:pPr>
              <w:widowControl/>
              <w:spacing w:line="300" w:lineRule="exact"/>
              <w:jc w:val="lef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扣款：</w:t>
            </w:r>
            <w:r>
              <w:rPr>
                <w:rFonts w:hint="eastAsia" w:ascii="微软雅黑" w:hAnsi="微软雅黑" w:eastAsia="微软雅黑" w:cs="宋体"/>
                <w:color w:val="000000"/>
                <w:kern w:val="0"/>
                <w:sz w:val="18"/>
                <w:szCs w:val="18"/>
                <w:lang w:val="en-US" w:eastAsia="zh-CN"/>
              </w:rPr>
              <w:t>1</w:t>
            </w:r>
            <w:r>
              <w:rPr>
                <w:rFonts w:hint="eastAsia" w:ascii="微软雅黑" w:hAnsi="微软雅黑" w:eastAsia="微软雅黑" w:cs="宋体"/>
                <w:color w:val="000000"/>
                <w:kern w:val="0"/>
                <w:sz w:val="18"/>
                <w:szCs w:val="18"/>
              </w:rPr>
              <w:t>00元/次</w:t>
            </w:r>
          </w:p>
          <w:p>
            <w:pPr>
              <w:widowControl/>
              <w:spacing w:line="300" w:lineRule="exact"/>
              <w:jc w:val="left"/>
              <w:rPr>
                <w:rFonts w:ascii="微软雅黑" w:hAnsi="微软雅黑" w:eastAsia="微软雅黑" w:cs="宋体"/>
                <w:color w:val="000000"/>
                <w:kern w:val="0"/>
                <w:sz w:val="18"/>
                <w:szCs w:val="18"/>
              </w:rPr>
            </w:pPr>
            <w:r>
              <w:rPr>
                <w:rFonts w:ascii="微软雅黑" w:hAnsi="微软雅黑" w:eastAsia="微软雅黑" w:cs="宋体"/>
                <w:color w:val="000000"/>
                <w:kern w:val="0"/>
                <w:sz w:val="18"/>
                <w:szCs w:val="18"/>
              </w:rPr>
              <w:t>（随机检查触发）</w:t>
            </w:r>
          </w:p>
        </w:tc>
      </w:tr>
    </w:tbl>
    <w:p>
      <w:pPr>
        <w:pStyle w:val="6"/>
        <w:ind w:firstLine="0" w:firstLineChars="0"/>
        <w:jc w:val="center"/>
        <w:rPr>
          <w:rFonts w:ascii="宋体" w:hAnsi="宋体" w:cs="宋体"/>
          <w:sz w:val="22"/>
          <w:lang w:eastAsia="zh-CN"/>
        </w:rPr>
      </w:pPr>
    </w:p>
    <w:sectPr>
      <w:headerReference r:id="rId7" w:type="default"/>
      <w:footerReference r:id="rId8" w:type="default"/>
      <w:pgSz w:w="11906" w:h="16838"/>
      <w:pgMar w:top="1440" w:right="1800" w:bottom="1440" w:left="1800" w:header="0" w:footer="3"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69B104C-ECA6-4618-83E3-3A767EA4D248}"/>
  </w:font>
  <w:font w:name="黑体">
    <w:panose1 w:val="02010609060101010101"/>
    <w:charset w:val="86"/>
    <w:family w:val="auto"/>
    <w:pitch w:val="default"/>
    <w:sig w:usb0="800002BF" w:usb1="38CF7CFA" w:usb2="00000016" w:usb3="00000000" w:csb0="00040001" w:csb1="00000000"/>
    <w:embedRegular r:id="rId2" w:fontKey="{0F9B9702-F479-496B-89A8-4072F3E856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4813C3A-D19F-4DAA-8624-F4496F3FD775}"/>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4" w:fontKey="{CA36343B-1101-4034-BAE0-810B567F662D}"/>
  </w:font>
  <w:font w:name="仿宋">
    <w:panose1 w:val="02010609060101010101"/>
    <w:charset w:val="86"/>
    <w:family w:val="modern"/>
    <w:pitch w:val="default"/>
    <w:sig w:usb0="800002BF" w:usb1="38CF7CFA" w:usb2="00000016" w:usb3="00000000" w:csb0="00040001" w:csb1="00000000"/>
    <w:embedRegular r:id="rId5" w:fontKey="{5E3FEB87-3F2F-4C1E-9F79-D2ED6613B7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lang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382"/>
        <w:tab w:val="clear" w:pos="4153"/>
      </w:tabs>
      <w:jc w:val="both"/>
      <w:rPr>
        <w:rFonts w:ascii="仿宋" w:hAnsi="仿宋" w:eastAsia="仿宋" w:cs="仿宋"/>
        <w:sz w:val="21"/>
        <w:szCs w:val="21"/>
      </w:rPr>
    </w:pPr>
    <w:r>
      <w:rPr>
        <w:sz w:val="21"/>
        <w:lang w:eastAsia="zh-CN" w:bidi="ar-SA"/>
      </w:rPr>
      <mc:AlternateContent>
        <mc:Choice Requires="wps">
          <w:drawing>
            <wp:anchor distT="0" distB="0" distL="114300" distR="114300" simplePos="0" relativeHeight="251660288" behindDoc="0" locked="0" layoutInCell="1" allowOverlap="1">
              <wp:simplePos x="0" y="0"/>
              <wp:positionH relativeFrom="margin">
                <wp:posOffset>2585085</wp:posOffset>
              </wp:positionH>
              <wp:positionV relativeFrom="paragraph">
                <wp:posOffset>-662940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ascii="仿宋" w:hAnsi="仿宋" w:eastAsia="仿宋" w:cs="仿宋"/>
                              <w:sz w:val="21"/>
                              <w:szCs w:val="21"/>
                            </w:rPr>
                          </w:pPr>
                          <w:r>
                            <w:rPr>
                              <w:rFonts w:ascii="仿宋" w:hAnsi="仿宋" w:eastAsia="仿宋" w:cs="仿宋"/>
                              <w:sz w:val="21"/>
                              <w:szCs w:val="21"/>
                            </w:rPr>
                            <w:fldChar w:fldCharType="begin"/>
                          </w:r>
                          <w:r>
                            <w:rPr>
                              <w:rFonts w:ascii="仿宋" w:hAnsi="仿宋" w:eastAsia="仿宋" w:cs="仿宋"/>
                              <w:sz w:val="21"/>
                              <w:szCs w:val="21"/>
                            </w:rPr>
                            <w:instrText xml:space="preserve"> PAGE  \* MERGEFORMAT </w:instrText>
                          </w:r>
                          <w:r>
                            <w:rPr>
                              <w:rFonts w:ascii="仿宋" w:hAnsi="仿宋" w:eastAsia="仿宋" w:cs="仿宋"/>
                              <w:sz w:val="21"/>
                              <w:szCs w:val="21"/>
                            </w:rPr>
                            <w:fldChar w:fldCharType="separate"/>
                          </w:r>
                          <w:r>
                            <w:rPr>
                              <w:rFonts w:ascii="仿宋" w:hAnsi="仿宋" w:eastAsia="仿宋" w:cs="仿宋"/>
                              <w:sz w:val="21"/>
                              <w:szCs w:val="21"/>
                            </w:rPr>
                            <w:t>8</w:t>
                          </w:r>
                          <w:r>
                            <w:rPr>
                              <w:rFonts w:ascii="仿宋" w:hAnsi="仿宋" w:eastAsia="仿宋" w:cs="仿宋"/>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3.55pt;margin-top:-52.2pt;height:144pt;width:144pt;mso-position-horizontal-relative:margin;mso-wrap-style:none;z-index:251660288;mso-width-relative:page;mso-height-relative:page;" filled="f" stroked="f" coordsize="21600,21600" o:gfxdata="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db32AAAAAwBAAAPAAAAAAAAAAEA&#10;IAAAACIAAABkcnMvZG93bnJldi54bWxQSwECFAAUAAAACACHTuJAy5c1UQ8CAAAHBAAADgAAAAAA&#10;AAABACAAAAAnAQAAZHJzL2Uyb0RvYy54bWxQSwUGAAAAAAYABgBZAQAAqAUAAAAA&#10;">
              <v:fill on="f" focussize="0,0"/>
              <v:stroke on="f" weight="0.5pt"/>
              <v:imagedata o:title=""/>
              <o:lock v:ext="edit" aspectratio="f"/>
              <v:textbox inset="0mm,0mm,0mm,0mm" style="mso-fit-shape-to-text:t;">
                <w:txbxContent>
                  <w:p>
                    <w:pPr>
                      <w:pStyle w:val="10"/>
                      <w:rPr>
                        <w:rFonts w:ascii="仿宋" w:hAnsi="仿宋" w:eastAsia="仿宋" w:cs="仿宋"/>
                        <w:sz w:val="21"/>
                        <w:szCs w:val="21"/>
                      </w:rPr>
                    </w:pPr>
                    <w:r>
                      <w:rPr>
                        <w:rFonts w:ascii="仿宋" w:hAnsi="仿宋" w:eastAsia="仿宋" w:cs="仿宋"/>
                        <w:sz w:val="21"/>
                        <w:szCs w:val="21"/>
                      </w:rPr>
                      <w:fldChar w:fldCharType="begin"/>
                    </w:r>
                    <w:r>
                      <w:rPr>
                        <w:rFonts w:ascii="仿宋" w:hAnsi="仿宋" w:eastAsia="仿宋" w:cs="仿宋"/>
                        <w:sz w:val="21"/>
                        <w:szCs w:val="21"/>
                      </w:rPr>
                      <w:instrText xml:space="preserve"> PAGE  \* MERGEFORMAT </w:instrText>
                    </w:r>
                    <w:r>
                      <w:rPr>
                        <w:rFonts w:ascii="仿宋" w:hAnsi="仿宋" w:eastAsia="仿宋" w:cs="仿宋"/>
                        <w:sz w:val="21"/>
                        <w:szCs w:val="21"/>
                      </w:rPr>
                      <w:fldChar w:fldCharType="separate"/>
                    </w:r>
                    <w:r>
                      <w:rPr>
                        <w:rFonts w:ascii="仿宋" w:hAnsi="仿宋" w:eastAsia="仿宋" w:cs="仿宋"/>
                        <w:sz w:val="21"/>
                        <w:szCs w:val="21"/>
                      </w:rPr>
                      <w:t>8</w:t>
                    </w:r>
                    <w:r>
                      <w:rPr>
                        <w:rFonts w:ascii="仿宋" w:hAnsi="仿宋" w:eastAsia="仿宋" w:cs="仿宋"/>
                        <w:sz w:val="21"/>
                        <w:szCs w:val="21"/>
                      </w:rPr>
                      <w:fldChar w:fldCharType="end"/>
                    </w:r>
                  </w:p>
                </w:txbxContent>
              </v:textbox>
            </v:shape>
          </w:pict>
        </mc:Fallback>
      </mc:AlternateContent>
    </w:r>
    <w:r>
      <w:rPr>
        <w:sz w:val="21"/>
        <w:lang w:eastAsia="zh-CN" w:bidi="ar-SA"/>
      </w:rPr>
      <mc:AlternateContent>
        <mc:Choice Requires="wps">
          <w:drawing>
            <wp:anchor distT="0" distB="0" distL="114300" distR="114300" simplePos="0" relativeHeight="251661312" behindDoc="0" locked="0" layoutInCell="1" allowOverlap="1">
              <wp:simplePos x="0" y="0"/>
              <wp:positionH relativeFrom="margin">
                <wp:posOffset>2692400</wp:posOffset>
              </wp:positionH>
              <wp:positionV relativeFrom="paragraph">
                <wp:posOffset>2303780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2pt;margin-top:181.4pt;height:144pt;width:144pt;mso-position-horizontal-relative:margin;mso-wrap-style:none;z-index:251661312;mso-width-relative:page;mso-height-relative:page;" filled="f" stroked="f" coordsize="21600,21600" o:gfxdata="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hmw32AAAAAsBAAAPAAAA&#10;AAAAAAEAIAAAACIAAABkcnMvZG93bnJldi54bWxQSwECFAAUAAAACACHTuJAs1FbtRUCAAAXBAAA&#10;DgAAAAAAAAABACAAAAAnAQAAZHJzL2Uyb0RvYy54bWxQSwUGAAAAAAYABgBZAQAArgUAAAAA&#10;">
              <v:fill on="f" focussize="0,0"/>
              <v:stroke on="f" weight="0.5pt"/>
              <v:imagedata o:title=""/>
              <o:lock v:ext="edit" aspectratio="f"/>
              <v:textbox inset="0mm,0mm,0mm,0mm" style="mso-fit-shape-to-text:t;">
                <w:txbxContent>
                  <w:p>
                    <w:pPr>
                      <w:pStyle w:val="10"/>
                    </w:pPr>
                  </w:p>
                </w:txbxContent>
              </v:textbox>
            </v:shape>
          </w:pict>
        </mc:Fallback>
      </mc:AlternateContent>
    </w:r>
    <w:r>
      <w:rPr>
        <w:sz w:val="21"/>
        <w:lang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D5CMU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PkIxQCAAAXBAAADgAAAAAAAAAB&#10;ACAAAAAfAQAAZHJzL2Uyb0RvYy54bWxQSwUGAAAAAAYABgBZAQAApQUAAAAA&#10;">
              <v:fill on="f" focussize="0,0"/>
              <v:stroke on="f" weight="0.5pt"/>
              <v:imagedata o:title=""/>
              <o:lock v:ext="edit" aspectratio="f"/>
              <v:textbox inset="0mm,0mm,0mm,0mm" style="mso-fit-shape-to-text:t;">
                <w:txbxContent>
                  <w:p>
                    <w:pPr>
                      <w:pStyle w:val="1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A16D4F"/>
    <w:multiLevelType w:val="multilevel"/>
    <w:tmpl w:val="79A16D4F"/>
    <w:lvl w:ilvl="0" w:tentative="0">
      <w:start w:val="1"/>
      <w:numFmt w:val="chineseCountingThousand"/>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wZTI4NzkzOTQ1ZTAwZTdhNjYzOTNlNjZhYzdhN2UifQ=="/>
    <w:docVar w:name="KSO_WPS_MARK_KEY" w:val="509816ed-be0f-4153-b0c0-9382f65502fe"/>
  </w:docVars>
  <w:rsids>
    <w:rsidRoot w:val="00B523C7"/>
    <w:rsid w:val="00001ACA"/>
    <w:rsid w:val="00013298"/>
    <w:rsid w:val="00042FEF"/>
    <w:rsid w:val="00051D7D"/>
    <w:rsid w:val="000B1FE2"/>
    <w:rsid w:val="000B3C91"/>
    <w:rsid w:val="0012503C"/>
    <w:rsid w:val="0017591D"/>
    <w:rsid w:val="001A12A4"/>
    <w:rsid w:val="00202E56"/>
    <w:rsid w:val="002261A3"/>
    <w:rsid w:val="00285ADB"/>
    <w:rsid w:val="003C2530"/>
    <w:rsid w:val="00412DF5"/>
    <w:rsid w:val="00473EE0"/>
    <w:rsid w:val="00514DB2"/>
    <w:rsid w:val="005C6428"/>
    <w:rsid w:val="006206AA"/>
    <w:rsid w:val="00655C40"/>
    <w:rsid w:val="006A5F98"/>
    <w:rsid w:val="006E47E9"/>
    <w:rsid w:val="00772DE6"/>
    <w:rsid w:val="007E489C"/>
    <w:rsid w:val="007E77FA"/>
    <w:rsid w:val="00811762"/>
    <w:rsid w:val="008250A8"/>
    <w:rsid w:val="008350B9"/>
    <w:rsid w:val="00860D48"/>
    <w:rsid w:val="00862FC8"/>
    <w:rsid w:val="00883A68"/>
    <w:rsid w:val="008A11BC"/>
    <w:rsid w:val="008C0548"/>
    <w:rsid w:val="008E2BE5"/>
    <w:rsid w:val="008F08EC"/>
    <w:rsid w:val="009673AC"/>
    <w:rsid w:val="009C0A6B"/>
    <w:rsid w:val="009D05AF"/>
    <w:rsid w:val="00A548B3"/>
    <w:rsid w:val="00A55237"/>
    <w:rsid w:val="00AA6B87"/>
    <w:rsid w:val="00B37147"/>
    <w:rsid w:val="00B523C7"/>
    <w:rsid w:val="00C066EC"/>
    <w:rsid w:val="00C26BE7"/>
    <w:rsid w:val="00CA51F3"/>
    <w:rsid w:val="00CB19BD"/>
    <w:rsid w:val="00CF341B"/>
    <w:rsid w:val="00D00188"/>
    <w:rsid w:val="00D40EB4"/>
    <w:rsid w:val="00D903CA"/>
    <w:rsid w:val="00DA56B9"/>
    <w:rsid w:val="00DD52C5"/>
    <w:rsid w:val="00E16B03"/>
    <w:rsid w:val="00E5201B"/>
    <w:rsid w:val="00EA230D"/>
    <w:rsid w:val="00EE596B"/>
    <w:rsid w:val="00F03130"/>
    <w:rsid w:val="00F66888"/>
    <w:rsid w:val="00F72D84"/>
    <w:rsid w:val="00FE7173"/>
    <w:rsid w:val="01283335"/>
    <w:rsid w:val="019A76D6"/>
    <w:rsid w:val="025D0B26"/>
    <w:rsid w:val="05F85DDB"/>
    <w:rsid w:val="06587D46"/>
    <w:rsid w:val="06C512A2"/>
    <w:rsid w:val="0A8A45FA"/>
    <w:rsid w:val="0ADE320C"/>
    <w:rsid w:val="0B4644E1"/>
    <w:rsid w:val="0BED0D3F"/>
    <w:rsid w:val="0E15360C"/>
    <w:rsid w:val="0FF24D67"/>
    <w:rsid w:val="11223967"/>
    <w:rsid w:val="115B2DE0"/>
    <w:rsid w:val="12855AA9"/>
    <w:rsid w:val="12C459C0"/>
    <w:rsid w:val="137321F8"/>
    <w:rsid w:val="141A61C7"/>
    <w:rsid w:val="14785477"/>
    <w:rsid w:val="14F05ECA"/>
    <w:rsid w:val="15294639"/>
    <w:rsid w:val="15935A89"/>
    <w:rsid w:val="16F9042F"/>
    <w:rsid w:val="17C90AA4"/>
    <w:rsid w:val="1DE45A6A"/>
    <w:rsid w:val="1EB046C4"/>
    <w:rsid w:val="1EC975DB"/>
    <w:rsid w:val="213879B7"/>
    <w:rsid w:val="23314128"/>
    <w:rsid w:val="247476CA"/>
    <w:rsid w:val="24A07BBB"/>
    <w:rsid w:val="250D63B7"/>
    <w:rsid w:val="261B36A2"/>
    <w:rsid w:val="27E31A18"/>
    <w:rsid w:val="29C45ECB"/>
    <w:rsid w:val="2A1664F3"/>
    <w:rsid w:val="2ABD1C56"/>
    <w:rsid w:val="2B744339"/>
    <w:rsid w:val="2F163F32"/>
    <w:rsid w:val="365F15E0"/>
    <w:rsid w:val="36E16658"/>
    <w:rsid w:val="38034B27"/>
    <w:rsid w:val="386A368C"/>
    <w:rsid w:val="3B9364D4"/>
    <w:rsid w:val="3BA23963"/>
    <w:rsid w:val="3DBF4A63"/>
    <w:rsid w:val="3E375FB4"/>
    <w:rsid w:val="3EA32180"/>
    <w:rsid w:val="3FDB3C52"/>
    <w:rsid w:val="40454828"/>
    <w:rsid w:val="42F42AD1"/>
    <w:rsid w:val="44027047"/>
    <w:rsid w:val="45365FB6"/>
    <w:rsid w:val="45813EBC"/>
    <w:rsid w:val="45F86D12"/>
    <w:rsid w:val="4633509C"/>
    <w:rsid w:val="463E3B5B"/>
    <w:rsid w:val="47452751"/>
    <w:rsid w:val="47EC5FEB"/>
    <w:rsid w:val="48162546"/>
    <w:rsid w:val="49BB6B44"/>
    <w:rsid w:val="49D0000E"/>
    <w:rsid w:val="4AB71049"/>
    <w:rsid w:val="4ACF4229"/>
    <w:rsid w:val="4BA1775E"/>
    <w:rsid w:val="4C2B1547"/>
    <w:rsid w:val="4C554506"/>
    <w:rsid w:val="4D423442"/>
    <w:rsid w:val="4D6A1EA6"/>
    <w:rsid w:val="4EF752F8"/>
    <w:rsid w:val="50694427"/>
    <w:rsid w:val="50727DEE"/>
    <w:rsid w:val="526360EB"/>
    <w:rsid w:val="5565354B"/>
    <w:rsid w:val="55FE7BCF"/>
    <w:rsid w:val="56CA79BD"/>
    <w:rsid w:val="58B43E2A"/>
    <w:rsid w:val="58D3755A"/>
    <w:rsid w:val="58E75E37"/>
    <w:rsid w:val="5B024CDB"/>
    <w:rsid w:val="5CF64FE0"/>
    <w:rsid w:val="5D0A54ED"/>
    <w:rsid w:val="5E1E62F4"/>
    <w:rsid w:val="5E251431"/>
    <w:rsid w:val="5FE22A74"/>
    <w:rsid w:val="5FFE1493"/>
    <w:rsid w:val="600317D0"/>
    <w:rsid w:val="604D6D6C"/>
    <w:rsid w:val="608C7B52"/>
    <w:rsid w:val="61437E05"/>
    <w:rsid w:val="61DB4C28"/>
    <w:rsid w:val="622153F1"/>
    <w:rsid w:val="65035142"/>
    <w:rsid w:val="66524D8D"/>
    <w:rsid w:val="689A2C7E"/>
    <w:rsid w:val="689F0032"/>
    <w:rsid w:val="68E00D63"/>
    <w:rsid w:val="6C1D7E4E"/>
    <w:rsid w:val="6CDA3DD0"/>
    <w:rsid w:val="6DB72EA4"/>
    <w:rsid w:val="70347577"/>
    <w:rsid w:val="71F92D0B"/>
    <w:rsid w:val="74E95514"/>
    <w:rsid w:val="76DC4C25"/>
    <w:rsid w:val="771E1452"/>
    <w:rsid w:val="792926D3"/>
    <w:rsid w:val="7DED1F2F"/>
    <w:rsid w:val="7E506F14"/>
    <w:rsid w:val="7EE46764"/>
    <w:rsid w:val="7F082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等线" w:hAnsi="等线" w:eastAsia="等线" w:cs="等线"/>
      <w:color w:val="000000"/>
      <w:sz w:val="24"/>
      <w:szCs w:val="24"/>
      <w:lang w:val="en-US" w:eastAsia="en-US" w:bidi="en-US"/>
    </w:rPr>
  </w:style>
  <w:style w:type="paragraph" w:styleId="2">
    <w:name w:val="heading 1"/>
    <w:basedOn w:val="1"/>
    <w:next w:val="1"/>
    <w:qFormat/>
    <w:uiPriority w:val="0"/>
    <w:pPr>
      <w:keepNext/>
      <w:keepLines/>
      <w:spacing w:before="180" w:after="180" w:line="360" w:lineRule="auto"/>
      <w:outlineLvl w:val="0"/>
    </w:pPr>
    <w:rPr>
      <w:rFonts w:ascii="Times New Roman" w:hAnsi="Times New Roman" w:eastAsia="宋体" w:cs="Times New Roman"/>
      <w:b/>
      <w:kern w:val="44"/>
      <w:sz w:val="28"/>
      <w:szCs w:val="44"/>
      <w:lang w:eastAsia="zh-CN" w:bidi="ar-SA"/>
    </w:rPr>
  </w:style>
  <w:style w:type="paragraph" w:styleId="3">
    <w:name w:val="heading 2"/>
    <w:basedOn w:val="1"/>
    <w:next w:val="1"/>
    <w:qFormat/>
    <w:uiPriority w:val="9"/>
    <w:pPr>
      <w:keepNext/>
      <w:keepLines/>
      <w:spacing w:before="260" w:after="260" w:line="413" w:lineRule="auto"/>
      <w:outlineLvl w:val="1"/>
    </w:pPr>
    <w:rPr>
      <w:rFonts w:ascii="Cambria" w:hAnsi="Cambria"/>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Cambria"/>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unhideWhenUsed/>
    <w:qFormat/>
    <w:uiPriority w:val="0"/>
    <w:pPr>
      <w:ind w:firstLine="420" w:firstLineChars="200"/>
    </w:pPr>
  </w:style>
  <w:style w:type="paragraph" w:styleId="7">
    <w:name w:val="annotation text"/>
    <w:basedOn w:val="1"/>
    <w:qFormat/>
    <w:uiPriority w:val="0"/>
    <w:rPr>
      <w:rFonts w:ascii="Times New Roman" w:hAnsi="Times New Roman" w:eastAsia="宋体" w:cs="Times New Roman"/>
    </w:rPr>
  </w:style>
  <w:style w:type="paragraph" w:styleId="8">
    <w:name w:val="Body Text"/>
    <w:basedOn w:val="1"/>
    <w:qFormat/>
    <w:uiPriority w:val="0"/>
    <w:pPr>
      <w:adjustRightInd w:val="0"/>
      <w:spacing w:after="60" w:line="360" w:lineRule="atLeast"/>
      <w:ind w:left="72" w:leftChars="30" w:right="30" w:rightChars="30"/>
      <w:jc w:val="center"/>
      <w:textAlignment w:val="baseline"/>
    </w:pPr>
    <w:rPr>
      <w:rFonts w:ascii="Calibri" w:hAnsi="Calibri" w:eastAsia="宋体" w:cs="Times New Roman"/>
      <w:szCs w:val="22"/>
    </w:rPr>
  </w:style>
  <w:style w:type="paragraph" w:styleId="9">
    <w:name w:val="Balloon Text"/>
    <w:basedOn w:val="1"/>
    <w:link w:val="33"/>
    <w:semiHidden/>
    <w:unhideWhenUsed/>
    <w:qFormat/>
    <w:uiPriority w:val="99"/>
    <w:rPr>
      <w:sz w:val="18"/>
      <w:szCs w:val="18"/>
    </w:rPr>
  </w:style>
  <w:style w:type="paragraph" w:styleId="10">
    <w:name w:val="footer"/>
    <w:basedOn w:val="1"/>
    <w:unhideWhenUsed/>
    <w:qFormat/>
    <w:uiPriority w:val="99"/>
    <w:pPr>
      <w:tabs>
        <w:tab w:val="center" w:pos="4153"/>
        <w:tab w:val="right" w:pos="8306"/>
      </w:tabs>
      <w:snapToGrid w:val="0"/>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rPr>
  </w:style>
  <w:style w:type="paragraph" w:styleId="13">
    <w:name w:val="Normal (Web)"/>
    <w:basedOn w:val="1"/>
    <w:unhideWhenUsed/>
    <w:qFormat/>
    <w:uiPriority w:val="99"/>
    <w:rPr>
      <w:rFonts w:ascii="宋体" w:hAnsi="宋体" w:eastAsia="宋体" w:cs="宋体"/>
    </w:rPr>
  </w:style>
  <w:style w:type="paragraph" w:styleId="14">
    <w:name w:val="Title"/>
    <w:qFormat/>
    <w:uiPriority w:val="0"/>
    <w:pPr>
      <w:spacing w:before="480" w:after="480" w:line="288" w:lineRule="auto"/>
      <w:ind w:left="0"/>
    </w:pPr>
    <w:rPr>
      <w:rFonts w:ascii="Arial" w:hAnsi="Arial" w:eastAsia="等线" w:cs="Arial"/>
      <w:b/>
      <w:bCs/>
      <w:sz w:val="52"/>
      <w:szCs w:val="52"/>
    </w:rPr>
  </w:style>
  <w:style w:type="paragraph" w:styleId="15">
    <w:name w:val="Body Text First Indent"/>
    <w:basedOn w:val="8"/>
    <w:qFormat/>
    <w:uiPriority w:val="99"/>
    <w:pPr>
      <w:spacing w:after="120"/>
      <w:ind w:firstLine="420" w:firstLineChars="100"/>
      <w:jc w:val="both"/>
    </w:pPr>
    <w:rPr>
      <w:rFonts w:ascii="Times New Roman"/>
    </w:rPr>
  </w:style>
  <w:style w:type="table" w:styleId="17">
    <w:name w:val="Table Grid"/>
    <w:basedOn w:val="16"/>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9">
    <w:name w:val="annotation reference"/>
    <w:basedOn w:val="18"/>
    <w:semiHidden/>
    <w:unhideWhenUsed/>
    <w:qFormat/>
    <w:uiPriority w:val="99"/>
    <w:rPr>
      <w:sz w:val="21"/>
      <w:szCs w:val="21"/>
    </w:rPr>
  </w:style>
  <w:style w:type="character" w:customStyle="1" w:styleId="20">
    <w:name w:val="标题 #1_"/>
    <w:basedOn w:val="18"/>
    <w:link w:val="21"/>
    <w:qFormat/>
    <w:uiPriority w:val="0"/>
    <w:rPr>
      <w:rFonts w:ascii="黑体" w:hAnsi="黑体" w:eastAsia="黑体" w:cs="黑体"/>
      <w:sz w:val="52"/>
      <w:szCs w:val="52"/>
      <w:u w:val="none"/>
      <w:shd w:val="clear" w:color="auto" w:fill="auto"/>
    </w:rPr>
  </w:style>
  <w:style w:type="paragraph" w:customStyle="1" w:styleId="21">
    <w:name w:val="标题 #1"/>
    <w:basedOn w:val="1"/>
    <w:link w:val="20"/>
    <w:qFormat/>
    <w:uiPriority w:val="0"/>
    <w:pPr>
      <w:spacing w:before="800" w:after="440"/>
      <w:jc w:val="center"/>
      <w:outlineLvl w:val="0"/>
    </w:pPr>
    <w:rPr>
      <w:rFonts w:ascii="黑体" w:hAnsi="黑体" w:eastAsia="黑体" w:cs="黑体"/>
      <w:sz w:val="52"/>
      <w:szCs w:val="52"/>
    </w:rPr>
  </w:style>
  <w:style w:type="character" w:customStyle="1" w:styleId="22">
    <w:name w:val="正文文本 (2)_"/>
    <w:basedOn w:val="18"/>
    <w:link w:val="23"/>
    <w:qFormat/>
    <w:uiPriority w:val="0"/>
    <w:rPr>
      <w:rFonts w:ascii="黑体" w:hAnsi="黑体" w:eastAsia="黑体" w:cs="黑体"/>
      <w:sz w:val="34"/>
      <w:szCs w:val="34"/>
      <w:u w:val="single"/>
      <w:shd w:val="clear" w:color="auto" w:fill="auto"/>
    </w:rPr>
  </w:style>
  <w:style w:type="paragraph" w:customStyle="1" w:styleId="23">
    <w:name w:val="正文文本 (2)"/>
    <w:basedOn w:val="1"/>
    <w:link w:val="22"/>
    <w:qFormat/>
    <w:uiPriority w:val="0"/>
    <w:pPr>
      <w:spacing w:after="380" w:line="622" w:lineRule="exact"/>
    </w:pPr>
    <w:rPr>
      <w:rFonts w:ascii="黑体" w:hAnsi="黑体" w:eastAsia="黑体" w:cs="黑体"/>
      <w:sz w:val="34"/>
      <w:szCs w:val="34"/>
      <w:u w:val="single"/>
    </w:rPr>
  </w:style>
  <w:style w:type="character" w:customStyle="1" w:styleId="24">
    <w:name w:val="正文文本_"/>
    <w:basedOn w:val="18"/>
    <w:link w:val="25"/>
    <w:qFormat/>
    <w:uiPriority w:val="0"/>
    <w:rPr>
      <w:rFonts w:ascii="宋体" w:hAnsi="宋体" w:eastAsia="宋体" w:cs="宋体"/>
      <w:sz w:val="32"/>
      <w:szCs w:val="32"/>
      <w:u w:val="none"/>
      <w:shd w:val="clear" w:color="auto" w:fill="auto"/>
    </w:rPr>
  </w:style>
  <w:style w:type="paragraph" w:customStyle="1" w:styleId="25">
    <w:name w:val="正文文本1"/>
    <w:basedOn w:val="1"/>
    <w:link w:val="24"/>
    <w:qFormat/>
    <w:uiPriority w:val="0"/>
    <w:pPr>
      <w:spacing w:line="410" w:lineRule="auto"/>
      <w:ind w:firstLine="400"/>
    </w:pPr>
    <w:rPr>
      <w:rFonts w:ascii="宋体" w:hAnsi="宋体" w:eastAsia="宋体" w:cs="宋体"/>
      <w:sz w:val="32"/>
      <w:szCs w:val="32"/>
    </w:rPr>
  </w:style>
  <w:style w:type="paragraph" w:customStyle="1" w:styleId="26">
    <w:name w:val="正文 A"/>
    <w:qFormat/>
    <w:uiPriority w:val="0"/>
    <w:pPr>
      <w:framePr w:wrap="around" w:vAnchor="margin" w:hAnchor="text" w:y="1"/>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27">
    <w:name w:val="1级标题"/>
    <w:basedOn w:val="2"/>
    <w:next w:val="1"/>
    <w:qFormat/>
    <w:uiPriority w:val="0"/>
    <w:pPr>
      <w:pageBreakBefore/>
      <w:spacing w:before="240" w:after="240"/>
      <w:ind w:firstLine="200" w:firstLineChars="200"/>
    </w:pPr>
    <w:rPr>
      <w:rFonts w:ascii="宋体" w:hAnsi="宋体"/>
      <w:b w:val="0"/>
      <w:sz w:val="30"/>
    </w:rPr>
  </w:style>
  <w:style w:type="paragraph" w:customStyle="1" w:styleId="28">
    <w:name w:val="普通 (Web)"/>
    <w:basedOn w:val="1"/>
    <w:qFormat/>
    <w:uiPriority w:val="0"/>
    <w:pPr>
      <w:widowControl/>
      <w:spacing w:before="100" w:beforeAutospacing="1" w:after="100" w:afterAutospacing="1"/>
    </w:pPr>
    <w:rPr>
      <w:rFonts w:ascii="宋体" w:hAnsi="宋体" w:eastAsia="宋体"/>
    </w:rPr>
  </w:style>
  <w:style w:type="paragraph" w:styleId="29">
    <w:name w:val="List Paragraph"/>
    <w:basedOn w:val="1"/>
    <w:qFormat/>
    <w:uiPriority w:val="34"/>
    <w:pPr>
      <w:ind w:firstLine="420" w:firstLineChars="200"/>
    </w:pPr>
  </w:style>
  <w:style w:type="character" w:customStyle="1" w:styleId="30">
    <w:name w:val="font161"/>
    <w:basedOn w:val="18"/>
    <w:qFormat/>
    <w:uiPriority w:val="0"/>
    <w:rPr>
      <w:rFonts w:ascii="等线" w:hAnsi="等线" w:eastAsia="等线" w:cs="等线"/>
      <w:color w:val="000000"/>
      <w:sz w:val="20"/>
      <w:szCs w:val="20"/>
      <w:u w:val="none"/>
    </w:rPr>
  </w:style>
  <w:style w:type="character" w:customStyle="1" w:styleId="31">
    <w:name w:val="font151"/>
    <w:basedOn w:val="18"/>
    <w:qFormat/>
    <w:uiPriority w:val="0"/>
    <w:rPr>
      <w:rFonts w:hint="default" w:ascii="Arial" w:hAnsi="Arial" w:cs="Arial"/>
      <w:color w:val="000000"/>
      <w:sz w:val="20"/>
      <w:szCs w:val="20"/>
      <w:u w:val="none"/>
    </w:rPr>
  </w:style>
  <w:style w:type="paragraph" w:customStyle="1" w:styleId="3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33">
    <w:name w:val="批注框文本 字符"/>
    <w:basedOn w:val="18"/>
    <w:link w:val="9"/>
    <w:semiHidden/>
    <w:qFormat/>
    <w:uiPriority w:val="99"/>
    <w:rPr>
      <w:rFonts w:ascii="等线" w:hAnsi="等线" w:eastAsia="等线" w:cs="等线"/>
      <w:color w:val="000000"/>
      <w:sz w:val="18"/>
      <w:szCs w:val="18"/>
      <w:lang w:eastAsia="en-US" w:bidi="en-US"/>
    </w:rPr>
  </w:style>
  <w:style w:type="character" w:customStyle="1" w:styleId="34">
    <w:name w:val="font31"/>
    <w:basedOn w:val="18"/>
    <w:qFormat/>
    <w:uiPriority w:val="0"/>
    <w:rPr>
      <w:rFonts w:hint="eastAsia" w:ascii="微软雅黑" w:hAnsi="微软雅黑" w:eastAsia="微软雅黑" w:cs="微软雅黑"/>
      <w:b/>
      <w:bCs/>
      <w:color w:val="000000"/>
      <w:sz w:val="22"/>
      <w:szCs w:val="22"/>
      <w:u w:val="none"/>
    </w:rPr>
  </w:style>
  <w:style w:type="character" w:customStyle="1" w:styleId="35">
    <w:name w:val="font101"/>
    <w:basedOn w:val="18"/>
    <w:qFormat/>
    <w:uiPriority w:val="0"/>
    <w:rPr>
      <w:rFonts w:hint="eastAsia" w:ascii="微软雅黑" w:hAnsi="微软雅黑" w:eastAsia="微软雅黑" w:cs="微软雅黑"/>
      <w:b/>
      <w:bCs/>
      <w:color w:val="000000"/>
      <w:sz w:val="22"/>
      <w:szCs w:val="22"/>
      <w:u w:val="single"/>
    </w:rPr>
  </w:style>
  <w:style w:type="character" w:customStyle="1" w:styleId="36">
    <w:name w:val="font11"/>
    <w:basedOn w:val="18"/>
    <w:qFormat/>
    <w:uiPriority w:val="0"/>
    <w:rPr>
      <w:rFonts w:hint="eastAsia" w:ascii="微软雅黑" w:hAnsi="微软雅黑" w:eastAsia="微软雅黑" w:cs="微软雅黑"/>
      <w:b/>
      <w:bCs/>
      <w:color w:val="000000"/>
      <w:sz w:val="22"/>
      <w:szCs w:val="22"/>
      <w:u w:val="none"/>
    </w:rPr>
  </w:style>
  <w:style w:type="character" w:customStyle="1" w:styleId="37">
    <w:name w:val="font21"/>
    <w:basedOn w:val="18"/>
    <w:qFormat/>
    <w:uiPriority w:val="0"/>
    <w:rPr>
      <w:rFonts w:hint="eastAsia" w:ascii="微软雅黑" w:hAnsi="微软雅黑" w:eastAsia="微软雅黑" w:cs="微软雅黑"/>
      <w:b/>
      <w:bCs/>
      <w:color w:val="000000"/>
      <w:sz w:val="22"/>
      <w:szCs w:val="22"/>
      <w:u w:val="single"/>
    </w:rPr>
  </w:style>
  <w:style w:type="character" w:customStyle="1" w:styleId="38">
    <w:name w:val="font112"/>
    <w:basedOn w:val="18"/>
    <w:qFormat/>
    <w:uiPriority w:val="0"/>
    <w:rPr>
      <w:rFonts w:hint="eastAsia" w:ascii="微软雅黑" w:hAnsi="微软雅黑" w:eastAsia="微软雅黑" w:cs="微软雅黑"/>
      <w:color w:val="000000"/>
      <w:sz w:val="20"/>
      <w:szCs w:val="20"/>
      <w:u w:val="none"/>
    </w:rPr>
  </w:style>
  <w:style w:type="paragraph" w:customStyle="1" w:styleId="3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3507</Words>
  <Characters>3698</Characters>
  <Lines>47</Lines>
  <Paragraphs>13</Paragraphs>
  <TotalTime>8</TotalTime>
  <ScaleCrop>false</ScaleCrop>
  <LinksUpToDate>false</LinksUpToDate>
  <CharactersWithSpaces>3873</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2023-01-10T00:48:00Z</dcterms:created>
  <dc:creator>zke</dc:creator>
  <cp:lastModifiedBy>许丹绮</cp:lastModifiedBy>
  <dcterms:modified xsi:type="dcterms:W3CDTF">2026-07-28T03:03:32Z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D4E60B2BBCA542F3BEEA79A114DF3436</vt:lpwstr>
  </property>
  <property fmtid="{D5CDD505-2E9C-101B-9397-08002B2CF9AE}" pid="4" name="KSOTemplateDocerSaveRecord">
    <vt:lpwstr>eyJoZGlkIjoiNGU5YTk2NWU3OTRhNTU0YjZlNWE0ODExMjY4YzM0MTgiLCJ1c2VySWQiOiI0ODIzNDA1NjAifQ==</vt:lpwstr>
  </property>
</Properties>
</file>