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511345F">
      <w:pPr>
        <w:snapToGrid w:val="0"/>
        <w:spacing w:line="360" w:lineRule="auto"/>
        <w:ind w:firstLine="0" w:firstLineChars="0"/>
        <w:jc w:val="both"/>
        <w:rPr>
          <w:rFonts w:hint="eastAsia"/>
          <w:sz w:val="36"/>
          <w:szCs w:val="36"/>
          <w:lang w:val="en-US" w:eastAsia="zh-CN"/>
        </w:rPr>
      </w:pPr>
      <w:r>
        <w:rPr>
          <w:rFonts w:hint="eastAsia"/>
          <w:sz w:val="36"/>
          <w:szCs w:val="36"/>
          <w:lang w:val="en-US" w:eastAsia="zh-CN"/>
        </w:rPr>
        <w:t>附件6.1：技术任务书（智能化工程专业分包）</w:t>
      </w:r>
    </w:p>
    <w:p w14:paraId="318477F1">
      <w:pPr>
        <w:spacing w:before="320" w:after="120" w:line="288" w:lineRule="auto"/>
        <w:ind w:left="0" w:leftChars="0"/>
        <w:jc w:val="left"/>
        <w:outlineLvl w:val="0"/>
      </w:pPr>
      <w:bookmarkStart w:id="0" w:name="_Toc2005"/>
      <w:r>
        <w:rPr>
          <w:rFonts w:ascii="Arial" w:hAnsi="Arial" w:eastAsia="等线" w:cs="Arial"/>
          <w:b/>
          <w:sz w:val="32"/>
        </w:rPr>
        <w:t>1 项目概况</w:t>
      </w:r>
      <w:bookmarkEnd w:id="0"/>
      <w:bookmarkStart w:id="46" w:name="_GoBack"/>
      <w:bookmarkEnd w:id="46"/>
    </w:p>
    <w:p w14:paraId="08C4AFA3">
      <w:pPr>
        <w:spacing w:before="120" w:after="120" w:line="288" w:lineRule="auto"/>
        <w:ind w:left="0" w:firstLine="440" w:firstLineChars="200"/>
        <w:jc w:val="left"/>
        <w:rPr>
          <w:rFonts w:hint="eastAsia" w:eastAsia="等线"/>
          <w:lang w:val="en-US" w:eastAsia="zh-CN"/>
        </w:rPr>
      </w:pPr>
      <w:r>
        <w:rPr>
          <w:rFonts w:ascii="Arial" w:hAnsi="Arial" w:eastAsia="等线" w:cs="Arial"/>
          <w:sz w:val="22"/>
        </w:rPr>
        <w:t>1.1 项目名称：</w:t>
      </w:r>
      <w:r>
        <w:rPr>
          <w:rFonts w:hint="eastAsia" w:ascii="Arial" w:hAnsi="Arial" w:eastAsia="等线" w:cs="Arial"/>
          <w:sz w:val="22"/>
        </w:rPr>
        <w:t>珠海市香洲区中小学、幼儿园办学场所及停车场改造提升工程</w:t>
      </w:r>
      <w:r>
        <w:rPr>
          <w:rFonts w:hint="eastAsia" w:ascii="Arial" w:hAnsi="Arial" w:eastAsia="等线" w:cs="Arial"/>
          <w:sz w:val="22"/>
          <w:lang w:val="en-US" w:eastAsia="zh-CN"/>
        </w:rPr>
        <w:t>项目</w:t>
      </w:r>
    </w:p>
    <w:p w14:paraId="1E25A382">
      <w:pPr>
        <w:spacing w:before="120" w:after="120" w:line="288" w:lineRule="auto"/>
        <w:ind w:left="0" w:leftChars="0" w:firstLine="440" w:firstLineChars="200"/>
        <w:jc w:val="left"/>
        <w:outlineLvl w:val="1"/>
        <w:rPr>
          <w:rFonts w:hint="default" w:eastAsia="等线"/>
          <w:lang w:val="en-US" w:eastAsia="zh-CN"/>
        </w:rPr>
      </w:pPr>
      <w:bookmarkStart w:id="1" w:name="_Toc1044"/>
      <w:r>
        <w:rPr>
          <w:rFonts w:ascii="Arial" w:hAnsi="Arial" w:eastAsia="等线" w:cs="Arial"/>
          <w:sz w:val="22"/>
        </w:rPr>
        <w:t>1.2 建设地点：</w:t>
      </w:r>
      <w:r>
        <w:rPr>
          <w:rFonts w:hint="eastAsia" w:ascii="Arial" w:hAnsi="Arial" w:eastAsia="等线" w:cs="Arial"/>
          <w:sz w:val="22"/>
          <w:lang w:val="en-US" w:eastAsia="zh-CN"/>
        </w:rPr>
        <w:t>珠海市香洲区</w:t>
      </w:r>
      <w:bookmarkEnd w:id="1"/>
    </w:p>
    <w:p w14:paraId="2724DB8A">
      <w:pPr>
        <w:spacing w:before="120" w:after="120" w:line="288" w:lineRule="auto"/>
        <w:ind w:left="0" w:firstLine="440" w:firstLineChars="200"/>
        <w:jc w:val="left"/>
      </w:pPr>
      <w:r>
        <w:rPr>
          <w:rFonts w:ascii="Arial" w:hAnsi="Arial" w:eastAsia="等线" w:cs="Arial"/>
          <w:sz w:val="22"/>
        </w:rPr>
        <w:t>1.3 项目概况：本项目为新建配套食堂，包含就餐大厅、后厨加工区、洗消间、留样间、食材库房及配套辅助用房。本次建设范围为食堂全套智能化系统，实现安全监管、智慧就餐、环境监测、安防监控、综合运维一体化管理，满足食品安全监管及日常运营管理要求。</w:t>
      </w:r>
    </w:p>
    <w:p w14:paraId="68ECA28D">
      <w:pPr>
        <w:spacing w:before="120" w:after="120" w:line="288" w:lineRule="auto"/>
        <w:ind w:left="0" w:firstLine="440" w:firstLineChars="200"/>
        <w:jc w:val="left"/>
      </w:pPr>
      <w:r>
        <w:rPr>
          <w:rFonts w:ascii="Arial" w:hAnsi="Arial" w:eastAsia="等线" w:cs="Arial"/>
          <w:sz w:val="22"/>
        </w:rPr>
        <w:t>1.</w:t>
      </w:r>
      <w:r>
        <w:rPr>
          <w:rFonts w:hint="eastAsia" w:ascii="Arial" w:hAnsi="Arial" w:eastAsia="等线" w:cs="Arial"/>
          <w:sz w:val="22"/>
          <w:lang w:val="en-US" w:eastAsia="zh-CN"/>
        </w:rPr>
        <w:t>4</w:t>
      </w:r>
      <w:r>
        <w:rPr>
          <w:rFonts w:ascii="Arial" w:hAnsi="Arial" w:eastAsia="等线" w:cs="Arial"/>
          <w:sz w:val="22"/>
        </w:rPr>
        <w:t xml:space="preserve"> 用途：作为本项目方案设计、施工图深化、设备采购、施工安装、调试验收及结算的技术依据。</w:t>
      </w:r>
    </w:p>
    <w:p w14:paraId="28F6C058">
      <w:pPr>
        <w:spacing w:before="320" w:after="120" w:line="288" w:lineRule="auto"/>
        <w:ind w:left="0" w:leftChars="0"/>
        <w:jc w:val="left"/>
        <w:outlineLvl w:val="0"/>
      </w:pPr>
      <w:bookmarkStart w:id="2" w:name="_Toc30766"/>
      <w:bookmarkStart w:id="3" w:name="heading_1"/>
      <w:r>
        <w:rPr>
          <w:rFonts w:ascii="Arial" w:hAnsi="Arial" w:eastAsia="等线" w:cs="Arial"/>
          <w:b/>
          <w:sz w:val="32"/>
        </w:rPr>
        <w:t>2 编制依据</w:t>
      </w:r>
      <w:bookmarkEnd w:id="2"/>
      <w:bookmarkEnd w:id="3"/>
    </w:p>
    <w:p w14:paraId="40BD8C8D">
      <w:pPr>
        <w:spacing w:before="120" w:after="120" w:line="288" w:lineRule="auto"/>
        <w:ind w:firstLine="500" w:firstLineChars="0"/>
        <w:jc w:val="left"/>
      </w:pPr>
      <w:r>
        <w:rPr>
          <w:rFonts w:ascii="Arial" w:hAnsi="Arial" w:eastAsia="等线" w:cs="Arial"/>
          <w:sz w:val="22"/>
        </w:rPr>
        <w:t>本项目设计、施工、验收严格执行国家及行业现行规范标准，主要包含：</w:t>
      </w:r>
    </w:p>
    <w:p w14:paraId="324F3EE3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（1）《智能建筑设计标准》（GB 50314）</w:t>
      </w:r>
    </w:p>
    <w:p w14:paraId="7348C8CE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（2）《视频安防监控系统工程设计规范》（GB 50395）</w:t>
      </w:r>
    </w:p>
    <w:p w14:paraId="10A236DC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（3）《出入口控制工程技术规范》（GB/T 39704）</w:t>
      </w:r>
    </w:p>
    <w:p w14:paraId="109FE736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（4）《综合布线系统工程设计规范》（GB 50311）</w:t>
      </w:r>
    </w:p>
    <w:p w14:paraId="39DBF406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（5）《建筑物电子信息系统防雷技术规范》（GB 50343）</w:t>
      </w:r>
    </w:p>
    <w:p w14:paraId="44AE8FE2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（6）《餐饮服务食品安全操作规范》及属地市场监管局明厨亮灶接入要求</w:t>
      </w:r>
    </w:p>
    <w:p w14:paraId="669E1A72">
      <w:pPr>
        <w:spacing w:before="120" w:after="120" w:line="288" w:lineRule="auto"/>
        <w:ind w:left="0" w:leftChars="0"/>
        <w:jc w:val="left"/>
        <w:outlineLvl w:val="1"/>
      </w:pPr>
      <w:bookmarkStart w:id="4" w:name="_Toc27405"/>
      <w:r>
        <w:rPr>
          <w:rFonts w:ascii="Arial" w:hAnsi="Arial" w:eastAsia="等线" w:cs="Arial"/>
          <w:sz w:val="22"/>
        </w:rPr>
        <w:t>（7）项目建筑、电气、装修专业施工图纸及甲方管理要求</w:t>
      </w:r>
      <w:bookmarkEnd w:id="4"/>
    </w:p>
    <w:p w14:paraId="641F39D7">
      <w:pPr>
        <w:spacing w:before="320" w:after="120" w:line="288" w:lineRule="auto"/>
        <w:ind w:left="0" w:leftChars="0"/>
        <w:jc w:val="left"/>
        <w:outlineLvl w:val="0"/>
      </w:pPr>
      <w:bookmarkStart w:id="5" w:name="heading_2"/>
      <w:bookmarkStart w:id="6" w:name="_Toc18395"/>
      <w:r>
        <w:rPr>
          <w:rFonts w:ascii="Arial" w:hAnsi="Arial" w:eastAsia="等线" w:cs="Arial"/>
          <w:b/>
          <w:sz w:val="32"/>
        </w:rPr>
        <w:t>3 总体建设要求</w:t>
      </w:r>
      <w:bookmarkEnd w:id="5"/>
      <w:bookmarkEnd w:id="6"/>
    </w:p>
    <w:p w14:paraId="5C1358ED">
      <w:pPr>
        <w:spacing w:before="120" w:after="120" w:line="288" w:lineRule="auto"/>
        <w:ind w:left="0" w:firstLine="440" w:firstLineChars="200"/>
        <w:jc w:val="left"/>
      </w:pPr>
      <w:r>
        <w:rPr>
          <w:rFonts w:ascii="Arial" w:hAnsi="Arial" w:eastAsia="等线" w:cs="Arial"/>
          <w:sz w:val="22"/>
        </w:rPr>
        <w:t>3.1 整体架构：系统采用数字化、网络化、模块化架构，所有新建子系统与校区原有智能化系统统一网络、统一协议、统一权限、统一管理平台，完全兼容、无缝对接，杜绝信息孤岛，支持后期扩容与功能升级。</w:t>
      </w:r>
    </w:p>
    <w:p w14:paraId="69631D9A">
      <w:pPr>
        <w:spacing w:before="120" w:after="120" w:line="288" w:lineRule="auto"/>
        <w:ind w:left="0" w:firstLine="500" w:firstLineChars="0"/>
        <w:jc w:val="left"/>
      </w:pPr>
      <w:r>
        <w:rPr>
          <w:rFonts w:ascii="Arial" w:hAnsi="Arial" w:eastAsia="等线" w:cs="Arial"/>
          <w:sz w:val="22"/>
        </w:rPr>
        <w:t>3.2 开放性与兼容性要求：所有子系统预留标准通用对外接口，软硬件协议适配校区原有智慧平台、安防平台、后勤管理平台，可无缝接入、数据互通、联动控制，满足校园整体智能化统一管控要求。</w:t>
      </w:r>
    </w:p>
    <w:p w14:paraId="1807C1E2">
      <w:pPr>
        <w:spacing w:before="120" w:after="120" w:line="288" w:lineRule="auto"/>
        <w:ind w:left="0" w:firstLine="500" w:firstLineChars="0"/>
        <w:jc w:val="left"/>
      </w:pPr>
      <w:r>
        <w:rPr>
          <w:rFonts w:ascii="Arial" w:hAnsi="Arial" w:eastAsia="等线" w:cs="Arial"/>
          <w:sz w:val="22"/>
        </w:rPr>
        <w:t>3.3 稳定性要求：设备适配食堂高温、潮湿、油烟、多设备干扰场景，运行稳定、故障率低、便于运维。</w:t>
      </w:r>
    </w:p>
    <w:p w14:paraId="225BD3CE">
      <w:pPr>
        <w:spacing w:before="120" w:after="120" w:line="288" w:lineRule="auto"/>
        <w:ind w:left="0" w:firstLine="500" w:firstLineChars="0"/>
        <w:jc w:val="left"/>
      </w:pPr>
      <w:r>
        <w:rPr>
          <w:rFonts w:ascii="Arial" w:hAnsi="Arial" w:eastAsia="等线" w:cs="Arial"/>
          <w:sz w:val="22"/>
        </w:rPr>
        <w:t>3.4 数据要求：所有运行数据、交易记录、监控录像、告警日志可溯源、可存储、可导出，满足审计及监管存档要求。</w:t>
      </w:r>
    </w:p>
    <w:p w14:paraId="41E2BDA8">
      <w:pPr>
        <w:spacing w:before="320" w:after="120" w:line="288" w:lineRule="auto"/>
        <w:ind w:left="0" w:leftChars="0"/>
        <w:jc w:val="left"/>
        <w:outlineLvl w:val="0"/>
      </w:pPr>
      <w:bookmarkStart w:id="7" w:name="heading_3"/>
      <w:bookmarkStart w:id="8" w:name="_Toc26718"/>
      <w:r>
        <w:rPr>
          <w:rFonts w:ascii="Arial" w:hAnsi="Arial" w:eastAsia="等线" w:cs="Arial"/>
          <w:b/>
          <w:sz w:val="32"/>
        </w:rPr>
        <w:t>4 系统建设内容及技术要求</w:t>
      </w:r>
      <w:bookmarkEnd w:id="7"/>
      <w:bookmarkEnd w:id="8"/>
    </w:p>
    <w:p w14:paraId="4CEF2826">
      <w:pPr>
        <w:spacing w:before="120" w:after="120" w:line="288" w:lineRule="auto"/>
        <w:ind w:left="0" w:firstLine="440" w:firstLineChars="200"/>
        <w:jc w:val="left"/>
      </w:pPr>
      <w:r>
        <w:rPr>
          <w:rFonts w:ascii="Arial" w:hAnsi="Arial" w:eastAsia="等线" w:cs="Arial"/>
          <w:sz w:val="22"/>
        </w:rPr>
        <w:t>本项目食堂智能化系统建设范围包含：综合布线系统、信息网络系统、公共广播系统、入侵和紧急报警系统、视频监控系统、出入口控制系统、电子巡查系统、停车场管理系统。项目依托校区原有通信综合接入机房、楼栋弱电间、校区原有门卫室（监控室）完成全系统组网、供电、数据汇聚、存储及集中管控。</w:t>
      </w:r>
      <w:r>
        <w:rPr>
          <w:rFonts w:ascii="Arial" w:hAnsi="Arial" w:eastAsia="等线" w:cs="Arial"/>
          <w:b/>
          <w:sz w:val="22"/>
        </w:rPr>
        <w:t>所有新建子系统必须完全兼容校区原有智能化架构，实现无缝对接、统一联网、统一平台管理、数据互通，不得形成信息孤岛，满足整体系统扩容、联动、运维一体化要求。</w:t>
      </w:r>
    </w:p>
    <w:p w14:paraId="58A6B06F">
      <w:pPr>
        <w:spacing w:before="300" w:after="120" w:line="288" w:lineRule="auto"/>
        <w:ind w:left="0" w:leftChars="0"/>
        <w:jc w:val="left"/>
        <w:outlineLvl w:val="1"/>
      </w:pPr>
      <w:bookmarkStart w:id="9" w:name="heading_4"/>
      <w:bookmarkStart w:id="10" w:name="_Toc7298"/>
      <w:r>
        <w:rPr>
          <w:rFonts w:ascii="Arial" w:hAnsi="Arial" w:eastAsia="等线" w:cs="Arial"/>
          <w:b/>
          <w:sz w:val="30"/>
        </w:rPr>
        <w:t>4.1 综合布线系统</w:t>
      </w:r>
      <w:bookmarkEnd w:id="9"/>
      <w:bookmarkEnd w:id="10"/>
    </w:p>
    <w:p w14:paraId="50C450B9">
      <w:pPr>
        <w:spacing w:before="120" w:after="120" w:line="288" w:lineRule="auto"/>
        <w:ind w:left="0" w:firstLine="440" w:firstLineChars="200"/>
        <w:jc w:val="left"/>
      </w:pPr>
      <w:r>
        <w:rPr>
          <w:rFonts w:ascii="Arial" w:hAnsi="Arial" w:eastAsia="等线" w:cs="Arial"/>
          <w:sz w:val="22"/>
        </w:rPr>
        <w:t>为食堂全场景智能化设备提供基础传输链路，覆盖就餐大厅、后厨各功能间、库房、通道、办公区域、设备点位等全部智能化终端点位。系统采用标准化布线架构，数据、语音、设备监控链路分区布设，强弱电严格分离，规避油烟、高温、潮湿环境干扰。后厨区域管线做耐高温、防腐蚀、防油烟专项防护，所有链路接入楼栋弱电间，最终汇聚至校区原有通信综合接入机房。布线系统满足后期设备扩容、系统升级需求，链路标识清晰、规范规整，符合国家综合布线设计及施工验收规范。</w:t>
      </w:r>
    </w:p>
    <w:p w14:paraId="0A2FB7A0">
      <w:pPr>
        <w:spacing w:before="300" w:after="120" w:line="288" w:lineRule="auto"/>
        <w:ind w:left="0" w:leftChars="0"/>
        <w:jc w:val="left"/>
        <w:outlineLvl w:val="1"/>
      </w:pPr>
      <w:bookmarkStart w:id="11" w:name="heading_5"/>
      <w:bookmarkStart w:id="12" w:name="_Toc20416"/>
      <w:r>
        <w:rPr>
          <w:rFonts w:ascii="Arial" w:hAnsi="Arial" w:eastAsia="等线" w:cs="Arial"/>
          <w:b/>
          <w:sz w:val="30"/>
        </w:rPr>
        <w:t>4.2 信息网络系统</w:t>
      </w:r>
      <w:bookmarkEnd w:id="11"/>
      <w:bookmarkEnd w:id="12"/>
    </w:p>
    <w:p w14:paraId="74FCA202">
      <w:pPr>
        <w:spacing w:before="120" w:after="120" w:line="288" w:lineRule="auto"/>
        <w:ind w:left="0" w:firstLine="440" w:firstLineChars="200"/>
        <w:jc w:val="left"/>
      </w:pPr>
      <w:r>
        <w:rPr>
          <w:rFonts w:ascii="Arial" w:hAnsi="Arial" w:eastAsia="等线" w:cs="Arial"/>
          <w:sz w:val="22"/>
        </w:rPr>
        <w:t>搭建食堂专属信息网络体系，依托校区原有核心网络架构，完成食堂网络设备部署、VLAN划分、网络安全隔离。区分监控专网、业务管理网、无线覆盖网，保障各智能化系统独立稳定运行，互不干扰。覆盖食堂室内无线网络，满足日常办公、设备联网、信息交互、终端接入需求。所有网络设备统一接入楼栋弱电间及校区原有通信综合接入机房，支持网络状态监测、权限管控、故障排查，具备良好的兼容性与可扩容性，适配校区整体智慧网络体系。</w:t>
      </w:r>
    </w:p>
    <w:p w14:paraId="6FFBCCAB">
      <w:pPr>
        <w:spacing w:before="300" w:after="120" w:line="288" w:lineRule="auto"/>
        <w:ind w:left="0" w:leftChars="0"/>
        <w:jc w:val="left"/>
        <w:outlineLvl w:val="1"/>
      </w:pPr>
      <w:bookmarkStart w:id="13" w:name="heading_6"/>
      <w:bookmarkStart w:id="14" w:name="_Toc21749"/>
      <w:r>
        <w:rPr>
          <w:rFonts w:ascii="Arial" w:hAnsi="Arial" w:eastAsia="等线" w:cs="Arial"/>
          <w:b/>
          <w:sz w:val="30"/>
        </w:rPr>
        <w:t>4.3 公共广播系统</w:t>
      </w:r>
      <w:bookmarkEnd w:id="13"/>
      <w:bookmarkEnd w:id="14"/>
    </w:p>
    <w:p w14:paraId="60F941B1">
      <w:pPr>
        <w:spacing w:before="120" w:after="120" w:line="288" w:lineRule="auto"/>
        <w:ind w:left="0" w:firstLine="500" w:firstLineChars="0"/>
        <w:jc w:val="left"/>
      </w:pPr>
      <w:r>
        <w:rPr>
          <w:rFonts w:ascii="Arial" w:hAnsi="Arial" w:eastAsia="等线" w:cs="Arial"/>
          <w:sz w:val="22"/>
        </w:rPr>
        <w:t>建设食堂专用公共广播系统，覆盖就餐大厅、公共通道、出入口等公共区域。系统支持日常背景音乐播放、就餐通知播报、温馨提示、应急广播喊话功能，音量分区可调、音质清晰、无杂音干扰。系统可联动紧急报警系统，突发情况自动切换应急广播，实现全域语音预警与疏散引导。设备适配食堂公共场景运行环境，支持定时播放、手动操控、远程管控，接入校区统一广播管控体系。</w:t>
      </w:r>
    </w:p>
    <w:p w14:paraId="41EEA43D">
      <w:pPr>
        <w:spacing w:before="300" w:after="120" w:line="288" w:lineRule="auto"/>
        <w:ind w:left="0" w:leftChars="0"/>
        <w:jc w:val="left"/>
        <w:outlineLvl w:val="1"/>
      </w:pPr>
      <w:bookmarkStart w:id="15" w:name="heading_7"/>
      <w:bookmarkStart w:id="16" w:name="_Toc32440"/>
      <w:r>
        <w:rPr>
          <w:rFonts w:ascii="Arial" w:hAnsi="Arial" w:eastAsia="等线" w:cs="Arial"/>
          <w:b/>
          <w:sz w:val="30"/>
        </w:rPr>
        <w:t>4.4 入侵和紧急报警系统</w:t>
      </w:r>
      <w:bookmarkEnd w:id="15"/>
      <w:bookmarkEnd w:id="16"/>
    </w:p>
    <w:p w14:paraId="20E8176F">
      <w:pPr>
        <w:spacing w:before="120" w:after="120" w:line="288" w:lineRule="auto"/>
        <w:ind w:left="0" w:firstLine="500" w:firstLineChars="0"/>
        <w:jc w:val="left"/>
      </w:pPr>
      <w:r>
        <w:rPr>
          <w:rFonts w:ascii="Arial" w:hAnsi="Arial" w:eastAsia="等线" w:cs="Arial"/>
          <w:sz w:val="22"/>
        </w:rPr>
        <w:t>在食堂后厨关键区域、食材库房、留样间、设备机房等重点防护区域布设入侵探测设备、紧急报警按钮。系统具备非法入侵检测、人为紧急求助报警功能，触发报警后可实时上传信号至校区原有门卫室（监控室），同步产生声光告警、报警日志，支持报警记录查询、导出、追溯。系统响应迅速、稳定可靠，可联动视频监控系统自动调取报警区域画面，实现安防事件可视化处置，全面提升食堂安防应急处置能力。</w:t>
      </w:r>
    </w:p>
    <w:p w14:paraId="72C4E4CC">
      <w:pPr>
        <w:spacing w:before="300" w:after="120" w:line="288" w:lineRule="auto"/>
        <w:ind w:left="0" w:leftChars="0"/>
        <w:jc w:val="left"/>
        <w:outlineLvl w:val="1"/>
      </w:pPr>
      <w:bookmarkStart w:id="17" w:name="heading_8"/>
      <w:bookmarkStart w:id="18" w:name="_Toc21179"/>
      <w:r>
        <w:rPr>
          <w:rFonts w:ascii="Arial" w:hAnsi="Arial" w:eastAsia="等线" w:cs="Arial"/>
          <w:b/>
          <w:sz w:val="30"/>
        </w:rPr>
        <w:t>4.5 视频监控系统（含明厨亮灶）</w:t>
      </w:r>
      <w:bookmarkEnd w:id="17"/>
      <w:bookmarkEnd w:id="18"/>
    </w:p>
    <w:p w14:paraId="4D33AA58">
      <w:pPr>
        <w:spacing w:before="120" w:after="120" w:line="288" w:lineRule="auto"/>
        <w:ind w:left="0" w:firstLine="500" w:firstLineChars="0"/>
        <w:jc w:val="left"/>
      </w:pPr>
      <w:r>
        <w:rPr>
          <w:rFonts w:ascii="Arial" w:hAnsi="Arial" w:eastAsia="等线" w:cs="Arial"/>
          <w:sz w:val="22"/>
        </w:rPr>
        <w:t>全覆盖食堂出入口、就餐大厅、公共通道、收银区域、后厨粗加工间、烹饪区、洗消间、留样间、食材库房、设备区域等所有重点区域。后厨作业区域采用防油烟、耐高温、防潮高清专用摄像机，严格满足属地市场监管局明厨亮灶标准及校园安防规范。系统支持实时预览、高清录像、画面回放、异常抓拍、智能侦测、告警联动，视频存储时长不低于90天。所有监控数据统一汇聚存储至校区原有门卫室（监控室），预留官方监管平台对接端口，支持远程监管、画面调取、数据溯源。</w:t>
      </w:r>
    </w:p>
    <w:p w14:paraId="4F9C2132">
      <w:pPr>
        <w:spacing w:before="300" w:after="120" w:line="288" w:lineRule="auto"/>
        <w:ind w:left="0" w:leftChars="0"/>
        <w:jc w:val="left"/>
        <w:outlineLvl w:val="1"/>
      </w:pPr>
      <w:bookmarkStart w:id="19" w:name="heading_9"/>
      <w:bookmarkStart w:id="20" w:name="_Toc10872"/>
      <w:r>
        <w:rPr>
          <w:rFonts w:ascii="Arial" w:hAnsi="Arial" w:eastAsia="等线" w:cs="Arial"/>
          <w:b/>
          <w:sz w:val="30"/>
        </w:rPr>
        <w:t>4.6 出入口控制系统</w:t>
      </w:r>
      <w:bookmarkEnd w:id="19"/>
      <w:bookmarkEnd w:id="20"/>
    </w:p>
    <w:p w14:paraId="113457E2">
      <w:pPr>
        <w:spacing w:before="120" w:after="120" w:line="288" w:lineRule="auto"/>
        <w:ind w:left="0" w:firstLine="500" w:firstLineChars="0"/>
        <w:jc w:val="left"/>
      </w:pPr>
      <w:r>
        <w:rPr>
          <w:rFonts w:ascii="Arial" w:hAnsi="Arial" w:eastAsia="等线" w:cs="Arial"/>
          <w:sz w:val="22"/>
        </w:rPr>
        <w:t>针对食堂后厨专属通道、食材库房、留样间、设备弱电间等非公共重要区域设置出入口控制设备，采用人脸/刷卡识别认证方式，实现人员权限分级管控，严格禁止无关人员进入后厨作业及重点防护区域。系统可精准记录人员进出时间、人员信息、进出点位，自动留存出入日志，支持日志查询、导出、溯源。系统接入校区统一出入口管控平台，可实现权限统一配置、状态实时监测、异常记录预警，保障食堂作业区域安全规范管理。</w:t>
      </w:r>
    </w:p>
    <w:p w14:paraId="4BEEC636">
      <w:pPr>
        <w:spacing w:before="300" w:after="120" w:line="288" w:lineRule="auto"/>
        <w:ind w:left="0" w:leftChars="0"/>
        <w:jc w:val="left"/>
        <w:outlineLvl w:val="1"/>
      </w:pPr>
      <w:bookmarkStart w:id="21" w:name="_Toc4321"/>
      <w:bookmarkStart w:id="22" w:name="heading_10"/>
      <w:r>
        <w:rPr>
          <w:rFonts w:ascii="Arial" w:hAnsi="Arial" w:eastAsia="等线" w:cs="Arial"/>
          <w:b/>
          <w:sz w:val="30"/>
        </w:rPr>
        <w:t>4.7 电子巡查系统</w:t>
      </w:r>
      <w:bookmarkEnd w:id="21"/>
      <w:bookmarkEnd w:id="22"/>
    </w:p>
    <w:p w14:paraId="70514500">
      <w:pPr>
        <w:spacing w:before="120" w:after="120" w:line="288" w:lineRule="auto"/>
        <w:ind w:left="0" w:firstLine="500" w:firstLineChars="0"/>
        <w:jc w:val="left"/>
      </w:pPr>
      <w:r>
        <w:rPr>
          <w:rFonts w:ascii="Arial" w:hAnsi="Arial" w:eastAsia="等线" w:cs="Arial"/>
          <w:sz w:val="22"/>
        </w:rPr>
        <w:t>配套建设食堂电子巡查系统，根据食堂安防点位、巡查路线布设巡查点位，覆盖后厨区域、库房、设备间、公共通道、出入口等重点巡查区域。支持安保人员定点打卡、路线巡查、巡查记录自动留存，系统可统计巡查频次、巡查到位情况、漏巡记录，自动生成巡查报表。可实现巡查任务下发、状态监测、异常记录预警，</w:t>
      </w:r>
      <w:r>
        <w:rPr>
          <w:rFonts w:ascii="Arial" w:hAnsi="Arial" w:eastAsia="等线" w:cs="Arial"/>
          <w:b/>
          <w:sz w:val="22"/>
        </w:rPr>
        <w:t>完全兼容校区原有电子巡查系统，数据同步上传至校区门卫室监控平台，纳入校区统一安防巡查体系</w:t>
      </w:r>
      <w:r>
        <w:rPr>
          <w:rFonts w:ascii="Arial" w:hAnsi="Arial" w:eastAsia="等线" w:cs="Arial"/>
          <w:sz w:val="22"/>
        </w:rPr>
        <w:t>，规范食堂日常安防巡检工作，实现巡查工作标准化、数字化、可溯源管理。</w:t>
      </w:r>
    </w:p>
    <w:p w14:paraId="6338E3BA">
      <w:pPr>
        <w:spacing w:before="300" w:after="120" w:line="288" w:lineRule="auto"/>
        <w:ind w:left="0" w:leftChars="0"/>
        <w:jc w:val="left"/>
        <w:outlineLvl w:val="1"/>
      </w:pPr>
      <w:bookmarkStart w:id="23" w:name="heading_11"/>
      <w:bookmarkStart w:id="24" w:name="_Toc6648"/>
      <w:r>
        <w:rPr>
          <w:rFonts w:ascii="Arial" w:hAnsi="Arial" w:eastAsia="等线" w:cs="Arial"/>
          <w:b/>
          <w:sz w:val="30"/>
        </w:rPr>
        <w:t>4.8 停车场管理系统</w:t>
      </w:r>
      <w:bookmarkEnd w:id="23"/>
      <w:bookmarkEnd w:id="24"/>
    </w:p>
    <w:p w14:paraId="4F5BD505">
      <w:pPr>
        <w:spacing w:before="120" w:after="120" w:line="288" w:lineRule="auto"/>
        <w:ind w:left="0" w:firstLine="500" w:firstLineChars="0"/>
        <w:jc w:val="left"/>
      </w:pPr>
      <w:r>
        <w:rPr>
          <w:rFonts w:ascii="Arial" w:hAnsi="Arial" w:eastAsia="等线" w:cs="Arial"/>
          <w:sz w:val="22"/>
        </w:rPr>
        <w:t>本次配套建设食堂区域停车场管理系统，适配食堂人员、物资车辆进出管控需求，实现车辆进出识别、权限管控、进出记录留存、车场秩序管理。系统支持车牌自动识别、快速通行、车辆进出记录查询、数据统计、异常车辆预警等基础功能，可适配固定车辆、临时车辆分类管理。</w:t>
      </w:r>
      <w:r>
        <w:rPr>
          <w:rFonts w:ascii="Arial" w:hAnsi="Arial" w:eastAsia="等线" w:cs="Arial"/>
          <w:b/>
          <w:sz w:val="22"/>
        </w:rPr>
        <w:t>系统协议、架构完全兼容校区原有停车场及安防管理平台，可无缝接入校区原有系统，实现车场数据统一汇总、统一管控、统一运维，与校园整体安防体系联动运行</w:t>
      </w:r>
      <w:r>
        <w:rPr>
          <w:rFonts w:ascii="Arial" w:hAnsi="Arial" w:eastAsia="等线" w:cs="Arial"/>
          <w:sz w:val="22"/>
        </w:rPr>
        <w:t>。设备运行稳定，适配室外露天及校园通行场景，具备防尘、防水、抗干扰能力，满足长期不间断运行要求。</w:t>
      </w:r>
    </w:p>
    <w:p w14:paraId="54A095FE">
      <w:pPr>
        <w:spacing w:before="300" w:after="120" w:line="288" w:lineRule="auto"/>
        <w:ind w:left="0" w:leftChars="0"/>
        <w:jc w:val="left"/>
        <w:outlineLvl w:val="1"/>
      </w:pPr>
      <w:bookmarkStart w:id="25" w:name="_Toc31279"/>
      <w:bookmarkStart w:id="26" w:name="heading_12"/>
      <w:r>
        <w:rPr>
          <w:rFonts w:ascii="Arial" w:hAnsi="Arial" w:eastAsia="等线" w:cs="Arial"/>
          <w:b/>
          <w:sz w:val="30"/>
        </w:rPr>
        <w:t>4.9 依托现有配套设施及系统兼容要求说明</w:t>
      </w:r>
      <w:bookmarkEnd w:id="25"/>
      <w:bookmarkEnd w:id="26"/>
    </w:p>
    <w:p w14:paraId="14AAA6D0">
      <w:pPr>
        <w:spacing w:before="120" w:after="120" w:line="288" w:lineRule="auto"/>
        <w:ind w:left="0" w:firstLine="500" w:firstLineChars="0"/>
        <w:jc w:val="left"/>
      </w:pPr>
      <w:r>
        <w:rPr>
          <w:rFonts w:ascii="Arial" w:hAnsi="Arial" w:eastAsia="等线" w:cs="Arial"/>
          <w:sz w:val="22"/>
        </w:rPr>
        <w:t>本项目智能化系统整体组网、数据汇聚、设备托管依托</w:t>
      </w:r>
      <w:r>
        <w:rPr>
          <w:rFonts w:ascii="Arial" w:hAnsi="Arial" w:eastAsia="等线" w:cs="Arial"/>
          <w:b/>
          <w:sz w:val="22"/>
        </w:rPr>
        <w:t>校区原有通信综合接入机房</w:t>
      </w:r>
      <w:r>
        <w:rPr>
          <w:rFonts w:ascii="Arial" w:hAnsi="Arial" w:eastAsia="等线" w:cs="Arial"/>
          <w:sz w:val="22"/>
        </w:rPr>
        <w:t>完成核心数据交换、设备汇聚及网络调度；依托楼栋</w:t>
      </w:r>
      <w:r>
        <w:rPr>
          <w:rFonts w:ascii="Arial" w:hAnsi="Arial" w:eastAsia="等线" w:cs="Arial"/>
          <w:b/>
          <w:sz w:val="22"/>
        </w:rPr>
        <w:t>弱电间</w:t>
      </w:r>
      <w:r>
        <w:rPr>
          <w:rFonts w:ascii="Arial" w:hAnsi="Arial" w:eastAsia="等线" w:cs="Arial"/>
          <w:sz w:val="22"/>
        </w:rPr>
        <w:t>完成本楼层智能化设备配线、链路转接、设备供电及本地运维；所有安防监控、报警、巡查、停车场管理等系统数据最终汇总至</w:t>
      </w:r>
      <w:r>
        <w:rPr>
          <w:rFonts w:ascii="Arial" w:hAnsi="Arial" w:eastAsia="等线" w:cs="Arial"/>
          <w:b/>
          <w:sz w:val="22"/>
        </w:rPr>
        <w:t>校区原有门卫室（监控室）</w:t>
      </w:r>
      <w:r>
        <w:rPr>
          <w:rFonts w:ascii="Arial" w:hAnsi="Arial" w:eastAsia="等线" w:cs="Arial"/>
          <w:sz w:val="22"/>
        </w:rPr>
        <w:t>实现集中监控、统一值守、事件处置。本项目不新增核心机房及监控中心，仅完成前端设备、链路敷设及终端部署。</w:t>
      </w:r>
      <w:r>
        <w:rPr>
          <w:rFonts w:ascii="Arial" w:hAnsi="Arial" w:eastAsia="等线" w:cs="Arial"/>
          <w:b/>
          <w:sz w:val="22"/>
        </w:rPr>
        <w:t>所有新建智能化子系统必须100%兼容校区现有软硬件平台、网络协议、数据接口，实现全网互通、设备联动、数据同步，确保新旧系统无缝融合、统一运维管理。</w:t>
      </w:r>
    </w:p>
    <w:p w14:paraId="6E088B85">
      <w:pPr>
        <w:spacing w:before="300" w:after="120" w:line="288" w:lineRule="auto"/>
        <w:ind w:left="0" w:leftChars="0"/>
        <w:jc w:val="left"/>
        <w:outlineLvl w:val="1"/>
      </w:pPr>
      <w:bookmarkStart w:id="27" w:name="_Toc5574"/>
      <w:bookmarkStart w:id="28" w:name="heading_13"/>
      <w:r>
        <w:rPr>
          <w:rFonts w:ascii="Arial" w:hAnsi="Arial" w:eastAsia="等线" w:cs="Arial"/>
          <w:b/>
          <w:sz w:val="30"/>
        </w:rPr>
        <w:t>4.8 依托现有配套设施说明</w:t>
      </w:r>
      <w:bookmarkEnd w:id="27"/>
      <w:bookmarkEnd w:id="28"/>
    </w:p>
    <w:p w14:paraId="755A99EA">
      <w:pPr>
        <w:spacing w:before="120" w:after="120" w:line="288" w:lineRule="auto"/>
        <w:ind w:left="0" w:firstLine="500" w:firstLineChars="0"/>
        <w:jc w:val="left"/>
      </w:pPr>
      <w:r>
        <w:rPr>
          <w:rFonts w:ascii="Arial" w:hAnsi="Arial" w:eastAsia="等线" w:cs="Arial"/>
          <w:sz w:val="22"/>
        </w:rPr>
        <w:t>本项目智能化系统整体组网、数据汇聚、设备托管依托</w:t>
      </w:r>
      <w:r>
        <w:rPr>
          <w:rFonts w:ascii="Arial" w:hAnsi="Arial" w:eastAsia="等线" w:cs="Arial"/>
          <w:b/>
          <w:sz w:val="22"/>
        </w:rPr>
        <w:t>校区原有通信综合接入机房</w:t>
      </w:r>
      <w:r>
        <w:rPr>
          <w:rFonts w:ascii="Arial" w:hAnsi="Arial" w:eastAsia="等线" w:cs="Arial"/>
          <w:sz w:val="22"/>
        </w:rPr>
        <w:t>完成核心数据交换、设备汇聚及网络调度；依托楼栋</w:t>
      </w:r>
      <w:r>
        <w:rPr>
          <w:rFonts w:ascii="Arial" w:hAnsi="Arial" w:eastAsia="等线" w:cs="Arial"/>
          <w:b/>
          <w:sz w:val="22"/>
        </w:rPr>
        <w:t>弱电间</w:t>
      </w:r>
      <w:r>
        <w:rPr>
          <w:rFonts w:ascii="Arial" w:hAnsi="Arial" w:eastAsia="等线" w:cs="Arial"/>
          <w:sz w:val="22"/>
        </w:rPr>
        <w:t>完成本楼层智能化设备配线、链路转接、设备供电及本地运维；所有安防监控、报警、巡查等系统数据最终汇总至</w:t>
      </w:r>
      <w:r>
        <w:rPr>
          <w:rFonts w:ascii="Arial" w:hAnsi="Arial" w:eastAsia="等线" w:cs="Arial"/>
          <w:b/>
          <w:sz w:val="22"/>
        </w:rPr>
        <w:t>校区原有门卫室（监控室）</w:t>
      </w:r>
      <w:r>
        <w:rPr>
          <w:rFonts w:ascii="Arial" w:hAnsi="Arial" w:eastAsia="等线" w:cs="Arial"/>
          <w:sz w:val="22"/>
        </w:rPr>
        <w:t>实现集中监控、统一值守、事件处置，本项目不新增核心机房及监控中心，仅完成前端设备、链路敷设及终端部署。</w:t>
      </w:r>
    </w:p>
    <w:p w14:paraId="08588FD6">
      <w:pPr>
        <w:spacing w:before="320" w:after="120" w:line="288" w:lineRule="auto"/>
        <w:ind w:left="0" w:leftChars="0"/>
        <w:jc w:val="left"/>
        <w:outlineLvl w:val="0"/>
      </w:pPr>
      <w:bookmarkStart w:id="29" w:name="heading_14"/>
      <w:bookmarkStart w:id="30" w:name="_Toc16956"/>
      <w:r>
        <w:rPr>
          <w:rFonts w:ascii="Arial" w:hAnsi="Arial" w:eastAsia="等线" w:cs="Arial"/>
          <w:b/>
          <w:sz w:val="32"/>
        </w:rPr>
        <w:t>5 施工及管线技术要求</w:t>
      </w:r>
      <w:bookmarkEnd w:id="29"/>
      <w:bookmarkEnd w:id="30"/>
    </w:p>
    <w:p w14:paraId="45F30C35">
      <w:pPr>
        <w:spacing w:before="120" w:after="120" w:line="288" w:lineRule="auto"/>
        <w:ind w:left="0" w:firstLine="500" w:firstLineChars="0"/>
        <w:jc w:val="left"/>
      </w:pPr>
      <w:r>
        <w:rPr>
          <w:rFonts w:ascii="Arial" w:hAnsi="Arial" w:eastAsia="等线" w:cs="Arial"/>
          <w:sz w:val="22"/>
        </w:rPr>
        <w:t>5.1 所有弱电管线、桥架、穿管敷设规范，强弱电分离，避开高温、油烟、燃气危险区域。</w:t>
      </w:r>
    </w:p>
    <w:p w14:paraId="1EB02B95">
      <w:pPr>
        <w:spacing w:before="120" w:after="120" w:line="288" w:lineRule="auto"/>
        <w:ind w:firstLine="500" w:firstLineChars="0"/>
        <w:jc w:val="left"/>
      </w:pPr>
      <w:r>
        <w:rPr>
          <w:rFonts w:ascii="Arial" w:hAnsi="Arial" w:eastAsia="等线" w:cs="Arial"/>
          <w:sz w:val="22"/>
        </w:rPr>
        <w:t>5.2 后厨区域设备及管线做好耐高温、防腐蚀、防油烟防护处理。</w:t>
      </w:r>
    </w:p>
    <w:p w14:paraId="17168692">
      <w:pPr>
        <w:spacing w:before="120" w:after="120" w:line="288" w:lineRule="auto"/>
        <w:ind w:left="0" w:leftChars="0" w:firstLine="500" w:firstLineChars="0"/>
        <w:jc w:val="left"/>
        <w:outlineLvl w:val="1"/>
      </w:pPr>
      <w:bookmarkStart w:id="31" w:name="_Toc25432"/>
      <w:r>
        <w:rPr>
          <w:rFonts w:ascii="Arial" w:hAnsi="Arial" w:eastAsia="等线" w:cs="Arial"/>
          <w:sz w:val="22"/>
        </w:rPr>
        <w:t>5.3 系统统一接地、防雷，满足弱电系统安全规范。</w:t>
      </w:r>
      <w:bookmarkEnd w:id="31"/>
    </w:p>
    <w:p w14:paraId="521FE164">
      <w:pPr>
        <w:spacing w:before="120" w:after="120" w:line="288" w:lineRule="auto"/>
        <w:ind w:left="0" w:firstLine="500" w:firstLineChars="0"/>
        <w:jc w:val="left"/>
      </w:pPr>
      <w:r>
        <w:rPr>
          <w:rFonts w:ascii="Arial" w:hAnsi="Arial" w:eastAsia="等线" w:cs="Arial"/>
          <w:sz w:val="22"/>
        </w:rPr>
        <w:t>5.4 弱电机房/弱电间配置不间断电源，保障核心设备断电可持续运行不低于30分钟。</w:t>
      </w:r>
    </w:p>
    <w:p w14:paraId="16ABAB71">
      <w:pPr>
        <w:spacing w:before="320" w:after="120" w:line="288" w:lineRule="auto"/>
        <w:ind w:left="0" w:leftChars="0"/>
        <w:jc w:val="left"/>
        <w:outlineLvl w:val="0"/>
      </w:pPr>
      <w:bookmarkStart w:id="32" w:name="heading_15"/>
      <w:bookmarkStart w:id="33" w:name="_Toc24569"/>
      <w:r>
        <w:rPr>
          <w:rFonts w:ascii="Arial" w:hAnsi="Arial" w:eastAsia="等线" w:cs="Arial"/>
          <w:b/>
          <w:sz w:val="32"/>
        </w:rPr>
        <w:t>6 工作范围边界</w:t>
      </w:r>
      <w:bookmarkEnd w:id="32"/>
      <w:bookmarkEnd w:id="33"/>
    </w:p>
    <w:p w14:paraId="2E5C8707">
      <w:pPr>
        <w:spacing w:before="120" w:after="120" w:line="288" w:lineRule="auto"/>
        <w:ind w:left="0" w:firstLine="500" w:firstLineChars="0"/>
        <w:jc w:val="left"/>
      </w:pPr>
      <w:r>
        <w:rPr>
          <w:rFonts w:ascii="Arial" w:hAnsi="Arial" w:eastAsia="等线" w:cs="Arial"/>
          <w:sz w:val="22"/>
        </w:rPr>
        <w:t>6.1 包含：方案深化、施工图设计、设备供货、管线敷设、设备安装、系统调试、平台部署、全网联调、人员培训、竣工资料整理、验收配合、质保维保。</w:t>
      </w:r>
    </w:p>
    <w:p w14:paraId="1FF7AE6E">
      <w:pPr>
        <w:spacing w:before="320" w:after="120" w:line="288" w:lineRule="auto"/>
        <w:ind w:left="0" w:leftChars="0"/>
        <w:jc w:val="left"/>
        <w:outlineLvl w:val="0"/>
      </w:pPr>
      <w:bookmarkStart w:id="34" w:name="heading_16"/>
      <w:bookmarkStart w:id="35" w:name="_Toc4070"/>
      <w:r>
        <w:rPr>
          <w:rFonts w:ascii="Arial" w:hAnsi="Arial" w:eastAsia="等线" w:cs="Arial"/>
          <w:b/>
          <w:sz w:val="32"/>
        </w:rPr>
        <w:t>7 工期要求</w:t>
      </w:r>
      <w:bookmarkEnd w:id="34"/>
      <w:bookmarkEnd w:id="35"/>
    </w:p>
    <w:p w14:paraId="4A7D3676">
      <w:pPr>
        <w:spacing w:before="120" w:after="120" w:line="288" w:lineRule="auto"/>
        <w:ind w:left="0" w:firstLine="500" w:firstLineChars="0"/>
        <w:jc w:val="left"/>
      </w:pPr>
      <w:r>
        <w:rPr>
          <w:rFonts w:ascii="Arial" w:hAnsi="Arial" w:eastAsia="等线" w:cs="Arial"/>
          <w:sz w:val="22"/>
        </w:rPr>
        <w:t>承包人须配合食堂土建、装修、厨房设备施工进度同步穿插施工，确保在食堂正式投用前完成全部智能化系统施工、调试及验收，具体工期以甲方总体进度计划为准。</w:t>
      </w:r>
    </w:p>
    <w:p w14:paraId="6057BFD5">
      <w:pPr>
        <w:spacing w:before="320" w:after="120" w:line="288" w:lineRule="auto"/>
        <w:ind w:left="0" w:leftChars="0"/>
        <w:jc w:val="left"/>
        <w:outlineLvl w:val="0"/>
      </w:pPr>
      <w:bookmarkStart w:id="36" w:name="_Toc32163"/>
      <w:bookmarkStart w:id="37" w:name="heading_17"/>
      <w:r>
        <w:rPr>
          <w:rFonts w:ascii="Arial" w:hAnsi="Arial" w:eastAsia="等线" w:cs="Arial"/>
          <w:b/>
          <w:sz w:val="32"/>
        </w:rPr>
        <w:t>8 交付成果要求</w:t>
      </w:r>
      <w:bookmarkEnd w:id="36"/>
      <w:bookmarkEnd w:id="37"/>
    </w:p>
    <w:p w14:paraId="44495DC0">
      <w:pPr>
        <w:spacing w:before="120" w:after="120" w:line="288" w:lineRule="auto"/>
        <w:ind w:left="0" w:firstLine="500" w:firstLineChars="0"/>
        <w:jc w:val="left"/>
      </w:pPr>
      <w:r>
        <w:rPr>
          <w:rFonts w:ascii="Arial" w:hAnsi="Arial" w:eastAsia="等线" w:cs="Arial"/>
          <w:sz w:val="22"/>
        </w:rPr>
        <w:t>8.1 深化设计图纸：系统图、点位平面图、管线图、机柜布置图。</w:t>
      </w:r>
    </w:p>
    <w:p w14:paraId="48DA5A8F">
      <w:pPr>
        <w:spacing w:before="120" w:after="120" w:line="288" w:lineRule="auto"/>
        <w:ind w:left="0" w:firstLine="500" w:firstLineChars="0"/>
        <w:jc w:val="left"/>
      </w:pPr>
      <w:r>
        <w:rPr>
          <w:rFonts w:ascii="Arial" w:hAnsi="Arial" w:eastAsia="等线" w:cs="Arial"/>
          <w:sz w:val="22"/>
        </w:rPr>
        <w:t>8.2 全套设备资料：设备清单、参数证明、出厂资料、软硬件说明。</w:t>
      </w:r>
    </w:p>
    <w:p w14:paraId="68CB80CA">
      <w:pPr>
        <w:spacing w:before="120" w:after="120" w:line="288" w:lineRule="auto"/>
        <w:ind w:left="0" w:leftChars="0" w:firstLine="500" w:firstLineChars="0"/>
        <w:jc w:val="left"/>
        <w:outlineLvl w:val="1"/>
      </w:pPr>
      <w:bookmarkStart w:id="38" w:name="_Toc12050"/>
      <w:r>
        <w:rPr>
          <w:rFonts w:ascii="Arial" w:hAnsi="Arial" w:eastAsia="等线" w:cs="Arial"/>
          <w:sz w:val="22"/>
        </w:rPr>
        <w:t>8.3 技术文档：操作手册、运维手册、培训记录、测试报告。</w:t>
      </w:r>
      <w:bookmarkEnd w:id="38"/>
    </w:p>
    <w:p w14:paraId="17662B10">
      <w:pPr>
        <w:spacing w:before="120" w:after="120" w:line="288" w:lineRule="auto"/>
        <w:ind w:left="0" w:firstLine="500" w:firstLineChars="0"/>
        <w:jc w:val="left"/>
      </w:pPr>
      <w:r>
        <w:rPr>
          <w:rFonts w:ascii="Arial" w:hAnsi="Arial" w:eastAsia="等线" w:cs="Arial"/>
          <w:sz w:val="22"/>
        </w:rPr>
        <w:t>8.4 竣工资料：竣工图纸、验收资料、备案资料、数据备份方案。</w:t>
      </w:r>
    </w:p>
    <w:p w14:paraId="1B4A0AC4">
      <w:pPr>
        <w:spacing w:before="320" w:after="120" w:line="288" w:lineRule="auto"/>
        <w:ind w:left="0" w:leftChars="0"/>
        <w:jc w:val="left"/>
        <w:outlineLvl w:val="0"/>
      </w:pPr>
      <w:bookmarkStart w:id="39" w:name="_Toc4417"/>
      <w:bookmarkStart w:id="40" w:name="heading_18"/>
      <w:r>
        <w:rPr>
          <w:rFonts w:ascii="Arial" w:hAnsi="Arial" w:eastAsia="等线" w:cs="Arial"/>
          <w:b/>
          <w:sz w:val="32"/>
        </w:rPr>
        <w:t>9 验收标准</w:t>
      </w:r>
      <w:bookmarkEnd w:id="39"/>
      <w:bookmarkEnd w:id="40"/>
    </w:p>
    <w:p w14:paraId="696C7FB9">
      <w:pPr>
        <w:spacing w:before="120" w:after="120" w:line="288" w:lineRule="auto"/>
        <w:ind w:left="0" w:firstLine="500" w:firstLineChars="0"/>
        <w:jc w:val="left"/>
      </w:pPr>
      <w:r>
        <w:rPr>
          <w:rFonts w:ascii="Arial" w:hAnsi="Arial" w:eastAsia="等线" w:cs="Arial"/>
          <w:sz w:val="22"/>
        </w:rPr>
        <w:t>9.1 所有新建子系统功能完整、运行稳定、系统间联动正常，且全部成功接入校区原有智能化平台，新旧系统兼容互通、统一管控，无运行冲突、无数据孤岛。</w:t>
      </w:r>
    </w:p>
    <w:p w14:paraId="7234704D">
      <w:pPr>
        <w:spacing w:before="120" w:after="120" w:line="288" w:lineRule="auto"/>
        <w:ind w:left="0" w:firstLine="500" w:firstLineChars="0"/>
        <w:jc w:val="left"/>
      </w:pPr>
      <w:r>
        <w:rPr>
          <w:rFonts w:ascii="Arial" w:hAnsi="Arial" w:eastAsia="等线" w:cs="Arial"/>
          <w:sz w:val="22"/>
        </w:rPr>
        <w:t>9.2 视频存储、交易数据、门禁日志、环境监测数据完整合规。</w:t>
      </w:r>
    </w:p>
    <w:p w14:paraId="4FD84EE9">
      <w:pPr>
        <w:spacing w:before="120" w:after="120" w:line="288" w:lineRule="auto"/>
        <w:ind w:left="0" w:firstLine="500" w:firstLineChars="0"/>
        <w:jc w:val="left"/>
      </w:pPr>
      <w:r>
        <w:rPr>
          <w:rFonts w:ascii="Arial" w:hAnsi="Arial" w:eastAsia="等线" w:cs="Arial"/>
          <w:sz w:val="22"/>
        </w:rPr>
        <w:t>9.3 明厨亮灶满足监管接入要求，可正常联网监管。</w:t>
      </w:r>
    </w:p>
    <w:p w14:paraId="53F15C09">
      <w:pPr>
        <w:spacing w:before="120" w:after="120" w:line="288" w:lineRule="auto"/>
        <w:ind w:left="0" w:firstLine="500" w:firstLineChars="0"/>
        <w:jc w:val="left"/>
      </w:pPr>
      <w:r>
        <w:rPr>
          <w:rFonts w:ascii="Arial" w:hAnsi="Arial" w:eastAsia="等线" w:cs="Arial"/>
          <w:sz w:val="22"/>
        </w:rPr>
        <w:t>9.4 资料齐全、工艺规范，完全满足本任务书及国家规范要求，通过甲方竣工验收。</w:t>
      </w:r>
    </w:p>
    <w:p w14:paraId="1FBBCBD9">
      <w:pPr>
        <w:spacing w:before="320" w:after="120" w:line="288" w:lineRule="auto"/>
        <w:ind w:left="0" w:leftChars="0"/>
        <w:jc w:val="left"/>
        <w:outlineLvl w:val="0"/>
      </w:pPr>
      <w:bookmarkStart w:id="41" w:name="heading_19"/>
      <w:bookmarkStart w:id="42" w:name="_Toc5105"/>
      <w:r>
        <w:rPr>
          <w:rFonts w:ascii="Arial" w:hAnsi="Arial" w:eastAsia="等线" w:cs="Arial"/>
          <w:b/>
          <w:sz w:val="32"/>
        </w:rPr>
        <w:t>10 质保与售后服务</w:t>
      </w:r>
      <w:bookmarkEnd w:id="41"/>
      <w:bookmarkEnd w:id="42"/>
    </w:p>
    <w:p w14:paraId="081998DE">
      <w:pPr>
        <w:spacing w:before="120" w:after="120" w:line="288" w:lineRule="auto"/>
        <w:ind w:left="0" w:firstLine="500" w:firstLineChars="0"/>
        <w:jc w:val="left"/>
      </w:pPr>
      <w:r>
        <w:rPr>
          <w:rFonts w:ascii="Arial" w:hAnsi="Arial" w:eastAsia="等线" w:cs="Arial"/>
          <w:sz w:val="22"/>
        </w:rPr>
        <w:t>10.1 整体系统免费质保期不少于</w:t>
      </w:r>
      <w:r>
        <w:rPr>
          <w:rFonts w:hint="eastAsia" w:ascii="Arial" w:hAnsi="Arial" w:eastAsia="等线" w:cs="Arial"/>
          <w:b/>
          <w:sz w:val="22"/>
          <w:lang w:val="en-US" w:eastAsia="zh-CN"/>
        </w:rPr>
        <w:t>2</w:t>
      </w:r>
      <w:r>
        <w:rPr>
          <w:rFonts w:ascii="Arial" w:hAnsi="Arial" w:eastAsia="等线" w:cs="Arial"/>
          <w:b/>
          <w:sz w:val="22"/>
        </w:rPr>
        <w:t>年</w:t>
      </w:r>
      <w:r>
        <w:rPr>
          <w:rFonts w:ascii="Arial" w:hAnsi="Arial" w:eastAsia="等线" w:cs="Arial"/>
          <w:sz w:val="22"/>
        </w:rPr>
        <w:t>，所有前端设备、网络设备、安防设备均提供原厂正品质保，核心设备出具原厂质保承诺书。</w:t>
      </w:r>
    </w:p>
    <w:p w14:paraId="5E1DCA71">
      <w:pPr>
        <w:spacing w:before="120" w:after="120" w:line="288" w:lineRule="auto"/>
        <w:ind w:left="0" w:firstLine="500" w:firstLineChars="0"/>
        <w:jc w:val="left"/>
      </w:pPr>
      <w:r>
        <w:rPr>
          <w:rFonts w:ascii="Arial" w:hAnsi="Arial" w:eastAsia="等线" w:cs="Arial"/>
          <w:sz w:val="22"/>
        </w:rPr>
        <w:t>10.2 提供7×24小时技术支持，故障及时响应，约定时限内到场处置。</w:t>
      </w:r>
    </w:p>
    <w:p w14:paraId="7E77953C">
      <w:pPr>
        <w:spacing w:before="120" w:after="120" w:line="288" w:lineRule="auto"/>
        <w:ind w:left="0" w:firstLine="500" w:firstLineChars="0"/>
        <w:jc w:val="left"/>
      </w:pPr>
      <w:r>
        <w:rPr>
          <w:rFonts w:ascii="Arial" w:hAnsi="Arial" w:eastAsia="等线" w:cs="Arial"/>
          <w:sz w:val="22"/>
        </w:rPr>
        <w:t>10.3 质保期内免费软件升级、系统调试、定期巡检、技术培训。</w:t>
      </w:r>
    </w:p>
    <w:p w14:paraId="61D3EA9A">
      <w:pPr>
        <w:spacing w:before="120" w:after="120" w:line="288" w:lineRule="auto"/>
        <w:ind w:left="0" w:leftChars="0" w:firstLine="500" w:firstLineChars="0"/>
        <w:jc w:val="left"/>
        <w:outlineLvl w:val="1"/>
      </w:pPr>
      <w:bookmarkStart w:id="43" w:name="_Toc10777"/>
      <w:r>
        <w:rPr>
          <w:rFonts w:ascii="Arial" w:hAnsi="Arial" w:eastAsia="等线" w:cs="Arial"/>
          <w:sz w:val="22"/>
        </w:rPr>
        <w:t>10.4 质保期满提供优惠终身维保服务方案。</w:t>
      </w:r>
      <w:bookmarkEnd w:id="43"/>
    </w:p>
    <w:p w14:paraId="1E457557">
      <w:pPr>
        <w:spacing w:before="320" w:after="120" w:line="288" w:lineRule="auto"/>
        <w:ind w:left="0" w:leftChars="0"/>
        <w:jc w:val="left"/>
        <w:outlineLvl w:val="0"/>
      </w:pPr>
      <w:bookmarkStart w:id="44" w:name="heading_20"/>
      <w:bookmarkStart w:id="45" w:name="_Toc32557"/>
      <w:r>
        <w:rPr>
          <w:rFonts w:ascii="Arial" w:hAnsi="Arial" w:eastAsia="等线" w:cs="Arial"/>
          <w:b/>
          <w:sz w:val="32"/>
        </w:rPr>
        <w:t>11 其他说明</w:t>
      </w:r>
      <w:bookmarkEnd w:id="44"/>
      <w:bookmarkEnd w:id="45"/>
    </w:p>
    <w:p w14:paraId="74F7B1E2">
      <w:pPr>
        <w:spacing w:before="120" w:after="120" w:line="288" w:lineRule="auto"/>
        <w:ind w:left="0" w:firstLine="500" w:firstLineChars="0"/>
        <w:jc w:val="left"/>
      </w:pPr>
      <w:r>
        <w:rPr>
          <w:rFonts w:ascii="Arial" w:hAnsi="Arial" w:eastAsia="等线" w:cs="Arial"/>
          <w:sz w:val="22"/>
        </w:rPr>
        <w:t>11.1 所有设备为全新正品原厂产品，严禁翻新、贴牌、二手设备。</w:t>
      </w:r>
    </w:p>
    <w:p w14:paraId="3CE0A06B">
      <w:pPr>
        <w:spacing w:before="120" w:after="120" w:line="288" w:lineRule="auto"/>
        <w:ind w:left="0" w:firstLine="500" w:firstLineChars="0"/>
        <w:jc w:val="left"/>
      </w:pPr>
      <w:r>
        <w:rPr>
          <w:rFonts w:ascii="Arial" w:hAnsi="Arial" w:eastAsia="等线" w:cs="Arial"/>
          <w:sz w:val="22"/>
        </w:rPr>
        <w:t>11.2 所有系统软硬件具备高标准开放性、通用性，兼容校区原有设备及平台，无硬件绑定、无私有加密授权锁定，确保顺利接入原有校园智能化体系，支持后期扩容、升级及功能拓展对接。</w:t>
      </w:r>
    </w:p>
    <w:p w14:paraId="0A184041">
      <w:pPr>
        <w:spacing w:before="120" w:after="120" w:line="288" w:lineRule="auto"/>
        <w:ind w:left="0" w:firstLine="500" w:firstLineChars="0"/>
        <w:jc w:val="left"/>
      </w:pPr>
      <w:r>
        <w:rPr>
          <w:rFonts w:ascii="Arial" w:hAnsi="Arial" w:eastAsia="等线" w:cs="Arial"/>
          <w:sz w:val="22"/>
        </w:rPr>
        <w:t>11.3 施工全过程遵守现场安全、文明施工及食品安全管理规定。</w:t>
      </w:r>
    </w:p>
    <w:p w14:paraId="63721AC1">
      <w:pPr>
        <w:spacing w:before="120" w:after="120" w:line="288" w:lineRule="auto"/>
        <w:ind w:left="0"/>
        <w:jc w:val="left"/>
      </w:pPr>
    </w:p>
    <w:p w14:paraId="27CCAED3">
      <w:pPr>
        <w:spacing w:before="120" w:after="120" w:line="288" w:lineRule="auto"/>
        <w:ind w:left="0"/>
        <w:jc w:val="left"/>
      </w:pPr>
    </w:p>
    <w:sectPr>
      <w:footerReference r:id="rId3" w:type="default"/>
      <w:pgSz w:w="11905" w:h="16840"/>
      <w:pgNumType w:start="1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9A32066">
    <w:r>
      <w:rPr>
        <w:sz w:val="21"/>
      </w:rPr>
      <w:pict>
        <v:shape id="_x0000_s4097" o:spid="_x0000_s4097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 style="mso-fit-shape-to-text:t;">
            <w:txbxContent>
              <w:p w14:paraId="48212E84">
                <w:pPr>
                  <w:pStyle w:val="2"/>
                </w:pPr>
                <w:r>
                  <w:fldChar w:fldCharType="begin"/>
                </w:r>
                <w:r>
                  <w:instrText xml:space="preserve"> PAGE  \* MERGEFORMAT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4"/>
  <w:documentProtection w:enforcement="0"/>
  <w:hdrShapeDefaults>
    <o:shapelayout v:ext="edit">
      <o:idmap v:ext="edit" data="3,4"/>
    </o:shapelayout>
  </w:hdrShapeDefaults>
  <w:compat>
    <w:useFELayout/>
    <w:splitPgBreakAndParaMark/>
    <w:compatSetting w:name="compatibilityMode" w:uri="http://schemas.microsoft.com/office/word" w:val="12"/>
  </w:compat>
  <w:rsids>
    <w:rsidRoot w:val="00000000"/>
    <w:rsid w:val="1FE40F08"/>
    <w:rsid w:val="315D1BD2"/>
    <w:rsid w:val="61C71BE0"/>
    <w:rsid w:val="67D842C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99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sz w:val="21"/>
      <w:szCs w:val="22"/>
    </w:rPr>
  </w:style>
  <w:style w:type="character" w:default="1" w:styleId="8">
    <w:name w:val="Default Paragraph Font"/>
    <w:semiHidden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toc 1"/>
    <w:basedOn w:val="1"/>
    <w:next w:val="1"/>
    <w:uiPriority w:val="0"/>
  </w:style>
  <w:style w:type="paragraph" w:styleId="4">
    <w:name w:val="footnote text"/>
    <w:basedOn w:val="1"/>
    <w:uiPriority w:val="0"/>
    <w:pPr>
      <w:snapToGrid w:val="0"/>
      <w:jc w:val="left"/>
    </w:pPr>
    <w:rPr>
      <w:sz w:val="18"/>
    </w:rPr>
  </w:style>
  <w:style w:type="paragraph" w:styleId="5">
    <w:name w:val="toc 2"/>
    <w:basedOn w:val="1"/>
    <w:next w:val="1"/>
    <w:uiPriority w:val="0"/>
    <w:pPr>
      <w:ind w:left="420" w:leftChars="200"/>
    </w:pPr>
  </w:style>
  <w:style w:type="paragraph" w:styleId="6">
    <w:name w:val="Title"/>
    <w:basedOn w:val="1"/>
    <w:next w:val="1"/>
    <w:qFormat/>
    <w:uiPriority w:val="99"/>
    <w:pPr>
      <w:spacing w:after="300" w:line="240" w:lineRule="auto"/>
      <w:contextualSpacing/>
    </w:pPr>
    <w:rPr>
      <w:smallCaps/>
      <w:sz w:val="52"/>
      <w:szCs w:val="52"/>
      <w:lang w:eastAsia="zh-CN" w:bidi="ar-SA"/>
    </w:rPr>
  </w:style>
  <w:style w:type="character" w:styleId="9">
    <w:name w:val="footnote reference"/>
    <w:basedOn w:val="8"/>
    <w:uiPriority w:val="0"/>
    <w:rPr>
      <w:vertAlign w:val="superscript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4097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5</Pages>
  <Words>1074</Words>
  <Characters>1122</Characters>
  <TotalTime>1</TotalTime>
  <ScaleCrop>false</ScaleCrop>
  <LinksUpToDate>false</LinksUpToDate>
  <CharactersWithSpaces>1168</CharactersWithSpaces>
  <Application>WPS Office_12.1.0.20784_F1E327BC-269C-435d-A152-05C5408002CA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2026-07-27T05:47:00Z</dcterms:created>
  <dc:creator>Apache POI</dc:creator>
  <cp:lastModifiedBy>王永生</cp:lastModifiedBy>
  <dcterms:modified xsi:type="dcterms:W3CDTF">2026-07-27T06:46:24Z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IGC">
    <vt:lpwstr>{"Label":"1","ContentProducer":"001191110102MACQD9K64010000","ProduceID":"7667080324132703432","ReservedCode1":"","ContentPropagator":"","PropagateID":"","ReservedCode2":""}</vt:lpwstr>
  </property>
  <property fmtid="{D5CDD505-2E9C-101B-9397-08002B2CF9AE}" pid="3" name="KSOTemplateDocerSaveRecord">
    <vt:lpwstr>eyJoZGlkIjoiY2JjNWFiMzU3ZjE2ZWMxMzQxZTA4ZTY5M2MxNzcxNDkiLCJ1c2VySWQiOiIzMDcwNzQwNjUifQ==</vt:lpwstr>
  </property>
  <property fmtid="{D5CDD505-2E9C-101B-9397-08002B2CF9AE}" pid="4" name="KSOProductBuildVer">
    <vt:lpwstr>2052-12.1.0.20784</vt:lpwstr>
  </property>
  <property fmtid="{D5CDD505-2E9C-101B-9397-08002B2CF9AE}" pid="5" name="ICV">
    <vt:lpwstr>22B99D6C4D1B4F868F8548453ACC5645_12</vt:lpwstr>
  </property>
</Properties>
</file>