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仿宋" w:hAnsi="仿宋" w:eastAsia="仿宋" w:cs="仿宋"/>
          <w:sz w:val="52"/>
          <w:szCs w:val="52"/>
          <w:lang w:val="en-US" w:eastAsia="zh-CN"/>
        </w:rPr>
      </w:pPr>
      <w:r>
        <w:rPr>
          <w:rFonts w:hint="default" w:ascii="仿宋" w:hAnsi="仿宋" w:eastAsia="仿宋" w:cs="仿宋"/>
          <w:sz w:val="52"/>
          <w:szCs w:val="52"/>
          <w:lang w:val="en-US" w:eastAsia="zh-CN"/>
        </w:rPr>
        <w:t>城市阳台翠湖区域动物展示服务</w:t>
      </w:r>
    </w:p>
    <w:p>
      <w:pPr>
        <w:pStyle w:val="2"/>
        <w:rPr>
          <w:rFonts w:hint="eastAsia" w:ascii="仿宋" w:hAnsi="仿宋" w:eastAsia="仿宋" w:cs="仿宋"/>
          <w:sz w:val="52"/>
          <w:szCs w:val="52"/>
        </w:rPr>
      </w:pPr>
      <w:r>
        <w:rPr>
          <w:rFonts w:hint="eastAsia" w:ascii="仿宋" w:hAnsi="仿宋" w:eastAsia="仿宋" w:cs="仿宋"/>
          <w:sz w:val="52"/>
          <w:szCs w:val="52"/>
        </w:rPr>
        <w:t>技术任务书</w:t>
      </w: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before="159" w:beforeLines="50" w:after="159" w:afterLines="50"/>
        <w:ind w:left="102"/>
        <w:jc w:val="center"/>
        <w:rPr>
          <w:rFonts w:hint="eastAsia" w:ascii="仿宋" w:hAnsi="仿宋" w:eastAsia="仿宋" w:cs="仿宋"/>
          <w:b/>
          <w:bCs/>
          <w:spacing w:val="2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2"/>
          <w:sz w:val="30"/>
          <w:szCs w:val="30"/>
        </w:rPr>
        <w:t>珠海正方盛泰投资有限公司</w:t>
      </w:r>
    </w:p>
    <w:p>
      <w:pPr>
        <w:spacing w:before="159" w:beforeLines="50" w:after="159" w:afterLines="50"/>
        <w:ind w:left="102"/>
        <w:jc w:val="center"/>
        <w:rPr>
          <w:rFonts w:hint="eastAsia" w:ascii="仿宋" w:hAnsi="仿宋" w:eastAsia="仿宋" w:cs="仿宋"/>
          <w:b/>
          <w:bCs/>
          <w:spacing w:val="2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2"/>
          <w:sz w:val="30"/>
          <w:szCs w:val="30"/>
        </w:rPr>
        <w:t xml:space="preserve"> 202</w:t>
      </w:r>
      <w:r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pacing w:val="2"/>
          <w:sz w:val="30"/>
          <w:szCs w:val="30"/>
        </w:rPr>
        <w:t>年</w:t>
      </w:r>
      <w:r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pacing w:val="2"/>
          <w:sz w:val="30"/>
          <w:szCs w:val="30"/>
        </w:rPr>
        <w:t>月</w:t>
      </w:r>
    </w:p>
    <w:p>
      <w:pPr>
        <w:spacing w:before="159" w:beforeLines="50" w:after="159" w:afterLines="50"/>
        <w:ind w:left="102"/>
        <w:jc w:val="center"/>
        <w:rPr>
          <w:rFonts w:hint="eastAsia" w:ascii="仿宋" w:hAnsi="仿宋" w:eastAsia="仿宋" w:cs="仿宋"/>
          <w:b/>
          <w:bCs/>
          <w:spacing w:val="2"/>
          <w:sz w:val="30"/>
          <w:szCs w:val="30"/>
        </w:rPr>
      </w:pPr>
    </w:p>
    <w:p>
      <w:pPr>
        <w:spacing w:before="159" w:beforeLines="50" w:after="159" w:afterLines="50"/>
        <w:ind w:left="102"/>
        <w:jc w:val="center"/>
        <w:rPr>
          <w:rFonts w:hint="eastAsia" w:ascii="仿宋" w:hAnsi="仿宋" w:eastAsia="仿宋" w:cs="仿宋"/>
          <w:b/>
          <w:bCs/>
          <w:spacing w:val="2"/>
          <w:sz w:val="30"/>
          <w:szCs w:val="30"/>
        </w:rPr>
      </w:pPr>
    </w:p>
    <w:p>
      <w:pPr>
        <w:spacing w:before="159" w:beforeLines="50" w:after="159" w:afterLines="50"/>
        <w:ind w:left="102"/>
        <w:jc w:val="center"/>
        <w:rPr>
          <w:rFonts w:hint="eastAsia" w:ascii="仿宋" w:hAnsi="仿宋" w:eastAsia="仿宋" w:cs="仿宋"/>
          <w:b/>
          <w:bCs/>
          <w:spacing w:val="2"/>
          <w:sz w:val="30"/>
          <w:szCs w:val="30"/>
        </w:rPr>
      </w:pPr>
    </w:p>
    <w:p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一、项目基本概况</w:t>
      </w:r>
      <w:bookmarkEnd w:id="0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本项目为城市阳台翠湖</w:t>
      </w:r>
      <w:r>
        <w:rPr>
          <w:rFonts w:hint="eastAsia" w:ascii="Arial" w:hAnsi="Arial" w:eastAsia="等线" w:cs="Arial"/>
          <w:sz w:val="22"/>
          <w:lang w:val="en-US" w:eastAsia="zh-CN"/>
        </w:rPr>
        <w:t>漫闪</w:t>
      </w:r>
      <w:r>
        <w:rPr>
          <w:rFonts w:ascii="Arial" w:hAnsi="Arial" w:eastAsia="等线" w:cs="Arial"/>
          <w:sz w:val="22"/>
        </w:rPr>
        <w:t>公园神奇动物园萌宠乐园打造项目，项目整合翠湖公园全域场地资源，打造集萌宠展示、休闲观光、亲子互动、文旅引流于一体的沉浸式萌宠主题乐园，助力提升城市阳台文旅业态丰富度、客流吸引力及整体经营效益。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eastAsia="等线"/>
          <w:lang w:eastAsia="zh-CN"/>
        </w:rPr>
      </w:pPr>
      <w:bookmarkStart w:id="1" w:name="heading_1"/>
      <w:r>
        <w:rPr>
          <w:rFonts w:ascii="Arial" w:hAnsi="Arial" w:eastAsia="等线" w:cs="Arial"/>
          <w:b/>
          <w:sz w:val="32"/>
        </w:rPr>
        <w:t>二、</w:t>
      </w:r>
      <w:bookmarkEnd w:id="1"/>
      <w:bookmarkStart w:id="2" w:name="heading_2"/>
      <w:r>
        <w:rPr>
          <w:rFonts w:ascii="Arial" w:hAnsi="Arial" w:eastAsia="等线" w:cs="Arial"/>
          <w:b/>
          <w:sz w:val="32"/>
        </w:rPr>
        <w:t>项目服务</w:t>
      </w:r>
      <w:bookmarkEnd w:id="2"/>
      <w:r>
        <w:rPr>
          <w:rFonts w:hint="eastAsia" w:ascii="Arial" w:hAnsi="Arial" w:eastAsia="等线" w:cs="Arial"/>
          <w:b/>
          <w:sz w:val="32"/>
          <w:lang w:val="en-US" w:eastAsia="zh-CN"/>
        </w:rPr>
        <w:t>内容</w:t>
      </w:r>
    </w:p>
    <w:p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本项目</w:t>
      </w:r>
      <w:r>
        <w:rPr>
          <w:rFonts w:ascii="Arial" w:hAnsi="Arial" w:eastAsia="等线" w:cs="Arial"/>
          <w:sz w:val="22"/>
        </w:rPr>
        <w:t>覆盖翠湖公园萌宠乐园</w:t>
      </w:r>
      <w:r>
        <w:rPr>
          <w:rFonts w:ascii="Arial" w:hAnsi="Arial" w:eastAsia="等线" w:cs="Arial"/>
          <w:b/>
          <w:sz w:val="22"/>
        </w:rPr>
        <w:t>全域硬件打造</w:t>
      </w:r>
      <w:r>
        <w:rPr>
          <w:rFonts w:ascii="Arial" w:hAnsi="Arial" w:eastAsia="等线" w:cs="Arial"/>
          <w:sz w:val="22"/>
        </w:rPr>
        <w:t>及</w:t>
      </w:r>
      <w:r>
        <w:rPr>
          <w:rFonts w:ascii="Arial" w:hAnsi="Arial" w:eastAsia="等线" w:cs="Arial"/>
          <w:b/>
          <w:sz w:val="22"/>
        </w:rPr>
        <w:t>全周期动物饲养运维</w:t>
      </w:r>
      <w:r>
        <w:rPr>
          <w:rFonts w:ascii="Arial" w:hAnsi="Arial" w:eastAsia="等线" w:cs="Arial"/>
          <w:sz w:val="22"/>
        </w:rPr>
        <w:t>两大核心板块，具体范围如下：</w:t>
      </w:r>
    </w:p>
    <w:p>
      <w:pPr>
        <w:spacing w:before="300" w:after="120" w:line="288" w:lineRule="auto"/>
        <w:ind w:left="0"/>
        <w:jc w:val="left"/>
        <w:outlineLvl w:val="2"/>
        <w:rPr>
          <w:rFonts w:hint="default" w:eastAsia="等线"/>
          <w:lang w:val="en-US" w:eastAsia="zh-CN"/>
        </w:rPr>
      </w:pPr>
      <w:bookmarkStart w:id="3" w:name="heading_3"/>
      <w:r>
        <w:rPr>
          <w:rFonts w:ascii="Arial" w:hAnsi="Arial" w:eastAsia="等线" w:cs="Arial"/>
          <w:b/>
          <w:sz w:val="30"/>
        </w:rPr>
        <w:t>（一）</w:t>
      </w:r>
      <w:bookmarkEnd w:id="3"/>
      <w:r>
        <w:rPr>
          <w:rFonts w:hint="eastAsia" w:ascii="Arial" w:hAnsi="Arial" w:eastAsia="等线" w:cs="Arial"/>
          <w:b/>
          <w:sz w:val="30"/>
          <w:lang w:val="en-US" w:eastAsia="zh-CN"/>
        </w:rPr>
        <w:t>区域配套改造服务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涵盖翠湖公园萌宠展示区域全部配套硬件建设、安装、改造及维保费用。包含萌宠专属围挡圈舍搭建、场地硬化、景观绿化、防护设施安装、场地消杀设施配置、破损设施免费维修更换、场地清洁配套硬件等全部工程内容，满足萌宠安全散养、游客安全观赏、园区常态化运营的硬件标准。</w:t>
      </w:r>
      <w:r>
        <w:rPr>
          <w:rFonts w:hint="eastAsia" w:ascii="Arial" w:hAnsi="Arial" w:eastAsia="等线" w:cs="Arial"/>
          <w:sz w:val="22"/>
          <w:lang w:val="en-US" w:eastAsia="zh-CN"/>
        </w:rPr>
        <w:t>以双方最终确认实施方案为准。</w:t>
      </w:r>
    </w:p>
    <w:p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（二）动物饲养及综合运维服务</w:t>
      </w:r>
      <w:bookmarkEnd w:id="4"/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1. 萌宠配置</w:t>
      </w:r>
    </w:p>
    <w:p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1）固定萌宠清单</w:t>
      </w:r>
      <w:r>
        <w:rPr>
          <w:rFonts w:ascii="Arial" w:hAnsi="Arial" w:eastAsia="等线" w:cs="Arial"/>
          <w:sz w:val="22"/>
        </w:rPr>
        <w:t>：包含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水豚（卡皮巴拉）2只、青山羊1只、侏儒羊1只、黑头羊1只、蓝孔雀2只、梅花鹿 </w:t>
      </w:r>
      <w:r>
        <w:rPr>
          <w:rFonts w:ascii="Arial" w:hAnsi="Arial" w:eastAsia="等线" w:cs="Arial"/>
          <w:sz w:val="22"/>
        </w:rPr>
        <w:t>2只、</w:t>
      </w:r>
      <w:r>
        <w:rPr>
          <w:rFonts w:hint="eastAsia" w:ascii="Arial" w:hAnsi="Arial" w:eastAsia="等线" w:cs="Arial"/>
          <w:sz w:val="22"/>
          <w:lang w:val="en-US" w:eastAsia="zh-CN"/>
        </w:rPr>
        <w:t>羊驼2只、德保宠物马1只、黑天鹅1只、松鼠10只</w:t>
      </w:r>
      <w:r>
        <w:rPr>
          <w:rFonts w:ascii="Arial" w:hAnsi="Arial" w:eastAsia="等线" w:cs="Arial"/>
          <w:sz w:val="22"/>
        </w:rPr>
        <w:t>的全程展示饲养服务，保障动物健康无病害、无传染病，符合人畜接触安全标准</w:t>
      </w:r>
      <w:r>
        <w:rPr>
          <w:rFonts w:hint="eastAsia" w:ascii="Arial" w:hAnsi="Arial" w:eastAsia="等线" w:cs="Arial"/>
          <w:sz w:val="22"/>
          <w:lang w:eastAsia="zh-CN"/>
        </w:rPr>
        <w:t>，全程不得缺宠、病宠、残宠对外展示；</w:t>
      </w:r>
    </w:p>
    <w:p>
      <w:pPr>
        <w:spacing w:before="120" w:after="120" w:line="288" w:lineRule="auto"/>
        <w:ind w:left="0"/>
        <w:jc w:val="left"/>
        <w:rPr>
          <w:rFonts w:hint="eastAsia" w:ascii="等线" w:hAnsi="等线" w:eastAsia="等线" w:cs="等线"/>
          <w:sz w:val="22"/>
          <w:szCs w:val="22"/>
          <w:lang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2）</w:t>
      </w:r>
      <w:r>
        <w:rPr>
          <w:rFonts w:hint="eastAsia" w:ascii="等线" w:hAnsi="等线" w:eastAsia="等线" w:cs="等线"/>
          <w:sz w:val="22"/>
          <w:szCs w:val="22"/>
        </w:rPr>
        <w:t>乙方全程负责</w:t>
      </w: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萌宠</w:t>
      </w:r>
      <w:r>
        <w:rPr>
          <w:rFonts w:hint="eastAsia" w:ascii="等线" w:hAnsi="等线" w:eastAsia="等线" w:cs="等线"/>
          <w:sz w:val="22"/>
          <w:szCs w:val="22"/>
        </w:rPr>
        <w:t>保有、替换、合规</w:t>
      </w: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手续</w:t>
      </w:r>
      <w:r>
        <w:rPr>
          <w:rFonts w:hint="eastAsia" w:ascii="等线" w:hAnsi="等线" w:eastAsia="等线" w:cs="等线"/>
          <w:sz w:val="22"/>
          <w:szCs w:val="22"/>
          <w:lang w:eastAsia="zh-CN"/>
        </w:rPr>
        <w:t>，</w:t>
      </w: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进场前提供</w:t>
      </w:r>
      <w:r>
        <w:rPr>
          <w:rFonts w:hint="eastAsia" w:ascii="等线" w:hAnsi="等线" w:eastAsia="等线" w:cs="等线"/>
          <w:sz w:val="22"/>
          <w:szCs w:val="22"/>
        </w:rPr>
        <w:t>第三方合作动物全套资质、检疫、备案 / 许可明细（乙方必须全部提供原件核验，复印件留存甲方）</w:t>
      </w:r>
      <w:r>
        <w:rPr>
          <w:rFonts w:hint="eastAsia" w:ascii="等线" w:hAnsi="等线" w:eastAsia="等线" w:cs="等线"/>
          <w:sz w:val="22"/>
          <w:szCs w:val="22"/>
          <w:lang w:eastAsia="zh-CN"/>
        </w:rPr>
        <w:t>；</w:t>
      </w:r>
    </w:p>
    <w:p>
      <w:pPr>
        <w:spacing w:before="120" w:after="120" w:line="288" w:lineRule="auto"/>
        <w:ind w:left="0"/>
        <w:jc w:val="left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3）进场前置检疫（动物进场前 3 天完成申报）</w:t>
      </w:r>
    </w:p>
    <w:p>
      <w:pPr>
        <w:spacing w:before="120" w:after="120" w:line="288" w:lineRule="auto"/>
        <w:ind w:left="0"/>
        <w:jc w:val="left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乙方需提前向属地动物卫生监督机构申报检疫，提交《检疫申报单》、养殖场免疫档案、疫病检测报告，出具《动物检疫合格证明》，无检疫证明动物禁止进场；</w:t>
      </w:r>
    </w:p>
    <w:p>
      <w:pPr>
        <w:spacing w:before="120" w:after="120" w:line="288" w:lineRule="auto"/>
        <w:ind w:left="0"/>
        <w:jc w:val="left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4）常态化检疫检测</w:t>
      </w:r>
    </w:p>
    <w:p>
      <w:pPr>
        <w:spacing w:before="120" w:after="120" w:line="288" w:lineRule="auto"/>
        <w:ind w:left="0"/>
        <w:jc w:val="left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每月开展群体临床健康检疫，留存检疫记录，全部合格方可继续运营；动物跨区域调运、新增补宠、伤病更换均需重新申报检疫，新检疫证明提交甲方存档。乙方建立《动物免疫台账》《消毒台账》《疫病检测台账》《进出动物登记台账》，台账每日更新，甲方可随时抽查。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2. 人员服务：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1）</w:t>
      </w:r>
      <w:r>
        <w:rPr>
          <w:rFonts w:ascii="Arial" w:hAnsi="Arial" w:eastAsia="等线" w:cs="Arial"/>
          <w:sz w:val="22"/>
        </w:rPr>
        <w:t>配置</w:t>
      </w:r>
      <w:r>
        <w:rPr>
          <w:rFonts w:hint="eastAsia" w:ascii="Arial" w:hAnsi="Arial" w:eastAsia="等线" w:cs="Arial"/>
          <w:sz w:val="22"/>
          <w:lang w:val="en-US" w:eastAsia="zh-CN"/>
        </w:rPr>
        <w:t>1-2名</w:t>
      </w:r>
      <w:r>
        <w:rPr>
          <w:rFonts w:ascii="Arial" w:hAnsi="Arial" w:eastAsia="等线" w:cs="Arial"/>
          <w:sz w:val="22"/>
        </w:rPr>
        <w:t>专属专业饲养员全程驻场值守，负责动物日常喂食、管护、场地清理、常态消杀等工作，根据现场需求无偿增补运维人员，杜绝动物出圈、人身及财产安全事故。</w:t>
      </w:r>
      <w:r>
        <w:rPr>
          <w:rFonts w:hint="eastAsia" w:ascii="等线" w:hAnsi="等线" w:eastAsia="等线" w:cs="等线"/>
          <w:sz w:val="22"/>
          <w:szCs w:val="22"/>
        </w:rPr>
        <w:t>饲养员脱岗、无证上岗、未按规范管护，单次扣罚乙方</w:t>
      </w: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违约金</w:t>
      </w:r>
      <w:r>
        <w:rPr>
          <w:rFonts w:hint="eastAsia" w:ascii="等线" w:hAnsi="等线" w:eastAsia="等线" w:cs="等线"/>
          <w:sz w:val="22"/>
          <w:szCs w:val="22"/>
        </w:rPr>
        <w:t xml:space="preserve"> 500 元；造成动物逃逸、游客受伤的，乙方承担全部赔偿及行政处罚</w:t>
      </w:r>
      <w:r>
        <w:rPr>
          <w:rFonts w:hint="eastAsia" w:ascii="等线" w:hAnsi="等线" w:eastAsia="等线" w:cs="等线"/>
          <w:sz w:val="22"/>
          <w:szCs w:val="22"/>
          <w:lang w:eastAsia="zh-CN"/>
        </w:rPr>
        <w:t>；</w:t>
      </w:r>
    </w:p>
    <w:p>
      <w:pPr>
        <w:spacing w:before="120" w:after="120" w:line="288" w:lineRule="auto"/>
        <w:ind w:left="0"/>
        <w:jc w:val="left"/>
        <w:rPr>
          <w:rFonts w:hint="eastAsia" w:ascii="等线" w:hAnsi="等线" w:eastAsia="等线" w:cs="等线"/>
          <w:sz w:val="22"/>
          <w:szCs w:val="22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2）</w:t>
      </w:r>
      <w:r>
        <w:rPr>
          <w:rFonts w:hint="eastAsia" w:ascii="等线" w:hAnsi="等线" w:eastAsia="等线" w:cs="等线"/>
          <w:sz w:val="22"/>
          <w:szCs w:val="22"/>
        </w:rPr>
        <w:t>饲养员</w:t>
      </w: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负责</w:t>
      </w:r>
      <w:r>
        <w:rPr>
          <w:rFonts w:hint="eastAsia" w:ascii="等线" w:hAnsi="等线" w:eastAsia="等线" w:cs="等线"/>
          <w:sz w:val="22"/>
          <w:szCs w:val="22"/>
        </w:rPr>
        <w:t>每日定点喂食、饮水、清理粪便、圈舍冲洗；每 2 小时全域巡查围挡、防护网、逃生通道，杜绝动物出圈； 每日两次全场地消杀（动物圈舍、游客互动区、通道），留存消杀记录；实时观察动物精神、采食、粪便状态，出现伤病第一时间隔离、送医并同步甲方；对亲子互动游客做安全告知、行为引导，禁止投喂自带食物、追逐惊吓动物；完整填写每日饲养、防疫、安全巡检台账，每日下班前提交甲方运营岗备查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物资保障：包含全部萌宠专用饲料、养护耗材、防疫物资等全部采购及使用费用。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4. 保险及风险保障：包含园区公众责任险购买费用，甲方为共同被保险人（受益占比50%），覆盖运营期间人畜安全、财产损失等风险。</w:t>
      </w:r>
    </w:p>
    <w:p>
      <w:pPr>
        <w:spacing w:before="120" w:after="120" w:line="288" w:lineRule="auto"/>
        <w:ind w:left="0"/>
        <w:jc w:val="left"/>
        <w:rPr>
          <w:rFonts w:hint="default" w:ascii="等线" w:hAnsi="等线" w:eastAsia="等线" w:cs="等线"/>
          <w:sz w:val="22"/>
          <w:szCs w:val="22"/>
          <w:lang w:val="en-US" w:eastAsia="zh-CN"/>
        </w:rPr>
      </w:pP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>1）公众责任险</w:t>
      </w:r>
    </w:p>
    <w:p>
      <w:pPr>
        <w:spacing w:before="120" w:after="120" w:line="288" w:lineRule="auto"/>
        <w:ind w:left="0"/>
        <w:jc w:val="left"/>
        <w:rPr>
          <w:rFonts w:hint="default" w:ascii="等线" w:hAnsi="等线" w:eastAsia="等线" w:cs="等线"/>
          <w:sz w:val="22"/>
          <w:szCs w:val="22"/>
          <w:lang w:val="en-US" w:eastAsia="zh-CN"/>
        </w:rPr>
      </w:pP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 xml:space="preserve">累计赔偿限额：不低于 </w:t>
      </w: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2</w:t>
      </w: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 xml:space="preserve">00 万元；单次事故赔偿限额 </w:t>
      </w: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1</w:t>
      </w: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>00 万元；</w:t>
      </w:r>
    </w:p>
    <w:p>
      <w:pPr>
        <w:spacing w:before="120" w:after="120" w:line="288" w:lineRule="auto"/>
        <w:ind w:left="0"/>
        <w:jc w:val="left"/>
        <w:rPr>
          <w:rFonts w:hint="default" w:ascii="等线" w:hAnsi="等线" w:eastAsia="等线" w:cs="等线"/>
          <w:sz w:val="22"/>
          <w:szCs w:val="22"/>
          <w:lang w:val="en-US" w:eastAsia="zh-CN"/>
        </w:rPr>
      </w:pP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>每人每次人身伤亡赔偿限额：不低于 100 万元；每人医疗限额 20 万元；</w:t>
      </w:r>
    </w:p>
    <w:p>
      <w:pPr>
        <w:spacing w:before="120" w:after="120" w:line="288" w:lineRule="auto"/>
        <w:ind w:left="0"/>
        <w:jc w:val="left"/>
        <w:rPr>
          <w:rFonts w:hint="default" w:ascii="等线" w:hAnsi="等线" w:eastAsia="等线" w:cs="等线"/>
          <w:sz w:val="22"/>
          <w:szCs w:val="22"/>
          <w:lang w:val="en-US" w:eastAsia="zh-CN"/>
        </w:rPr>
      </w:pP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>必须附加：动物伤人责任、第三方财产损失、法律诉讼费用、应急救援费用；</w:t>
      </w:r>
    </w:p>
    <w:p>
      <w:pPr>
        <w:spacing w:before="120" w:after="120" w:line="288" w:lineRule="auto"/>
        <w:ind w:left="0"/>
        <w:jc w:val="left"/>
        <w:rPr>
          <w:rFonts w:hint="default" w:ascii="等线" w:hAnsi="等线" w:eastAsia="等线" w:cs="等线"/>
          <w:sz w:val="22"/>
          <w:szCs w:val="22"/>
          <w:lang w:val="en-US" w:eastAsia="zh-CN"/>
        </w:rPr>
      </w:pP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>投保主体：乙方，甲方（珠海正方盛泰投资有限公司）列为共同第一被保险人，受益占比 50%，所有理赔款甲乙双方按 5:5 分配；</w:t>
      </w:r>
    </w:p>
    <w:p>
      <w:pPr>
        <w:spacing w:before="120" w:after="120" w:line="288" w:lineRule="auto"/>
        <w:ind w:left="0"/>
        <w:jc w:val="left"/>
        <w:rPr>
          <w:rFonts w:hint="default" w:ascii="等线" w:hAnsi="等线" w:eastAsia="等线" w:cs="等线"/>
          <w:sz w:val="22"/>
          <w:szCs w:val="22"/>
          <w:lang w:val="en-US" w:eastAsia="zh-CN"/>
        </w:rPr>
      </w:pP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>保险期限覆盖完整服务周期，到期前 30 天完成续保，断保一日扣除违约金 2000 元。</w:t>
      </w:r>
    </w:p>
    <w:p>
      <w:pPr>
        <w:spacing w:before="120" w:after="120" w:line="288" w:lineRule="auto"/>
        <w:ind w:left="0"/>
        <w:jc w:val="left"/>
        <w:rPr>
          <w:rFonts w:hint="default" w:ascii="等线" w:hAnsi="等线" w:eastAsia="等线" w:cs="等线"/>
          <w:sz w:val="22"/>
          <w:szCs w:val="22"/>
          <w:lang w:val="en-US" w:eastAsia="zh-CN"/>
        </w:rPr>
      </w:pP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>2）雇员责任险（饲养员）</w:t>
      </w:r>
    </w:p>
    <w:p>
      <w:pPr>
        <w:spacing w:before="120" w:after="120" w:line="288" w:lineRule="auto"/>
        <w:ind w:left="0"/>
        <w:jc w:val="left"/>
        <w:rPr>
          <w:rFonts w:hint="default" w:ascii="等线" w:hAnsi="等线" w:eastAsia="等线" w:cs="等线"/>
          <w:sz w:val="22"/>
          <w:szCs w:val="22"/>
          <w:lang w:val="en-US" w:eastAsia="zh-CN"/>
        </w:rPr>
      </w:pP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>保额单人不低于 80 万，覆盖饲养员动物抓伤、疫病感染、工伤意外。</w:t>
      </w:r>
    </w:p>
    <w:p>
      <w:pPr>
        <w:spacing w:before="120" w:after="120" w:line="288" w:lineRule="auto"/>
        <w:ind w:left="0"/>
        <w:jc w:val="left"/>
        <w:rPr>
          <w:rFonts w:hint="default" w:ascii="等线" w:hAnsi="等线" w:eastAsia="等线" w:cs="等线"/>
          <w:sz w:val="22"/>
          <w:szCs w:val="22"/>
          <w:lang w:val="en-US" w:eastAsia="zh-CN"/>
        </w:rPr>
      </w:pP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>3）动物死亡损失险</w:t>
      </w:r>
    </w:p>
    <w:p>
      <w:pPr>
        <w:spacing w:before="120" w:after="120" w:line="288" w:lineRule="auto"/>
        <w:ind w:left="0"/>
        <w:jc w:val="left"/>
        <w:rPr>
          <w:rFonts w:hint="default" w:ascii="等线" w:hAnsi="等线" w:eastAsia="等线" w:cs="等线"/>
          <w:sz w:val="22"/>
          <w:szCs w:val="22"/>
          <w:lang w:val="en-US" w:eastAsia="zh-CN"/>
        </w:rPr>
      </w:pP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>覆盖全部萌宠因病、意外、灾害死亡置换成本，保额匹配全部动物采购总价。</w:t>
      </w:r>
    </w:p>
    <w:p>
      <w:pPr>
        <w:spacing w:before="120" w:after="120" w:line="288" w:lineRule="auto"/>
        <w:ind w:left="0"/>
        <w:jc w:val="left"/>
        <w:rPr>
          <w:rFonts w:hint="default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4</w:t>
      </w: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>）保单要求</w:t>
      </w:r>
    </w:p>
    <w:p>
      <w:pPr>
        <w:spacing w:before="120" w:after="120" w:line="288" w:lineRule="auto"/>
        <w:ind w:left="0"/>
        <w:jc w:val="left"/>
        <w:rPr>
          <w:rFonts w:hint="default" w:ascii="等线" w:hAnsi="等线" w:eastAsia="等线" w:cs="等线"/>
          <w:sz w:val="22"/>
          <w:szCs w:val="22"/>
          <w:lang w:val="en-US" w:eastAsia="zh-CN"/>
        </w:rPr>
      </w:pP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>乙方提供正规保险公司保单正本、保费缴费凭证，保单中明确本项目场地地址、萌宠展示经营范围；保险免责条款不得排除动物伤人、人畜共患病相关责任。</w:t>
      </w:r>
    </w:p>
    <w:p>
      <w:pPr>
        <w:spacing w:before="120" w:after="120" w:line="288" w:lineRule="auto"/>
        <w:ind w:left="0"/>
        <w:jc w:val="left"/>
        <w:rPr>
          <w:rFonts w:hint="default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5</w:t>
      </w: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>）出险处置</w:t>
      </w:r>
    </w:p>
    <w:p>
      <w:pPr>
        <w:spacing w:before="120" w:after="120" w:line="288" w:lineRule="auto"/>
        <w:ind w:left="0"/>
        <w:jc w:val="left"/>
        <w:rPr>
          <w:rFonts w:hint="default" w:ascii="等线" w:hAnsi="等线" w:eastAsia="等线" w:cs="等线"/>
          <w:sz w:val="22"/>
          <w:szCs w:val="22"/>
          <w:lang w:val="en-US" w:eastAsia="zh-CN"/>
        </w:rPr>
      </w:pPr>
      <w:r>
        <w:rPr>
          <w:rFonts w:hint="default" w:ascii="等线" w:hAnsi="等线" w:eastAsia="等线" w:cs="等线"/>
          <w:sz w:val="22"/>
          <w:szCs w:val="22"/>
          <w:lang w:val="en-US" w:eastAsia="zh-CN"/>
        </w:rPr>
        <w:t>发生游客受伤、动物逃逸、疫病事故，乙方第一时间报险并同步甲方，全程配合理赔；保险赔付不足部分，全部由乙方自行承担。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5</w:t>
      </w:r>
      <w:r>
        <w:rPr>
          <w:rFonts w:ascii="Arial" w:hAnsi="Arial" w:eastAsia="等线" w:cs="Arial"/>
          <w:sz w:val="22"/>
        </w:rPr>
        <w:t>. 应急运维：包含动物伤病、意外更换、场地设施应急维修、常态化养护等全部应急服务成本。</w:t>
      </w:r>
    </w:p>
    <w:p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hint="eastAsia" w:ascii="Arial" w:hAnsi="Arial" w:eastAsia="等线" w:cs="Arial"/>
          <w:b/>
          <w:sz w:val="32"/>
          <w:lang w:val="en-US" w:eastAsia="zh-CN"/>
        </w:rPr>
        <w:t>三</w:t>
      </w:r>
      <w:r>
        <w:rPr>
          <w:rFonts w:ascii="Arial" w:hAnsi="Arial" w:eastAsia="等线" w:cs="Arial"/>
          <w:b/>
          <w:sz w:val="32"/>
        </w:rPr>
        <w:t>、</w:t>
      </w:r>
      <w:r>
        <w:rPr>
          <w:rFonts w:hint="eastAsia" w:ascii="Arial" w:hAnsi="Arial" w:eastAsia="等线" w:cs="Arial"/>
          <w:b/>
          <w:sz w:val="32"/>
          <w:lang w:val="en-US" w:eastAsia="zh-CN"/>
        </w:rPr>
        <w:t>报价</w:t>
      </w:r>
      <w:r>
        <w:rPr>
          <w:rFonts w:ascii="Arial" w:hAnsi="Arial" w:eastAsia="等线" w:cs="Arial"/>
          <w:b/>
          <w:sz w:val="32"/>
        </w:rPr>
        <w:t>要求</w:t>
      </w:r>
      <w:bookmarkEnd w:id="5"/>
    </w:p>
    <w:p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报价需</w:t>
      </w:r>
      <w:r>
        <w:rPr>
          <w:rFonts w:ascii="Arial" w:hAnsi="Arial" w:eastAsia="等线" w:cs="Arial"/>
          <w:sz w:val="22"/>
        </w:rPr>
        <w:t>覆盖</w:t>
      </w:r>
      <w:r>
        <w:rPr>
          <w:rFonts w:hint="eastAsia" w:ascii="Arial" w:hAnsi="Arial" w:eastAsia="等线" w:cs="Arial"/>
          <w:sz w:val="22"/>
          <w:lang w:val="en-US" w:eastAsia="zh-CN"/>
        </w:rPr>
        <w:t>项目展示区域改造</w:t>
      </w:r>
      <w:r>
        <w:rPr>
          <w:rFonts w:ascii="Arial" w:hAnsi="Arial" w:eastAsia="等线" w:cs="Arial"/>
          <w:sz w:val="22"/>
        </w:rPr>
        <w:t>、设备耗材、人员运维</w:t>
      </w:r>
      <w:r>
        <w:rPr>
          <w:rFonts w:hint="eastAsia" w:ascii="Arial" w:hAnsi="Arial" w:eastAsia="等线" w:cs="Arial"/>
          <w:sz w:val="22"/>
          <w:lang w:eastAsia="zh-CN"/>
        </w:rPr>
        <w:t>（</w:t>
      </w:r>
      <w:r>
        <w:rPr>
          <w:rFonts w:hint="eastAsia" w:ascii="Arial" w:hAnsi="Arial" w:eastAsia="等线" w:cs="Arial"/>
          <w:sz w:val="22"/>
          <w:lang w:val="en-US" w:eastAsia="zh-CN"/>
        </w:rPr>
        <w:t>不仅限于</w:t>
      </w:r>
      <w:r>
        <w:rPr>
          <w:rFonts w:ascii="Arial" w:hAnsi="Arial" w:eastAsia="等线" w:cs="Arial"/>
          <w:sz w:val="22"/>
        </w:rPr>
        <w:t>饲养员工资、住宿、保险等全部人员配套成本</w:t>
      </w:r>
      <w:r>
        <w:rPr>
          <w:rFonts w:hint="eastAsia" w:ascii="Arial" w:hAnsi="Arial" w:eastAsia="等线" w:cs="Arial"/>
          <w:sz w:val="22"/>
          <w:lang w:eastAsia="zh-CN"/>
        </w:rPr>
        <w:t>）</w:t>
      </w:r>
      <w:r>
        <w:rPr>
          <w:rFonts w:ascii="Arial" w:hAnsi="Arial" w:eastAsia="等线" w:cs="Arial"/>
          <w:sz w:val="22"/>
        </w:rPr>
        <w:t>、保险保障、应急维保、日常管护等所有环节，无遗漏、无缺项，完整匹配园区运营需求。</w:t>
      </w:r>
    </w:p>
    <w:p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hint="eastAsia" w:ascii="Arial" w:hAnsi="Arial" w:eastAsia="等线" w:cs="Arial"/>
          <w:b/>
          <w:sz w:val="32"/>
          <w:lang w:val="en-US" w:eastAsia="zh-CN"/>
        </w:rPr>
        <w:t>四</w:t>
      </w:r>
      <w:r>
        <w:rPr>
          <w:rFonts w:ascii="Arial" w:hAnsi="Arial" w:eastAsia="等线" w:cs="Arial"/>
          <w:b/>
          <w:sz w:val="32"/>
        </w:rPr>
        <w:t>、</w:t>
      </w:r>
      <w:r>
        <w:rPr>
          <w:rFonts w:hint="eastAsia" w:ascii="Arial" w:hAnsi="Arial" w:eastAsia="等线" w:cs="Arial"/>
          <w:b/>
          <w:sz w:val="32"/>
          <w:lang w:val="en-US" w:eastAsia="zh-CN"/>
        </w:rPr>
        <w:t>服务</w:t>
      </w:r>
      <w:r>
        <w:rPr>
          <w:rFonts w:ascii="Arial" w:hAnsi="Arial" w:eastAsia="等线" w:cs="Arial"/>
          <w:b/>
          <w:sz w:val="32"/>
        </w:rPr>
        <w:t>要求</w:t>
      </w:r>
      <w:bookmarkEnd w:id="6"/>
    </w:p>
    <w:p>
      <w:pPr>
        <w:spacing w:before="120" w:after="120" w:line="288" w:lineRule="auto"/>
        <w:ind w:left="0"/>
        <w:jc w:val="left"/>
        <w:rPr>
          <w:rFonts w:ascii="等线" w:hAnsi="等线" w:eastAsia="等线" w:cs="等线"/>
          <w:i w:val="0"/>
          <w:iCs w:val="0"/>
          <w:caps w:val="0"/>
          <w:spacing w:val="0"/>
          <w:sz w:val="22"/>
          <w:szCs w:val="22"/>
          <w:shd w:val="clear"/>
          <w:lang w:val="en-US" w:eastAsia="zh-CN"/>
        </w:rPr>
      </w:pPr>
      <w:r>
        <w:rPr>
          <w:rFonts w:ascii="等线" w:hAnsi="等线" w:eastAsia="等线" w:cs="等线"/>
          <w:sz w:val="22"/>
          <w:lang w:val="en-US" w:eastAsia="zh-CN"/>
        </w:rPr>
        <w:t xml:space="preserve">1. </w:t>
      </w:r>
      <w:r>
        <w:rPr>
          <w:rFonts w:ascii="等线" w:hAnsi="等线" w:eastAsia="等线" w:cs="等线"/>
          <w:i w:val="0"/>
          <w:iCs w:val="0"/>
          <w:caps w:val="0"/>
          <w:color w:val="auto"/>
          <w:spacing w:val="0"/>
          <w:sz w:val="22"/>
          <w:szCs w:val="22"/>
          <w:shd w:val="clear" w:fill="auto"/>
          <w:lang w:val="en-US" w:eastAsia="zh-CN"/>
        </w:rPr>
        <w:t>执行 1 小时服务响应机制，自甲方发出服务诉求、工作通知之时起算，乙方</w:t>
      </w:r>
      <w:r>
        <w:rPr>
          <w:rFonts w:hint="eastAsia" w:ascii="等线" w:hAnsi="等线" w:eastAsia="等线" w:cs="等线"/>
          <w:i w:val="0"/>
          <w:iCs w:val="0"/>
          <w:caps w:val="0"/>
          <w:spacing w:val="0"/>
          <w:sz w:val="22"/>
          <w:szCs w:val="22"/>
          <w:shd w:val="clear"/>
          <w:lang w:val="en-US" w:eastAsia="zh-CN"/>
        </w:rPr>
        <w:t>应</w:t>
      </w:r>
      <w:r>
        <w:rPr>
          <w:rFonts w:ascii="等线" w:hAnsi="等线" w:eastAsia="等线" w:cs="等线"/>
          <w:i w:val="0"/>
          <w:iCs w:val="0"/>
          <w:caps w:val="0"/>
          <w:color w:val="auto"/>
          <w:spacing w:val="0"/>
          <w:sz w:val="22"/>
          <w:szCs w:val="22"/>
          <w:shd w:val="clear" w:fill="auto"/>
          <w:lang w:val="en-US" w:eastAsia="zh-CN"/>
        </w:rPr>
        <w:t>在 1 小时内完成对接响应。如乙方单次响应时长超过 1 小时的，乙方应向甲方支付履约违约金人民币 100元 / 次。</w:t>
      </w:r>
    </w:p>
    <w:p>
      <w:pPr>
        <w:spacing w:before="120" w:after="120" w:line="288" w:lineRule="auto"/>
        <w:ind w:left="0"/>
        <w:jc w:val="left"/>
        <w:rPr>
          <w:rFonts w:ascii="等线" w:hAnsi="等线" w:eastAsia="等线" w:cs="等线"/>
          <w:sz w:val="22"/>
          <w:lang w:val="en-US" w:eastAsia="zh-CN"/>
        </w:rPr>
      </w:pPr>
      <w:r>
        <w:rPr>
          <w:rFonts w:hint="eastAsia" w:ascii="等线" w:hAnsi="等线" w:eastAsia="等线" w:cs="等线"/>
          <w:i w:val="0"/>
          <w:iCs w:val="0"/>
          <w:caps w:val="0"/>
          <w:spacing w:val="0"/>
          <w:sz w:val="22"/>
          <w:szCs w:val="22"/>
          <w:shd w:val="clear"/>
          <w:lang w:val="en-US" w:eastAsia="zh-CN"/>
        </w:rPr>
        <w:t>2.服务期限：自采购人通知之日</w:t>
      </w:r>
      <w:r>
        <w:rPr>
          <w:rFonts w:hint="eastAsia" w:ascii="等线" w:hAnsi="等线" w:eastAsia="等线" w:cs="等线"/>
          <w:i w:val="0"/>
          <w:iCs w:val="0"/>
          <w:caps w:val="0"/>
          <w:spacing w:val="0"/>
          <w:sz w:val="22"/>
          <w:szCs w:val="22"/>
          <w:highlight w:val="none"/>
          <w:shd w:val="clear"/>
          <w:lang w:val="en-US" w:eastAsia="zh-CN"/>
        </w:rPr>
        <w:t>起3个月（含现场改造</w:t>
      </w:r>
      <w:bookmarkStart w:id="7" w:name="_GoBack"/>
      <w:bookmarkEnd w:id="7"/>
      <w:r>
        <w:rPr>
          <w:rFonts w:hint="eastAsia" w:ascii="等线" w:hAnsi="等线" w:eastAsia="等线" w:cs="等线"/>
          <w:i w:val="0"/>
          <w:iCs w:val="0"/>
          <w:caps w:val="0"/>
          <w:spacing w:val="0"/>
          <w:sz w:val="22"/>
          <w:szCs w:val="22"/>
          <w:highlight w:val="none"/>
          <w:shd w:val="clear"/>
          <w:lang w:val="en-US" w:eastAsia="zh-CN"/>
        </w:rPr>
        <w:t>），动物</w:t>
      </w:r>
      <w:r>
        <w:rPr>
          <w:rFonts w:hint="eastAsia" w:ascii="等线" w:hAnsi="等线" w:eastAsia="等线" w:cs="等线"/>
          <w:i w:val="0"/>
          <w:iCs w:val="0"/>
          <w:caps w:val="0"/>
          <w:color w:val="0000FF"/>
          <w:spacing w:val="0"/>
          <w:sz w:val="22"/>
          <w:szCs w:val="22"/>
          <w:highlight w:val="none"/>
          <w:shd w:val="clear"/>
          <w:lang w:val="en-US" w:eastAsia="zh-CN"/>
        </w:rPr>
        <w:t>现场展出时间10:00-20:00</w:t>
      </w:r>
    </w:p>
    <w:p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splitPgBreakAndParaMark/>
    <w:compatSetting w:name="compatibilityMode" w:uri="http://schemas.microsoft.com/office/word" w:val="12"/>
  </w:compat>
  <w:rsids>
    <w:rsidRoot w:val="00000000"/>
    <w:rsid w:val="0C7E0588"/>
    <w:rsid w:val="2A672FCF"/>
    <w:rsid w:val="333B2375"/>
    <w:rsid w:val="7E857D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1129</Words>
  <Characters>1150</Characters>
  <TotalTime>7</TotalTime>
  <ScaleCrop>false</ScaleCrop>
  <LinksUpToDate>false</LinksUpToDate>
  <CharactersWithSpaces>1173</CharactersWithSpaces>
  <Application>WPS Office_11.8.2.8276_F1E327BC-269C-435d-A152-05C5408002CA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2026-07-13T10:00:00Z</dcterms:created>
  <dc:creator>Apache POI</dc:creator>
  <cp:lastModifiedBy>琦丽</cp:lastModifiedBy>
  <dcterms:modified xsi:type="dcterms:W3CDTF">2026-07-29T09:07:38Z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{"Label":"1","ContentProducer":"001191110102MACQD9K64010000","ProduceID":"7661950255791361209","ReservedCode1":"","ContentPropagator":"","PropagateID":"","ReservedCode2":""}</vt:lpwstr>
  </property>
  <property fmtid="{D5CDD505-2E9C-101B-9397-08002B2CF9AE}" pid="3" name="KSOTemplateDocerSaveRecord">
    <vt:lpwstr>eyJoZGlkIjoiZmFmMjU2NzMwMDhlNzI5NGYzNzllYWFkMjg3NjM1NDIiLCJ1c2VySWQiOiIzMTIxMjIzMjgifQ==</vt:lpwstr>
  </property>
  <property fmtid="{D5CDD505-2E9C-101B-9397-08002B2CF9AE}" pid="4" name="KSOProductBuildVer">
    <vt:lpwstr>2052-11.8.2.8276</vt:lpwstr>
  </property>
  <property fmtid="{D5CDD505-2E9C-101B-9397-08002B2CF9AE}" pid="5" name="ICV">
    <vt:lpwstr>DA8BA5D5A3374CF195EB1489AB9E917C_12</vt:lpwstr>
  </property>
</Properties>
</file>