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城市阳台、城市客厅项目背景音乐服务采购（第二次）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（珠海正方盛泰投资有限公司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8月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珠海正方盛泰投资有限公司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为提升项目经营品质，增加顾客体验感，现申请城市阳台、城市客厅项目背景音乐服务采购。背景音乐要求正版授权，含春节、国庆等节日经典曲目，需实现远程操作功能，能随时更替歌曲、音频及根据项目实际营业时间进行曲目铺排及调整；</w:t>
      </w:r>
      <w:r>
        <w:rPr>
          <w:rFonts w:hint="eastAsia"/>
          <w:color w:val="auto"/>
          <w:sz w:val="24"/>
        </w:rPr>
        <w:t>服务范围覆盖城市阳台项目东区、北区、南区、水秀广场，城市客厅负一层至七层全部公共经营区域、通道、休闲景观区及配套公共区域。</w:t>
      </w:r>
      <w:r>
        <w:rPr>
          <w:rFonts w:hint="eastAsia" w:cs="Times New Roman"/>
          <w:b w:val="0"/>
          <w:bCs w:val="0"/>
          <w:color w:val="auto"/>
          <w:sz w:val="24"/>
          <w:lang w:val="en-US" w:eastAsia="zh-CN"/>
        </w:rPr>
        <w:t>其中城市阳台项目预算费用为9600元/年，城市客厅项目预算费用为9600元/年。</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壹万玖仟贰佰元整</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19200.00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壹万玖仟贰佰元整</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19200.00</w:t>
      </w:r>
      <w:r>
        <w:rPr>
          <w:rFonts w:hint="default" w:ascii="Times New Roman" w:hAnsi="Times New Roman" w:eastAsia="宋体" w:cs="Times New Roman"/>
          <w:color w:val="auto"/>
          <w:sz w:val="24"/>
          <w:u w:val="none"/>
        </w:rPr>
        <w:t>元）</w:t>
      </w:r>
      <w:r>
        <w:rPr>
          <w:rFonts w:hint="eastAsia" w:cs="Times New Roman"/>
          <w:color w:val="auto"/>
          <w:sz w:val="24"/>
          <w:szCs w:val="24"/>
          <w:lang w:val="en-US" w:eastAsia="zh-CN"/>
        </w:rPr>
        <w:t>，</w:t>
      </w:r>
      <w:r>
        <w:rPr>
          <w:rFonts w:hint="eastAsia" w:cs="Times New Roman"/>
          <w:b w:val="0"/>
          <w:bCs w:val="0"/>
          <w:color w:val="auto"/>
          <w:sz w:val="24"/>
          <w:lang w:val="en-US" w:eastAsia="zh-CN"/>
        </w:rPr>
        <w:t>其中城市阳台项目预算费用为9600元/年，城市客厅项目预算费用为9600元/年，</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城市阳台、城市客厅项目背景音乐服务采购（第二次）</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2、资质要求：提供背景音乐授权书文件/版权文件，并提供音乐清单列表；</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3、业绩要求：自公告发布之日起3年内至少有1个背景音乐服务项目业绩；</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6、与其他投标人不存在单位负责人为同一人或者存在控股、管理关系；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val="0"/>
          <w:bCs w:val="0"/>
          <w:color w:val="auto"/>
          <w:sz w:val="24"/>
        </w:rPr>
        <w:t>7、本项目不接受联合体投标；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7"/>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7"/>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1.4</w:t>
      </w:r>
      <w:r>
        <w:rPr>
          <w:rFonts w:hint="eastAsia" w:ascii="宋体" w:hAnsi="宋体"/>
          <w:sz w:val="24"/>
          <w:lang w:val="en-US" w:eastAsia="zh-CN"/>
        </w:rPr>
        <w:t xml:space="preserve"> </w:t>
      </w:r>
      <w:r>
        <w:rPr>
          <w:rFonts w:hint="eastAsia" w:ascii="宋体" w:hAnsi="宋体"/>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sz w:val="24"/>
          <w:lang w:val="en-US" w:eastAsia="zh-CN"/>
        </w:rPr>
      </w:pPr>
      <w:r>
        <w:rPr>
          <w:rFonts w:hint="eastAsia" w:ascii="宋体" w:hAnsi="宋体"/>
          <w:sz w:val="24"/>
          <w:lang w:val="en-US" w:eastAsia="zh-CN"/>
        </w:rPr>
        <w:t>1.5 版权合规承诺书</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8月7日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城市阳台、城市客厅项目背景音乐服务采购（第二次）</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20"/>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珠海正方盛泰投资有限公司</w:t>
      </w:r>
      <w:r>
        <w:rPr>
          <w:rFonts w:hint="eastAsia" w:ascii="宋体" w:hAnsi="宋体" w:eastAsia="宋体" w:cs="宋体"/>
          <w:color w:val="auto"/>
          <w:sz w:val="24"/>
          <w:szCs w:val="24"/>
        </w:rPr>
        <w:t xml:space="preserve">         </w:t>
      </w:r>
    </w:p>
    <w:p>
      <w:pPr>
        <w:pStyle w:val="20"/>
        <w:spacing w:line="360" w:lineRule="auto"/>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8月</w:t>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27664"/>
      <w:bookmarkStart w:id="4" w:name="_Toc15547"/>
      <w:r>
        <w:rPr>
          <w:rFonts w:hint="eastAsia" w:ascii="宋体" w:hAnsi="宋体"/>
          <w:lang w:val="en-US" w:eastAsia="zh-CN"/>
        </w:rPr>
        <w:t>任务书</w:t>
      </w:r>
    </w:p>
    <w:p>
      <w:pPr>
        <w:pStyle w:val="4"/>
        <w:rPr>
          <w:rFonts w:hint="eastAsia" w:ascii="仿宋" w:hAnsi="仿宋" w:eastAsia="仿宋" w:cs="仿宋"/>
          <w:sz w:val="52"/>
          <w:szCs w:val="52"/>
          <w:lang w:val="en-US" w:eastAsia="zh-CN"/>
        </w:rPr>
      </w:pPr>
    </w:p>
    <w:p>
      <w:pPr>
        <w:pStyle w:val="4"/>
        <w:jc w:val="center"/>
        <w:rPr>
          <w:rFonts w:hint="eastAsia" w:ascii="仿宋" w:hAnsi="仿宋" w:eastAsia="仿宋" w:cs="仿宋"/>
          <w:color w:val="auto"/>
          <w:sz w:val="52"/>
          <w:szCs w:val="52"/>
        </w:rPr>
      </w:pPr>
      <w:r>
        <w:rPr>
          <w:rFonts w:hint="eastAsia" w:ascii="仿宋" w:hAnsi="仿宋" w:eastAsia="仿宋" w:cs="仿宋"/>
          <w:color w:val="auto"/>
          <w:sz w:val="52"/>
          <w:szCs w:val="52"/>
          <w:lang w:val="en-US" w:eastAsia="zh-CN"/>
        </w:rPr>
        <w:t>城市阳台、城市客厅项目内场背景音乐服务</w:t>
      </w:r>
      <w:r>
        <w:rPr>
          <w:rFonts w:hint="eastAsia" w:ascii="仿宋" w:hAnsi="仿宋" w:eastAsia="仿宋" w:cs="仿宋"/>
          <w:color w:val="auto"/>
          <w:sz w:val="52"/>
          <w:szCs w:val="52"/>
        </w:rPr>
        <w:t>技术任务书</w:t>
      </w: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before="159" w:beforeLines="50" w:after="159" w:afterLines="50"/>
        <w:ind w:left="102"/>
        <w:jc w:val="center"/>
        <w:rPr>
          <w:rFonts w:hint="eastAsia" w:ascii="仿宋" w:hAnsi="仿宋" w:eastAsia="仿宋" w:cs="仿宋"/>
          <w:b/>
          <w:bCs/>
          <w:color w:val="auto"/>
          <w:spacing w:val="2"/>
          <w:sz w:val="30"/>
          <w:szCs w:val="30"/>
        </w:rPr>
      </w:pPr>
      <w:r>
        <w:rPr>
          <w:rFonts w:hint="eastAsia" w:ascii="仿宋" w:hAnsi="仿宋" w:eastAsia="仿宋" w:cs="仿宋"/>
          <w:b/>
          <w:bCs/>
          <w:color w:val="auto"/>
          <w:spacing w:val="2"/>
          <w:sz w:val="30"/>
          <w:szCs w:val="30"/>
        </w:rPr>
        <w:t>珠海正方盛泰投资有限公司</w:t>
      </w:r>
    </w:p>
    <w:p>
      <w:pPr>
        <w:spacing w:before="159" w:beforeLines="50" w:after="159" w:afterLines="50"/>
        <w:ind w:left="102"/>
        <w:jc w:val="center"/>
        <w:rPr>
          <w:rFonts w:hint="eastAsia" w:ascii="仿宋" w:hAnsi="仿宋" w:eastAsia="仿宋" w:cs="仿宋"/>
          <w:b/>
          <w:bCs/>
          <w:color w:val="auto"/>
          <w:spacing w:val="2"/>
          <w:sz w:val="30"/>
          <w:szCs w:val="30"/>
        </w:rPr>
      </w:pPr>
      <w:r>
        <w:rPr>
          <w:rFonts w:hint="eastAsia" w:ascii="仿宋" w:hAnsi="仿宋" w:eastAsia="仿宋" w:cs="仿宋"/>
          <w:b/>
          <w:bCs/>
          <w:color w:val="auto"/>
          <w:spacing w:val="2"/>
          <w:sz w:val="30"/>
          <w:szCs w:val="30"/>
        </w:rPr>
        <w:t xml:space="preserve"> 202</w:t>
      </w:r>
      <w:r>
        <w:rPr>
          <w:rFonts w:hint="eastAsia" w:ascii="仿宋" w:hAnsi="仿宋" w:eastAsia="仿宋" w:cs="仿宋"/>
          <w:b/>
          <w:bCs/>
          <w:color w:val="auto"/>
          <w:spacing w:val="2"/>
          <w:sz w:val="30"/>
          <w:szCs w:val="30"/>
          <w:lang w:val="en-US" w:eastAsia="zh-CN"/>
        </w:rPr>
        <w:t>6</w:t>
      </w:r>
      <w:r>
        <w:rPr>
          <w:rFonts w:hint="eastAsia" w:ascii="仿宋" w:hAnsi="仿宋" w:eastAsia="仿宋" w:cs="仿宋"/>
          <w:b/>
          <w:bCs/>
          <w:color w:val="auto"/>
          <w:spacing w:val="2"/>
          <w:sz w:val="30"/>
          <w:szCs w:val="30"/>
        </w:rPr>
        <w:t>年</w:t>
      </w:r>
      <w:r>
        <w:rPr>
          <w:rFonts w:hint="eastAsia" w:ascii="仿宋" w:hAnsi="仿宋" w:eastAsia="仿宋" w:cs="仿宋"/>
          <w:b/>
          <w:bCs/>
          <w:color w:val="auto"/>
          <w:spacing w:val="2"/>
          <w:sz w:val="30"/>
          <w:szCs w:val="30"/>
          <w:lang w:val="en-US" w:eastAsia="zh-CN"/>
        </w:rPr>
        <w:t>7月</w:t>
      </w:r>
    </w:p>
    <w:p>
      <w:pPr>
        <w:rPr>
          <w:rFonts w:ascii="Arial" w:hAnsi="Arial" w:eastAsia="等线" w:cs="Arial"/>
          <w:b/>
          <w:color w:val="auto"/>
          <w:sz w:val="32"/>
        </w:rPr>
      </w:pPr>
      <w:bookmarkStart w:id="5" w:name="heading_0"/>
      <w:r>
        <w:rPr>
          <w:rFonts w:ascii="Arial" w:hAnsi="Arial" w:eastAsia="等线" w:cs="Arial"/>
          <w:b/>
          <w:color w:val="auto"/>
          <w:sz w:val="32"/>
        </w:rPr>
        <w:br w:type="page"/>
      </w:r>
    </w:p>
    <w:p>
      <w:pPr>
        <w:spacing w:before="320" w:after="120" w:line="288" w:lineRule="auto"/>
        <w:ind w:left="0"/>
        <w:jc w:val="left"/>
        <w:outlineLvl w:val="1"/>
      </w:pPr>
      <w:r>
        <w:rPr>
          <w:rFonts w:ascii="Arial" w:hAnsi="Arial" w:eastAsia="等线" w:cs="Arial"/>
          <w:b/>
          <w:sz w:val="32"/>
        </w:rPr>
        <w:t>一、项目概况</w:t>
      </w:r>
      <w:bookmarkEnd w:id="5"/>
    </w:p>
    <w:p>
      <w:pPr>
        <w:spacing w:before="120" w:after="120" w:line="288" w:lineRule="auto"/>
        <w:ind w:left="0"/>
        <w:jc w:val="left"/>
        <w:rPr>
          <w:color w:val="auto"/>
        </w:rPr>
      </w:pPr>
      <w:r>
        <w:rPr>
          <w:rFonts w:ascii="Arial" w:hAnsi="Arial" w:eastAsia="等线" w:cs="Arial"/>
          <w:color w:val="auto"/>
          <w:sz w:val="22"/>
        </w:rPr>
        <w:t>本次服务为优和汇城市阳台</w:t>
      </w:r>
      <w:r>
        <w:rPr>
          <w:rFonts w:hint="eastAsia" w:ascii="Arial" w:hAnsi="Arial" w:eastAsia="等线" w:cs="Arial"/>
          <w:color w:val="auto"/>
          <w:sz w:val="22"/>
          <w:lang w:eastAsia="zh-CN"/>
        </w:rPr>
        <w:t>、</w:t>
      </w:r>
      <w:r>
        <w:rPr>
          <w:rFonts w:hint="eastAsia" w:ascii="Arial" w:hAnsi="Arial" w:eastAsia="等线" w:cs="Arial"/>
          <w:color w:val="auto"/>
          <w:sz w:val="22"/>
          <w:lang w:val="en-US" w:eastAsia="zh-CN"/>
        </w:rPr>
        <w:t>城市客厅</w:t>
      </w:r>
      <w:r>
        <w:rPr>
          <w:rFonts w:ascii="Arial" w:hAnsi="Arial" w:eastAsia="等线" w:cs="Arial"/>
          <w:color w:val="auto"/>
          <w:sz w:val="22"/>
        </w:rPr>
        <w:t>项目全域场内背景音乐专项服务，服务范围覆盖</w:t>
      </w:r>
      <w:r>
        <w:rPr>
          <w:rFonts w:hint="eastAsia" w:ascii="Arial" w:hAnsi="Arial" w:eastAsia="等线" w:cs="Arial"/>
          <w:color w:val="auto"/>
          <w:sz w:val="22"/>
          <w:lang w:val="en-US" w:eastAsia="zh-CN"/>
        </w:rPr>
        <w:t>城市阳台</w:t>
      </w:r>
      <w:r>
        <w:rPr>
          <w:rFonts w:ascii="Arial" w:hAnsi="Arial" w:eastAsia="等线" w:cs="Arial"/>
          <w:color w:val="auto"/>
          <w:sz w:val="22"/>
        </w:rPr>
        <w:t>项目</w:t>
      </w:r>
      <w:r>
        <w:rPr>
          <w:rFonts w:ascii="Arial" w:hAnsi="Arial" w:eastAsia="等线" w:cs="Arial"/>
          <w:b/>
          <w:color w:val="auto"/>
          <w:sz w:val="22"/>
        </w:rPr>
        <w:t>东区、北区、南区、水秀广场</w:t>
      </w:r>
      <w:r>
        <w:rPr>
          <w:rFonts w:hint="eastAsia" w:ascii="Arial" w:hAnsi="Arial" w:eastAsia="等线" w:cs="Arial"/>
          <w:b/>
          <w:color w:val="auto"/>
          <w:sz w:val="22"/>
          <w:lang w:eastAsia="zh-CN"/>
        </w:rPr>
        <w:t>，</w:t>
      </w:r>
      <w:r>
        <w:rPr>
          <w:rFonts w:hint="eastAsia" w:ascii="Arial" w:hAnsi="Arial" w:eastAsia="等线" w:cs="Arial"/>
          <w:b/>
          <w:color w:val="auto"/>
          <w:sz w:val="22"/>
          <w:lang w:val="en-US" w:eastAsia="zh-CN"/>
        </w:rPr>
        <w:t>城市客厅负一层至七层</w:t>
      </w:r>
      <w:r>
        <w:rPr>
          <w:rFonts w:ascii="Arial" w:hAnsi="Arial" w:eastAsia="等线" w:cs="Arial"/>
          <w:color w:val="auto"/>
          <w:sz w:val="22"/>
        </w:rPr>
        <w:t>全部公共经营区域、通道、休闲景观区及配套公共区域。服务机构需依托专业音乐版权资源及智能播放系统，为项目提供常态化、标准化、可动态调整的公播背景音乐服务，贴合文旅商业项目调性，适配日常经营、节假日氛围及场景运营需求，保障全域声场统一、音质稳定、播放规范。</w:t>
      </w:r>
    </w:p>
    <w:p>
      <w:pPr>
        <w:spacing w:before="320" w:after="120" w:line="288" w:lineRule="auto"/>
        <w:ind w:left="0"/>
        <w:jc w:val="left"/>
        <w:outlineLvl w:val="1"/>
        <w:rPr>
          <w:color w:val="auto"/>
        </w:rPr>
      </w:pPr>
      <w:bookmarkStart w:id="6" w:name="heading_1"/>
      <w:r>
        <w:rPr>
          <w:rFonts w:ascii="Arial" w:hAnsi="Arial" w:eastAsia="等线" w:cs="Arial"/>
          <w:b/>
          <w:color w:val="auto"/>
          <w:sz w:val="32"/>
        </w:rPr>
        <w:t>二、服务总体要求</w:t>
      </w:r>
      <w:bookmarkEnd w:id="6"/>
    </w:p>
    <w:p>
      <w:pPr>
        <w:spacing w:before="120" w:after="120" w:line="288" w:lineRule="auto"/>
        <w:ind w:left="0"/>
        <w:jc w:val="left"/>
        <w:rPr>
          <w:color w:val="auto"/>
        </w:rPr>
      </w:pPr>
      <w:r>
        <w:rPr>
          <w:rFonts w:ascii="Arial" w:hAnsi="Arial" w:eastAsia="等线" w:cs="Arial"/>
          <w:color w:val="auto"/>
          <w:sz w:val="22"/>
        </w:rPr>
        <w:t>1. 合规性要求：服务机构提供的所有背景音乐、音频素材、音效片段均需具备</w:t>
      </w:r>
      <w:r>
        <w:rPr>
          <w:rFonts w:ascii="Arial" w:hAnsi="Arial" w:eastAsia="等线" w:cs="Arial"/>
          <w:b/>
          <w:color w:val="auto"/>
          <w:sz w:val="22"/>
        </w:rPr>
        <w:t>完整合法的公播正版授权</w:t>
      </w:r>
      <w:r>
        <w:rPr>
          <w:rFonts w:ascii="Arial" w:hAnsi="Arial" w:eastAsia="等线" w:cs="Arial"/>
          <w:color w:val="auto"/>
          <w:sz w:val="22"/>
        </w:rPr>
        <w:t>，涵盖商业公播、全域播放、商用使用权限，无版权纠纷、无侵权风险，可提供版权授权证书、音源合规证明等全套备案材料，严禁使用网络盗版、无授权剪辑、侵权改编音源。</w:t>
      </w:r>
    </w:p>
    <w:p>
      <w:pPr>
        <w:spacing w:before="120" w:after="120" w:line="288" w:lineRule="auto"/>
        <w:ind w:left="0"/>
        <w:jc w:val="left"/>
        <w:rPr>
          <w:color w:val="auto"/>
        </w:rPr>
      </w:pPr>
      <w:r>
        <w:rPr>
          <w:rFonts w:ascii="Arial" w:hAnsi="Arial" w:eastAsia="等线" w:cs="Arial"/>
          <w:color w:val="auto"/>
          <w:sz w:val="22"/>
        </w:rPr>
        <w:t>2. 智能化运维要求：搭建专属远程智能播放管理系统，具备</w:t>
      </w:r>
      <w:r>
        <w:rPr>
          <w:rFonts w:ascii="Arial" w:hAnsi="Arial" w:eastAsia="等线" w:cs="Arial"/>
          <w:b/>
          <w:color w:val="auto"/>
          <w:sz w:val="22"/>
        </w:rPr>
        <w:t>远程一键操作、实时更替曲目、批量更新音频、动态调整播放列表</w:t>
      </w:r>
      <w:r>
        <w:rPr>
          <w:rFonts w:ascii="Arial" w:hAnsi="Arial" w:eastAsia="等线" w:cs="Arial"/>
          <w:color w:val="auto"/>
          <w:sz w:val="22"/>
        </w:rPr>
        <w:t>功能，无需现场操作即可完成全域或分区音乐调整，响应甲方日常运营调整需求。</w:t>
      </w:r>
    </w:p>
    <w:p>
      <w:pPr>
        <w:spacing w:before="120" w:after="120" w:line="288" w:lineRule="auto"/>
        <w:ind w:left="0"/>
        <w:jc w:val="left"/>
        <w:rPr>
          <w:color w:val="auto"/>
        </w:rPr>
      </w:pPr>
      <w:r>
        <w:rPr>
          <w:rFonts w:ascii="Arial" w:hAnsi="Arial" w:eastAsia="等线" w:cs="Arial"/>
          <w:color w:val="auto"/>
          <w:sz w:val="22"/>
        </w:rPr>
        <w:t>3. 场景适配要求：需根据项目固定营业时间、淡旺季运营节奏、日常及节假日场景，</w:t>
      </w:r>
      <w:r>
        <w:rPr>
          <w:rFonts w:ascii="Arial" w:hAnsi="Arial" w:eastAsia="等线" w:cs="Arial"/>
          <w:b/>
          <w:color w:val="auto"/>
          <w:sz w:val="22"/>
        </w:rPr>
        <w:t>定制化铺排曲目清单、分时分区播放方案</w:t>
      </w:r>
      <w:r>
        <w:rPr>
          <w:rFonts w:ascii="Arial" w:hAnsi="Arial" w:eastAsia="等线" w:cs="Arial"/>
          <w:color w:val="auto"/>
          <w:sz w:val="22"/>
        </w:rPr>
        <w:t>，可根据甲方临时活动、氛围调整、业态优化需求，实时调整播放内容、音量、播放时段及曲风。</w:t>
      </w:r>
    </w:p>
    <w:p>
      <w:pPr>
        <w:spacing w:before="120" w:after="120" w:line="288" w:lineRule="auto"/>
        <w:ind w:left="0"/>
        <w:jc w:val="left"/>
        <w:rPr>
          <w:rFonts w:ascii="Arial" w:hAnsi="Arial" w:eastAsia="等线" w:cs="Arial"/>
          <w:color w:val="auto"/>
          <w:sz w:val="22"/>
        </w:rPr>
      </w:pPr>
      <w:r>
        <w:rPr>
          <w:rFonts w:ascii="Arial" w:hAnsi="Arial" w:eastAsia="等线" w:cs="Arial"/>
          <w:color w:val="auto"/>
          <w:sz w:val="22"/>
        </w:rPr>
        <w:t>4. 氛围适配要求：音源风格贴合滨海文旅商业定位，日常曲风以轻奢、舒缓、潮流、治愈为主，同时配齐</w:t>
      </w:r>
      <w:r>
        <w:rPr>
          <w:rFonts w:ascii="Arial" w:hAnsi="Arial" w:eastAsia="等线" w:cs="Arial"/>
          <w:b/>
          <w:color w:val="auto"/>
          <w:sz w:val="22"/>
        </w:rPr>
        <w:t>春节、国庆、元旦、中秋、五一、端午</w:t>
      </w:r>
      <w:r>
        <w:rPr>
          <w:rFonts w:ascii="Arial" w:hAnsi="Arial" w:eastAsia="等线" w:cs="Arial"/>
          <w:color w:val="auto"/>
          <w:sz w:val="22"/>
        </w:rPr>
        <w:t>等全品类法定节假日、传统节日经典正版专属曲目，节日期间统一切换节日专属播放方案，营造适配商业氛围。</w:t>
      </w:r>
    </w:p>
    <w:p>
      <w:pPr>
        <w:spacing w:before="120" w:after="120" w:line="288" w:lineRule="auto"/>
        <w:ind w:left="0"/>
        <w:jc w:val="left"/>
        <w:rPr>
          <w:rFonts w:hint="default" w:ascii="Arial" w:hAnsi="Arial" w:eastAsia="等线" w:cs="Arial"/>
          <w:color w:val="auto"/>
          <w:sz w:val="22"/>
          <w:lang w:val="en-US" w:eastAsia="zh-CN"/>
        </w:rPr>
      </w:pPr>
      <w:r>
        <w:rPr>
          <w:rFonts w:hint="eastAsia" w:ascii="Arial" w:hAnsi="Arial" w:eastAsia="等线" w:cs="Arial"/>
          <w:color w:val="auto"/>
          <w:sz w:val="22"/>
          <w:lang w:val="en-US" w:eastAsia="zh-CN"/>
        </w:rPr>
        <w:t>5.现场应急AI语音播报模块（温馨提示/紧急播报）：寻人、挪车、失物招领等临时通知播报功能。</w:t>
      </w:r>
    </w:p>
    <w:p>
      <w:pPr>
        <w:spacing w:before="120" w:after="120" w:line="288" w:lineRule="auto"/>
        <w:ind w:left="0"/>
        <w:jc w:val="left"/>
        <w:rPr>
          <w:rFonts w:ascii="Arial" w:hAnsi="Arial" w:eastAsia="等线" w:cs="Arial"/>
          <w:color w:val="auto"/>
          <w:sz w:val="22"/>
        </w:rPr>
      </w:pPr>
    </w:p>
    <w:p>
      <w:pPr>
        <w:spacing w:before="320" w:after="120" w:line="288" w:lineRule="auto"/>
        <w:ind w:left="0"/>
        <w:jc w:val="left"/>
        <w:outlineLvl w:val="1"/>
        <w:rPr>
          <w:color w:val="auto"/>
        </w:rPr>
      </w:pPr>
      <w:bookmarkStart w:id="7" w:name="heading_2"/>
      <w:r>
        <w:rPr>
          <w:rFonts w:ascii="Arial" w:hAnsi="Arial" w:eastAsia="等线" w:cs="Arial"/>
          <w:b/>
          <w:color w:val="auto"/>
          <w:sz w:val="32"/>
        </w:rPr>
        <w:t>三、核心服务内容及标准</w:t>
      </w:r>
      <w:bookmarkEnd w:id="7"/>
    </w:p>
    <w:p>
      <w:pPr>
        <w:spacing w:before="300" w:after="120" w:line="288" w:lineRule="auto"/>
        <w:ind w:left="0"/>
        <w:jc w:val="left"/>
        <w:outlineLvl w:val="2"/>
        <w:rPr>
          <w:color w:val="auto"/>
        </w:rPr>
      </w:pPr>
      <w:bookmarkStart w:id="8" w:name="heading_3"/>
      <w:r>
        <w:rPr>
          <w:rFonts w:ascii="Arial" w:hAnsi="Arial" w:eastAsia="等线" w:cs="Arial"/>
          <w:b/>
          <w:color w:val="auto"/>
          <w:sz w:val="30"/>
        </w:rPr>
        <w:t>（一）正版音源库搭建与更新服务</w:t>
      </w:r>
      <w:bookmarkEnd w:id="8"/>
    </w:p>
    <w:p>
      <w:pPr>
        <w:spacing w:before="120" w:after="120" w:line="288" w:lineRule="auto"/>
        <w:ind w:left="0"/>
        <w:jc w:val="left"/>
      </w:pPr>
      <w:r>
        <w:rPr>
          <w:rFonts w:ascii="Arial" w:hAnsi="Arial" w:eastAsia="等线" w:cs="Arial"/>
          <w:sz w:val="22"/>
        </w:rPr>
        <w:t>1. 乙方需搭建专属本项目的正版音乐库，包含日常通用曲目、轻奢潮流曲目、文旅休闲曲目、全节日专属经典曲目，音源总量充足</w:t>
      </w:r>
      <w:r>
        <w:rPr>
          <w:rFonts w:hint="eastAsia" w:ascii="Arial" w:hAnsi="Arial" w:eastAsia="等线" w:cs="Arial"/>
          <w:sz w:val="22"/>
          <w:lang w:eastAsia="zh-CN"/>
        </w:rPr>
        <w:t>（</w:t>
      </w:r>
      <w:r>
        <w:rPr>
          <w:rFonts w:hint="eastAsia" w:ascii="Arial" w:hAnsi="Arial" w:eastAsia="等线" w:cs="Arial"/>
          <w:sz w:val="22"/>
          <w:lang w:val="en-US" w:eastAsia="zh-CN"/>
        </w:rPr>
        <w:t>每日不少于100首</w:t>
      </w:r>
      <w:r>
        <w:rPr>
          <w:rFonts w:hint="eastAsia" w:ascii="Arial" w:hAnsi="Arial" w:eastAsia="等线" w:cs="Arial"/>
          <w:sz w:val="22"/>
          <w:lang w:eastAsia="zh-CN"/>
        </w:rPr>
        <w:t>）</w:t>
      </w:r>
      <w:r>
        <w:rPr>
          <w:rFonts w:ascii="Arial" w:hAnsi="Arial" w:eastAsia="等线" w:cs="Arial"/>
          <w:sz w:val="22"/>
        </w:rPr>
        <w:t>、分类清晰，满足全年常态化播放需求。</w:t>
      </w:r>
    </w:p>
    <w:p>
      <w:pPr>
        <w:spacing w:before="120" w:after="120" w:line="288" w:lineRule="auto"/>
        <w:ind w:left="0"/>
        <w:jc w:val="left"/>
      </w:pPr>
      <w:r>
        <w:rPr>
          <w:rFonts w:ascii="Arial" w:hAnsi="Arial" w:eastAsia="等线" w:cs="Arial"/>
          <w:sz w:val="22"/>
        </w:rPr>
        <w:t>2. 所有音源必须取得对应版权方商业公播授权，授权范围包含本项目全域公共区域商用播放，服务期内持续有效，若出现版权侵权投诉、纠纷，由乙方承担全部责任及损失。</w:t>
      </w:r>
    </w:p>
    <w:p>
      <w:pPr>
        <w:spacing w:before="120" w:after="120" w:line="288" w:lineRule="auto"/>
        <w:ind w:left="0"/>
        <w:jc w:val="left"/>
      </w:pPr>
      <w:r>
        <w:rPr>
          <w:rFonts w:ascii="Arial" w:hAnsi="Arial" w:eastAsia="等线" w:cs="Arial"/>
          <w:sz w:val="22"/>
        </w:rPr>
        <w:t>3. 乙方定期免费更新音源库，每月更新不少于1次，同步新增热门合规曲目、节日限定曲目，淘汰过时、不适配音源，保障播放内容时效性。</w:t>
      </w:r>
    </w:p>
    <w:p>
      <w:pPr>
        <w:spacing w:before="300" w:after="120" w:line="288" w:lineRule="auto"/>
        <w:ind w:left="0"/>
        <w:jc w:val="left"/>
        <w:outlineLvl w:val="2"/>
      </w:pPr>
      <w:bookmarkStart w:id="9" w:name="heading_4"/>
      <w:r>
        <w:rPr>
          <w:rFonts w:ascii="Arial" w:hAnsi="Arial" w:eastAsia="等线" w:cs="Arial"/>
          <w:b/>
          <w:sz w:val="30"/>
        </w:rPr>
        <w:t>（二）远程智能播放管控服务</w:t>
      </w:r>
      <w:bookmarkEnd w:id="9"/>
    </w:p>
    <w:p>
      <w:pPr>
        <w:spacing w:before="120" w:after="120" w:line="288" w:lineRule="auto"/>
        <w:ind w:left="0"/>
        <w:jc w:val="left"/>
      </w:pPr>
      <w:r>
        <w:rPr>
          <w:rFonts w:ascii="Arial" w:hAnsi="Arial" w:eastAsia="等线" w:cs="Arial"/>
          <w:sz w:val="22"/>
        </w:rPr>
        <w:t>1. 配备成熟云端远程管理后台，支持</w:t>
      </w:r>
      <w:r>
        <w:rPr>
          <w:rFonts w:ascii="Arial" w:hAnsi="Arial" w:eastAsia="等线" w:cs="Arial"/>
          <w:b/>
          <w:sz w:val="22"/>
        </w:rPr>
        <w:t>远程上传、替换、删除、排序曲目</w:t>
      </w:r>
      <w:r>
        <w:rPr>
          <w:rFonts w:ascii="Arial" w:hAnsi="Arial" w:eastAsia="等线" w:cs="Arial"/>
          <w:sz w:val="22"/>
        </w:rPr>
        <w:t>，支持自定义创建多套播放列表（日常版、周末版、节假日版、活动专属版）。</w:t>
      </w:r>
    </w:p>
    <w:p>
      <w:pPr>
        <w:spacing w:before="120" w:after="120" w:line="288" w:lineRule="auto"/>
        <w:ind w:left="0"/>
        <w:jc w:val="left"/>
      </w:pPr>
      <w:r>
        <w:rPr>
          <w:rFonts w:ascii="Arial" w:hAnsi="Arial" w:eastAsia="等线" w:cs="Arial"/>
          <w:sz w:val="22"/>
        </w:rPr>
        <w:t>2. 支持按项目营业时间自动启停、分时分段播放，可精准设置早、中、晚不同时段曲风、音量、播放频次，适配项目客流时段特征。</w:t>
      </w:r>
    </w:p>
    <w:p>
      <w:pPr>
        <w:spacing w:before="120" w:after="120" w:line="288" w:lineRule="auto"/>
        <w:ind w:left="0"/>
        <w:jc w:val="left"/>
      </w:pPr>
      <w:r>
        <w:rPr>
          <w:rFonts w:ascii="Arial" w:hAnsi="Arial" w:eastAsia="等线" w:cs="Arial"/>
          <w:sz w:val="22"/>
        </w:rPr>
        <w:t>3. 全程支持甲方随时提报调整需求，乙方需做到</w:t>
      </w:r>
      <w:r>
        <w:rPr>
          <w:rFonts w:ascii="Arial" w:hAnsi="Arial" w:eastAsia="等线" w:cs="Arial"/>
          <w:b/>
          <w:sz w:val="22"/>
        </w:rPr>
        <w:t>常规曲目调整2小时内完成、紧急场景调整4小时内落地</w:t>
      </w:r>
      <w:r>
        <w:rPr>
          <w:rFonts w:ascii="Arial" w:hAnsi="Arial" w:eastAsia="等线" w:cs="Arial"/>
          <w:sz w:val="22"/>
        </w:rPr>
        <w:t>，保障运营适配及时性。</w:t>
      </w:r>
    </w:p>
    <w:p>
      <w:pPr>
        <w:spacing w:before="300" w:after="120" w:line="288" w:lineRule="auto"/>
        <w:ind w:left="0"/>
        <w:jc w:val="left"/>
        <w:outlineLvl w:val="2"/>
      </w:pPr>
      <w:bookmarkStart w:id="10" w:name="heading_5"/>
      <w:r>
        <w:rPr>
          <w:rFonts w:ascii="Arial" w:hAnsi="Arial" w:eastAsia="等线" w:cs="Arial"/>
          <w:b/>
          <w:sz w:val="30"/>
        </w:rPr>
        <w:t>（三）全域分区播放适配服务</w:t>
      </w:r>
      <w:bookmarkEnd w:id="10"/>
    </w:p>
    <w:p>
      <w:pPr>
        <w:spacing w:before="120" w:after="120" w:line="288" w:lineRule="auto"/>
        <w:ind w:left="0"/>
        <w:jc w:val="left"/>
      </w:pPr>
      <w:r>
        <w:rPr>
          <w:rFonts w:ascii="Arial" w:hAnsi="Arial" w:eastAsia="等线" w:cs="Arial"/>
          <w:sz w:val="22"/>
        </w:rPr>
        <w:t>针对</w:t>
      </w:r>
      <w:r>
        <w:rPr>
          <w:rFonts w:hint="eastAsia" w:ascii="Arial" w:hAnsi="Arial" w:eastAsia="等线" w:cs="Arial"/>
          <w:color w:val="FF0000"/>
          <w:sz w:val="22"/>
          <w:lang w:val="en-US" w:eastAsia="zh-CN"/>
        </w:rPr>
        <w:t>城市客厅/</w:t>
      </w:r>
      <w:r>
        <w:rPr>
          <w:rFonts w:hint="eastAsia" w:ascii="Arial" w:hAnsi="Arial" w:eastAsia="等线" w:cs="Arial"/>
          <w:sz w:val="22"/>
          <w:lang w:val="en-US" w:eastAsia="zh-CN"/>
        </w:rPr>
        <w:t>城市阳台</w:t>
      </w:r>
      <w:r>
        <w:rPr>
          <w:rFonts w:ascii="Arial" w:hAnsi="Arial" w:eastAsia="等线" w:cs="Arial"/>
          <w:sz w:val="22"/>
        </w:rPr>
        <w:t>项目</w:t>
      </w:r>
      <w:r>
        <w:rPr>
          <w:rFonts w:ascii="Arial" w:hAnsi="Arial" w:eastAsia="等线" w:cs="Arial"/>
          <w:b/>
          <w:sz w:val="22"/>
        </w:rPr>
        <w:t>东区、北区、南区、水秀广场</w:t>
      </w:r>
      <w:r>
        <w:rPr>
          <w:rFonts w:ascii="Arial" w:hAnsi="Arial" w:eastAsia="等线" w:cs="Arial"/>
          <w:sz w:val="22"/>
        </w:rPr>
        <w:t>四大区域，支持统一播放与分区差异化播放模式切换：日常可全域同步播放，甲方可根据各区域业态、场景活动差异，单独调整单一区域曲目、音量及播放方案，实现精细化场景运营。</w:t>
      </w:r>
    </w:p>
    <w:p>
      <w:pPr>
        <w:spacing w:before="300" w:after="120" w:line="288" w:lineRule="auto"/>
        <w:ind w:left="0"/>
        <w:jc w:val="left"/>
        <w:outlineLvl w:val="2"/>
      </w:pPr>
      <w:bookmarkStart w:id="11" w:name="heading_6"/>
      <w:r>
        <w:rPr>
          <w:rFonts w:ascii="Arial" w:hAnsi="Arial" w:eastAsia="等线" w:cs="Arial"/>
          <w:b/>
          <w:sz w:val="30"/>
        </w:rPr>
        <w:t>（四）全年节日氛围音乐专项服务</w:t>
      </w:r>
      <w:bookmarkEnd w:id="11"/>
    </w:p>
    <w:p>
      <w:pPr>
        <w:spacing w:before="120" w:after="120" w:line="288" w:lineRule="auto"/>
        <w:ind w:left="0"/>
        <w:jc w:val="left"/>
      </w:pPr>
      <w:r>
        <w:rPr>
          <w:rFonts w:ascii="Arial" w:hAnsi="Arial" w:eastAsia="等线" w:cs="Arial"/>
          <w:sz w:val="22"/>
        </w:rPr>
        <w:t>针对春节、国庆、元旦、中秋、劳动节、端午节等重点节假日，乙方需提前3个工作日完成专属节日正版曲目铺排、播放方案切换，搭配节日适配曲风，全程无需甲方额外对接，自动完成氛围升级；节假日期间可根据甲方需求，实时优化曲目清单，强化场景氛围感。</w:t>
      </w:r>
    </w:p>
    <w:p>
      <w:pPr>
        <w:spacing w:before="300" w:after="120" w:line="288" w:lineRule="auto"/>
        <w:ind w:left="0"/>
        <w:jc w:val="left"/>
        <w:outlineLvl w:val="2"/>
      </w:pPr>
      <w:bookmarkStart w:id="12" w:name="heading_7"/>
      <w:r>
        <w:rPr>
          <w:rFonts w:ascii="Arial" w:hAnsi="Arial" w:eastAsia="等线" w:cs="Arial"/>
          <w:b/>
          <w:sz w:val="30"/>
        </w:rPr>
        <w:t>（五）日常运维与故障保障服务</w:t>
      </w:r>
      <w:bookmarkEnd w:id="12"/>
    </w:p>
    <w:p>
      <w:pPr>
        <w:spacing w:before="120" w:after="120" w:line="288" w:lineRule="auto"/>
        <w:ind w:left="0"/>
        <w:jc w:val="left"/>
      </w:pPr>
      <w:r>
        <w:rPr>
          <w:rFonts w:ascii="Arial" w:hAnsi="Arial" w:eastAsia="等线" w:cs="Arial"/>
          <w:sz w:val="22"/>
        </w:rPr>
        <w:t>1. 每日后台巡检播放系统运行状态，保障全域播放稳定、无杂音、无断播、无错播，音质清晰、音量均匀。</w:t>
      </w:r>
    </w:p>
    <w:p>
      <w:pPr>
        <w:spacing w:before="120" w:after="120" w:line="288" w:lineRule="auto"/>
        <w:ind w:left="0"/>
        <w:jc w:val="left"/>
      </w:pPr>
      <w:r>
        <w:rPr>
          <w:rFonts w:ascii="Arial" w:hAnsi="Arial" w:eastAsia="等线" w:cs="Arial"/>
          <w:sz w:val="22"/>
        </w:rPr>
        <w:t>2. 建立故障快速响应机制，播放异常、音源故障、系统卡顿等问题，乙方需1小时内响应，4小时内完成修复，保障项目正常运营。</w:t>
      </w:r>
    </w:p>
    <w:p>
      <w:pPr>
        <w:spacing w:before="120" w:after="120" w:line="288" w:lineRule="auto"/>
        <w:ind w:left="0"/>
        <w:jc w:val="left"/>
      </w:pPr>
      <w:r>
        <w:rPr>
          <w:rFonts w:ascii="Arial" w:hAnsi="Arial" w:eastAsia="等线" w:cs="Arial"/>
          <w:sz w:val="22"/>
        </w:rPr>
        <w:t>3. 每月向甲方提交背景音乐服务台账，包含音源更新记录、播放方案调整记录、故障运维记录，留存全套版权备案资料备查。</w:t>
      </w:r>
    </w:p>
    <w:p>
      <w:pPr>
        <w:spacing w:before="320" w:after="120" w:line="288" w:lineRule="auto"/>
        <w:ind w:left="0"/>
        <w:jc w:val="left"/>
        <w:outlineLvl w:val="1"/>
      </w:pPr>
      <w:bookmarkStart w:id="13" w:name="heading_8"/>
      <w:r>
        <w:rPr>
          <w:rFonts w:ascii="Arial" w:hAnsi="Arial" w:eastAsia="等线" w:cs="Arial"/>
          <w:b/>
          <w:sz w:val="32"/>
        </w:rPr>
        <w:t>四、播放时段基础规范（可按需调整）</w:t>
      </w:r>
      <w:bookmarkEnd w:id="13"/>
    </w:p>
    <w:p>
      <w:pPr>
        <w:spacing w:before="120" w:after="120" w:line="288" w:lineRule="auto"/>
        <w:ind w:left="0"/>
        <w:jc w:val="left"/>
      </w:pPr>
      <w:r>
        <w:rPr>
          <w:rFonts w:ascii="Arial" w:hAnsi="Arial" w:eastAsia="等线" w:cs="Arial"/>
          <w:sz w:val="22"/>
        </w:rPr>
        <w:t>1. 常规营业时间：严格按照甲方项目公示营业时间，自动启停播放，日间曲风轻快舒缓、适配客流氛围，晚间曲风静谧轻奢、贴合休闲场景。</w:t>
      </w:r>
    </w:p>
    <w:p>
      <w:pPr>
        <w:spacing w:before="120" w:after="120" w:line="288" w:lineRule="auto"/>
        <w:ind w:left="0"/>
        <w:jc w:val="left"/>
      </w:pPr>
      <w:r>
        <w:rPr>
          <w:rFonts w:ascii="Arial" w:hAnsi="Arial" w:eastAsia="等线" w:cs="Arial"/>
          <w:sz w:val="22"/>
        </w:rPr>
        <w:t>2. 周末及节假日：提前优化曲目节奏，增加氛围感曲目占比，贴合游客休闲、消费场景需求。</w:t>
      </w:r>
    </w:p>
    <w:p>
      <w:pPr>
        <w:spacing w:before="120" w:after="120" w:line="288" w:lineRule="auto"/>
        <w:ind w:left="0"/>
        <w:jc w:val="left"/>
      </w:pPr>
      <w:r>
        <w:rPr>
          <w:rFonts w:ascii="Arial" w:hAnsi="Arial" w:eastAsia="等线" w:cs="Arial"/>
          <w:sz w:val="22"/>
        </w:rPr>
        <w:t>3. 特殊场景：甲方举办市集、演出、主题活动、水秀展演等活动时，乙方可根据甲方指令，临时调整播放内容、暂停/切换背景音乐，适配活动开展。</w:t>
      </w:r>
    </w:p>
    <w:p>
      <w:pPr>
        <w:spacing w:before="320" w:after="120" w:line="288" w:lineRule="auto"/>
        <w:ind w:left="0"/>
        <w:jc w:val="left"/>
        <w:outlineLvl w:val="1"/>
      </w:pPr>
      <w:bookmarkStart w:id="14" w:name="heading_9"/>
      <w:r>
        <w:rPr>
          <w:rFonts w:ascii="Arial" w:hAnsi="Arial" w:eastAsia="等线" w:cs="Arial"/>
          <w:b/>
          <w:sz w:val="32"/>
        </w:rPr>
        <w:t>五、双方权责</w:t>
      </w:r>
      <w:bookmarkEnd w:id="14"/>
    </w:p>
    <w:p>
      <w:pPr>
        <w:spacing w:before="300" w:after="120" w:line="288" w:lineRule="auto"/>
        <w:ind w:left="0"/>
        <w:jc w:val="left"/>
        <w:outlineLvl w:val="2"/>
      </w:pPr>
      <w:bookmarkStart w:id="15" w:name="heading_10"/>
      <w:r>
        <w:rPr>
          <w:rFonts w:ascii="Arial" w:hAnsi="Arial" w:eastAsia="等线" w:cs="Arial"/>
          <w:b/>
          <w:sz w:val="30"/>
        </w:rPr>
        <w:t>（一）甲方权责</w:t>
      </w:r>
      <w:bookmarkEnd w:id="15"/>
    </w:p>
    <w:p>
      <w:pPr>
        <w:spacing w:before="120" w:after="120" w:line="288" w:lineRule="auto"/>
        <w:ind w:left="0"/>
        <w:jc w:val="left"/>
      </w:pPr>
      <w:r>
        <w:rPr>
          <w:rFonts w:ascii="Arial" w:hAnsi="Arial" w:eastAsia="等线" w:cs="Arial"/>
          <w:sz w:val="22"/>
        </w:rPr>
        <w:t>1. 向乙方提供项目营业时间、区域划分、运营场景需求及节假日氛围要求；</w:t>
      </w:r>
    </w:p>
    <w:p>
      <w:pPr>
        <w:spacing w:before="120" w:after="120" w:line="288" w:lineRule="auto"/>
        <w:ind w:left="0"/>
        <w:jc w:val="left"/>
      </w:pPr>
      <w:r>
        <w:rPr>
          <w:rFonts w:ascii="Arial" w:hAnsi="Arial" w:eastAsia="等线" w:cs="Arial"/>
          <w:sz w:val="22"/>
        </w:rPr>
        <w:t>2. 及时告知乙方项目临时活动、场景调整需求，配合乙方完成播放方案优化；</w:t>
      </w:r>
    </w:p>
    <w:p>
      <w:pPr>
        <w:spacing w:before="120" w:after="120" w:line="288" w:lineRule="auto"/>
        <w:ind w:left="0"/>
        <w:jc w:val="left"/>
      </w:pPr>
      <w:r>
        <w:rPr>
          <w:rFonts w:ascii="Arial" w:hAnsi="Arial" w:eastAsia="等线" w:cs="Arial"/>
          <w:sz w:val="22"/>
        </w:rPr>
        <w:t>3. 对乙方服务质量、音源合规性、播放效果进行日常监督与考核。</w:t>
      </w:r>
    </w:p>
    <w:p>
      <w:pPr>
        <w:spacing w:before="300" w:after="120" w:line="288" w:lineRule="auto"/>
        <w:ind w:left="0"/>
        <w:jc w:val="left"/>
        <w:outlineLvl w:val="2"/>
      </w:pPr>
      <w:bookmarkStart w:id="16" w:name="heading_11"/>
      <w:r>
        <w:rPr>
          <w:rFonts w:ascii="Arial" w:hAnsi="Arial" w:eastAsia="等线" w:cs="Arial"/>
          <w:b/>
          <w:sz w:val="30"/>
        </w:rPr>
        <w:t>（二）乙方权责</w:t>
      </w:r>
      <w:bookmarkEnd w:id="16"/>
    </w:p>
    <w:p>
      <w:pPr>
        <w:spacing w:before="120" w:after="120" w:line="288" w:lineRule="auto"/>
        <w:ind w:left="0"/>
        <w:jc w:val="left"/>
      </w:pPr>
      <w:r>
        <w:rPr>
          <w:rFonts w:ascii="Arial" w:hAnsi="Arial" w:eastAsia="等线" w:cs="Arial"/>
          <w:sz w:val="22"/>
        </w:rPr>
        <w:t>1. 严格遵守本任务书所有要求，提供全套正版公播音源，承担所有版权合规责任，服务期内杜绝任何侵权行为；</w:t>
      </w:r>
    </w:p>
    <w:p>
      <w:pPr>
        <w:spacing w:before="120" w:after="120" w:line="288" w:lineRule="auto"/>
        <w:ind w:left="0"/>
        <w:jc w:val="left"/>
      </w:pPr>
      <w:r>
        <w:rPr>
          <w:rFonts w:ascii="Arial" w:hAnsi="Arial" w:eastAsia="等线" w:cs="Arial"/>
          <w:sz w:val="22"/>
        </w:rPr>
        <w:t>2. 保障远程播放系统稳定运行，高效响应甲方各类调整需求，按时完成音源更新、方案切换、故障修复；</w:t>
      </w:r>
    </w:p>
    <w:p>
      <w:pPr>
        <w:spacing w:before="120" w:after="120" w:line="288" w:lineRule="auto"/>
        <w:ind w:left="0"/>
        <w:jc w:val="left"/>
      </w:pPr>
      <w:r>
        <w:rPr>
          <w:rFonts w:ascii="Arial" w:hAnsi="Arial" w:eastAsia="等线" w:cs="Arial"/>
          <w:sz w:val="22"/>
        </w:rPr>
        <w:t>3. 建立专属服务对接人，全程一对一对接项目需求，常态化配合甲方精细化运营工作；</w:t>
      </w:r>
    </w:p>
    <w:p>
      <w:pPr>
        <w:spacing w:before="120" w:after="120" w:line="288" w:lineRule="auto"/>
        <w:ind w:left="0"/>
        <w:jc w:val="left"/>
      </w:pPr>
      <w:r>
        <w:rPr>
          <w:rFonts w:ascii="Arial" w:hAnsi="Arial" w:eastAsia="等线" w:cs="Arial"/>
          <w:sz w:val="22"/>
        </w:rPr>
        <w:t>4. 定期整理版权证明、更新台账、运维记录，接受甲方核查，服务结束后完整移交相关资料。</w:t>
      </w:r>
    </w:p>
    <w:p>
      <w:pPr>
        <w:spacing w:before="320" w:after="120" w:line="288" w:lineRule="auto"/>
        <w:ind w:left="0"/>
        <w:jc w:val="left"/>
        <w:outlineLvl w:val="1"/>
      </w:pPr>
      <w:bookmarkStart w:id="17" w:name="heading_12"/>
      <w:r>
        <w:rPr>
          <w:rFonts w:ascii="Arial" w:hAnsi="Arial" w:eastAsia="等线" w:cs="Arial"/>
          <w:b/>
          <w:sz w:val="32"/>
        </w:rPr>
        <w:t>六、服务考核要求</w:t>
      </w:r>
      <w:bookmarkEnd w:id="17"/>
    </w:p>
    <w:p>
      <w:pPr>
        <w:spacing w:before="120" w:after="120" w:line="288" w:lineRule="auto"/>
        <w:ind w:left="0"/>
        <w:jc w:val="left"/>
      </w:pPr>
      <w:r>
        <w:rPr>
          <w:rFonts w:ascii="Arial" w:hAnsi="Arial" w:eastAsia="等线" w:cs="Arial"/>
          <w:sz w:val="22"/>
        </w:rPr>
        <w:t>1. 版权合规：一经发现使用无授权音源、盗版音源，甲方有权立即终止服务、扣除服务费，乙方承担全部侵权赔偿及违约责任；</w:t>
      </w:r>
    </w:p>
    <w:p>
      <w:pPr>
        <w:spacing w:before="120" w:after="120" w:line="288" w:lineRule="auto"/>
        <w:ind w:left="0"/>
        <w:jc w:val="left"/>
      </w:pPr>
      <w:r>
        <w:rPr>
          <w:rFonts w:ascii="Arial" w:hAnsi="Arial" w:eastAsia="等线" w:cs="Arial"/>
          <w:sz w:val="22"/>
        </w:rPr>
        <w:t>2. 响应时效：未按要求时限完成曲目调整、故障修复的，每次计入服务瑕疵，累计超3次视为服务不合格；</w:t>
      </w:r>
    </w:p>
    <w:p>
      <w:pPr>
        <w:spacing w:before="120" w:after="120" w:line="288" w:lineRule="auto"/>
        <w:ind w:left="0"/>
        <w:jc w:val="left"/>
      </w:pPr>
      <w:r>
        <w:rPr>
          <w:rFonts w:ascii="Arial" w:hAnsi="Arial" w:eastAsia="等线" w:cs="Arial"/>
          <w:sz w:val="22"/>
        </w:rPr>
        <w:t>3. 播放质量：出现频繁断播、杂音、错播、音量失衡等问题，乙方需及时整改，拒不整改的甲方有权追责；</w:t>
      </w:r>
    </w:p>
    <w:p>
      <w:pPr>
        <w:spacing w:before="120" w:after="120" w:line="288" w:lineRule="auto"/>
        <w:ind w:left="0"/>
        <w:jc w:val="left"/>
      </w:pPr>
      <w:r>
        <w:rPr>
          <w:rFonts w:ascii="Arial" w:hAnsi="Arial" w:eastAsia="等线" w:cs="Arial"/>
          <w:sz w:val="22"/>
        </w:rPr>
        <w:t>4. 节日服务：未按时完成节假日专属氛围音乐切换、铺排的，视为服务违约，承担相应责任。</w:t>
      </w:r>
    </w:p>
    <w:p>
      <w:pPr>
        <w:spacing w:before="320" w:after="120" w:line="288" w:lineRule="auto"/>
        <w:ind w:left="0"/>
        <w:jc w:val="left"/>
        <w:outlineLvl w:val="1"/>
      </w:pPr>
      <w:bookmarkStart w:id="18" w:name="heading_13"/>
      <w:r>
        <w:rPr>
          <w:rFonts w:ascii="Arial" w:hAnsi="Arial" w:eastAsia="等线" w:cs="Arial"/>
          <w:b/>
          <w:sz w:val="32"/>
        </w:rPr>
        <w:t>七、其他说明</w:t>
      </w:r>
      <w:bookmarkEnd w:id="18"/>
    </w:p>
    <w:p>
      <w:pPr>
        <w:spacing w:before="120" w:after="120" w:line="288" w:lineRule="auto"/>
        <w:ind w:left="0"/>
        <w:jc w:val="left"/>
      </w:pPr>
      <w:r>
        <w:rPr>
          <w:rFonts w:ascii="Arial" w:hAnsi="Arial" w:eastAsia="等线" w:cs="Arial"/>
          <w:sz w:val="22"/>
        </w:rPr>
        <w:t>1.  服务期内甲方可根据项目运营需求，合理调整播放时段、曲风、场景方案，乙方需无条件配合。</w:t>
      </w:r>
    </w:p>
    <w:tbl>
      <w:tblPr>
        <w:tblStyle w:val="15"/>
        <w:tblW w:w="83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987"/>
        <w:gridCol w:w="63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0" w:hRule="atLeast"/>
        </w:trPr>
        <w:tc>
          <w:tcPr>
            <w:tcW w:w="1987" w:type="dxa"/>
            <w:tcBorders>
              <w:top w:val="single" w:color="000000" w:sz="4" w:space="0"/>
              <w:left w:val="single" w:color="000000" w:sz="4" w:space="0"/>
              <w:bottom w:val="single" w:color="000000" w:sz="4" w:space="0"/>
              <w:right w:val="single" w:color="000000" w:sz="4" w:space="0"/>
            </w:tcBorders>
            <w:shd w:val="clear" w:color="auto" w:fill="D9D9D9"/>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服务项目</w:t>
            </w:r>
          </w:p>
        </w:tc>
        <w:tc>
          <w:tcPr>
            <w:tcW w:w="6351" w:type="dxa"/>
            <w:tcBorders>
              <w:top w:val="single" w:color="000000" w:sz="4" w:space="0"/>
              <w:left w:val="single" w:color="000000" w:sz="4" w:space="0"/>
              <w:bottom w:val="single" w:color="000000" w:sz="4" w:space="0"/>
              <w:right w:val="single" w:color="000000" w:sz="4" w:space="0"/>
            </w:tcBorders>
            <w:shd w:val="clear" w:color="auto" w:fill="D9D9D9"/>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具体服务内容及要求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33" w:hRule="atLeast"/>
        </w:trPr>
        <w:tc>
          <w:tcPr>
            <w:tcW w:w="1987"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1、日常营业时段</w:t>
            </w:r>
          </w:p>
        </w:tc>
        <w:tc>
          <w:tcPr>
            <w:tcW w:w="63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(1)服务期内首次曲库不少于100首</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(2)服务期内每天按不同时段提供不同风格的音乐服务期内季度更新50%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(3)音乐风格可按照客户实际需求来确认</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10:00-13:00早间提供Chill Jazz</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13:00-17:00午后节奏Bossanova &amp;SmoothJazz</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18:00-21:00晚饭之后Cool Jazz</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21:00-22:00晚间Blues（最后5分钟闭店音乐）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1987" w:type="dxa"/>
            <w:tcBorders>
              <w:top w:val="single" w:color="000000" w:sz="4" w:space="0"/>
              <w:left w:val="single" w:color="000000" w:sz="4" w:space="0"/>
              <w:bottom w:val="single" w:color="000000" w:sz="4" w:space="0"/>
              <w:right w:val="single" w:color="000000" w:sz="4" w:space="0"/>
            </w:tcBorders>
            <w:shd w:val="clear" w:color="auto" w:fill="D9D9D9"/>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2.节日音乐</w:t>
            </w:r>
          </w:p>
        </w:tc>
        <w:tc>
          <w:tcPr>
            <w:tcW w:w="6351" w:type="dxa"/>
            <w:tcBorders>
              <w:top w:val="single" w:color="000000" w:sz="4" w:space="0"/>
              <w:left w:val="single" w:color="000000" w:sz="4" w:space="0"/>
              <w:bottom w:val="single" w:color="000000" w:sz="4" w:space="0"/>
              <w:right w:val="single" w:color="000000" w:sz="4" w:space="0"/>
            </w:tcBorders>
            <w:shd w:val="clear" w:color="auto" w:fill="D9D9D9"/>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提供例如中国春节、圣诞节、情人节等内容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095" w:hRule="atLeast"/>
        </w:trPr>
        <w:tc>
          <w:tcPr>
            <w:tcW w:w="1987"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3.PC终端播放系统</w:t>
            </w:r>
          </w:p>
        </w:tc>
        <w:tc>
          <w:tcPr>
            <w:tcW w:w="63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(1)对接甲方背景广播系统，常年免费系统升级;</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(2)提供专属的音乐播放器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(3)全场爵士轻音乐，在固定时间段穿插场内中、英、粤语音音频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(4)后台自动定时播放，无需前台手动操作，如：客服仅需每天开机，打开播放器，会根据设定时间自动播放相应音乐，另开放线下播放权限，根据临时需求可手动调整播放音源</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(5)分区域音源关闭，如城市阳台音源包含东区、北区、场外人行通道、水秀广场等多个区域，可根据情况关闭单个区域音乐但不影响其他区域音乐播放</w:t>
            </w:r>
          </w:p>
        </w:tc>
      </w:tr>
    </w:tbl>
    <w:p>
      <w:pPr>
        <w:spacing w:before="320" w:after="120" w:line="288" w:lineRule="auto"/>
        <w:ind w:left="0"/>
        <w:jc w:val="left"/>
        <w:outlineLvl w:val="1"/>
        <w:rPr>
          <w:rFonts w:hint="eastAsia" w:ascii="Arial" w:hAnsi="Arial" w:eastAsia="等线" w:cs="Arial"/>
          <w:b/>
          <w:sz w:val="32"/>
          <w:lang w:val="en-US" w:eastAsia="zh-CN"/>
        </w:rPr>
      </w:pPr>
      <w:r>
        <w:rPr>
          <w:rFonts w:hint="eastAsia" w:ascii="Arial" w:hAnsi="Arial" w:eastAsia="等线" w:cs="Arial"/>
          <w:b/>
          <w:sz w:val="32"/>
          <w:lang w:val="en-US" w:eastAsia="zh-CN"/>
        </w:rPr>
        <w:t>八、参考歌单</w:t>
      </w:r>
    </w:p>
    <w:tbl>
      <w:tblPr>
        <w:tblStyle w:val="15"/>
        <w:tblW w:w="83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269"/>
        <w:gridCol w:w="40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blHeader/>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Title-列1</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Title-列2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That Second Kiss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Greene St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That's How I Like It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Heads 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The Years We Had</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Honest Question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till dawn</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Hope Never Fades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Time for Spring</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Hopefully Just Imagination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Under A Smiling Moon</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How Do You Do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Under the Misty Moon</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I Fly With You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Waltz oN the Beach</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I Won't Give You 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Waltzing Mary</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Game for Two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We Were Like That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Touch of You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Weekly</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After Hours Dinner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Whenever You Speak</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Afternoon In Paris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Why Not Me (Full)</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Ain't That So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Yesterdays We Don't Forget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All in Your Eyes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One night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All is Good Again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秋天物语</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Another Day Will Rise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Beachside Stroll</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Aquarela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Figure of Speech</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Come See Me Again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Glimpse of You</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Cosita Linda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Last Dance With You</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For Once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Moment Ago</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For the Moment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Trace of Light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For the Time Being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Ain't You Somethin'</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Frank Lynn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All I Could Ask For</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Gjesvaer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All of Me and All of You</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Glancing at the Moon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All the Good Things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Gone Too Soon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Around the Corner</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Jazz Background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As Life Turns Around</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LCMP-The Old World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As Soon as You Entered</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Lightly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As We Believed</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Love Is Here To Stay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As We Move On</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Love Me Tomorrow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As You May Know</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My Kind Of Freedom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At the Sky Bar</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My Swing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Aves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My Turn for Love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Back in a Jiffy</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Nanna Paolina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Birds of Paradise</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Never Let Me Go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Blue Zones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New Blue Bossa (Full)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Bobby Swing</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One Less Lonely Man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Brighter Days Will Come</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One Rose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Bring the Bagels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One Step at a Time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Camper's Day</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Open Sign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Caring for Someone Else</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Parkside Lane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Cat on the Loose</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Pure Feelings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Coffeeshop Stories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Rainy Moonlight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Downtown Nights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Return Home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Every Time Our Eyes Meet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Say What's Indicated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Exquisite Dinner</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Seeing You Again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Fireside Warmth</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Space for Two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Forever in My Mind</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Still Got My Dance Shoes 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Swinging</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Sunshine Boardwalk</w:t>
            </w:r>
          </w:p>
        </w:tc>
      </w:tr>
    </w:tbl>
    <w:p>
      <w:pPr>
        <w:pStyle w:val="2"/>
        <w:numPr>
          <w:ilvl w:val="0"/>
          <w:numId w:val="0"/>
        </w:numPr>
        <w:rPr>
          <w:rFonts w:hint="default"/>
          <w:lang w:val="en-US" w:eastAsia="zh-CN"/>
        </w:rPr>
      </w:pPr>
    </w:p>
    <w:p>
      <w:pPr>
        <w:pStyle w:val="2"/>
        <w:rPr>
          <w:rFonts w:hint="eastAsia" w:ascii="宋体" w:hAnsi="宋体"/>
          <w:lang w:val="en-US" w:eastAsia="zh-CN"/>
        </w:rPr>
      </w:pPr>
    </w:p>
    <w:p>
      <w:pPr>
        <w:rPr>
          <w:rFonts w:hint="default"/>
          <w:lang w:val="en-US" w:eastAsia="zh-CN"/>
        </w:rPr>
      </w:pPr>
      <w:r>
        <w:rPr>
          <w:rFonts w:hint="default"/>
          <w:lang w:val="en-US" w:eastAsia="zh-CN"/>
        </w:rPr>
        <w:br w:type="page"/>
      </w:r>
    </w:p>
    <w:p>
      <w:pPr>
        <w:pStyle w:val="2"/>
        <w:rPr>
          <w:rFonts w:hint="default"/>
          <w:lang w:val="en-US" w:eastAsia="zh-CN"/>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r>
        <w:rPr>
          <w:rFonts w:hint="eastAsia" w:ascii="宋体" w:hAnsi="宋体" w:eastAsia="宋体"/>
          <w:lang w:eastAsia="zh-CN"/>
        </w:rPr>
        <w:t>报价文件格式</w:t>
      </w:r>
      <w:bookmarkEnd w:id="2"/>
      <w:bookmarkEnd w:id="3"/>
      <w:bookmarkEnd w:id="4"/>
      <w:bookmarkStart w:id="19" w:name="_Toc503427708"/>
      <w:bookmarkStart w:id="20" w:name="_Toc276645578"/>
    </w:p>
    <w:p>
      <w:pPr>
        <w:pStyle w:val="4"/>
        <w:spacing w:line="360" w:lineRule="auto"/>
        <w:rPr>
          <w:rFonts w:hint="eastAsia" w:ascii="黑体" w:hAnsi="黑体" w:eastAsia="黑体" w:cs="黑体"/>
          <w:b/>
          <w:bCs w:val="0"/>
          <w:sz w:val="28"/>
          <w:szCs w:val="28"/>
        </w:rPr>
      </w:pPr>
      <w:bookmarkStart w:id="21" w:name="_Toc276645579"/>
      <w:bookmarkStart w:id="22" w:name="_Toc259090982"/>
      <w:bookmarkStart w:id="23" w:name="_Toc202820351"/>
      <w:bookmarkStart w:id="24" w:name="_Toc202254105"/>
      <w:bookmarkStart w:id="25" w:name="_Toc202251075"/>
      <w:bookmarkStart w:id="26" w:name="_Toc17685"/>
      <w:bookmarkStart w:id="27" w:name="_Toc202816996"/>
      <w:bookmarkStart w:id="28" w:name="_Toc503427710"/>
      <w:bookmarkStart w:id="29" w:name="_Toc202819878"/>
      <w:bookmarkStart w:id="30" w:name="_Toc16107"/>
      <w:bookmarkStart w:id="31" w:name="_Toc202251700"/>
      <w:bookmarkStart w:id="32" w:name="_Toc202252034"/>
      <w:bookmarkStart w:id="33" w:name="_Toc698"/>
      <w:bookmarkStart w:id="34" w:name="_Toc15317"/>
      <w:r>
        <w:rPr>
          <w:rFonts w:hint="eastAsia" w:ascii="黑体" w:hAnsi="黑体" w:eastAsia="黑体" w:cs="黑体"/>
          <w:b/>
          <w:bCs w:val="0"/>
          <w:sz w:val="28"/>
          <w:szCs w:val="28"/>
        </w:rPr>
        <w:t>一、资格性文件</w:t>
      </w:r>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5"/>
        <w:spacing w:before="100" w:after="100" w:line="360" w:lineRule="auto"/>
        <w:rPr>
          <w:rFonts w:ascii="宋体" w:hAnsi="宋体"/>
          <w:sz w:val="28"/>
        </w:rPr>
      </w:pPr>
      <w:bookmarkStart w:id="35" w:name="_Toc32660"/>
      <w:bookmarkStart w:id="36" w:name="_Toc24181"/>
      <w:bookmarkStart w:id="37" w:name="_Toc276645580"/>
      <w:bookmarkStart w:id="38" w:name="_Toc20366"/>
      <w:bookmarkStart w:id="39" w:name="_Toc503427711"/>
      <w:bookmarkStart w:id="40" w:name="_Toc13089"/>
      <w:bookmarkStart w:id="41" w:name="_Toc259090983"/>
      <w:r>
        <w:rPr>
          <w:rFonts w:hint="eastAsia" w:ascii="宋体" w:hAnsi="宋体"/>
          <w:sz w:val="28"/>
        </w:rPr>
        <w:t>1.1投标函</w:t>
      </w:r>
      <w:bookmarkEnd w:id="35"/>
      <w:bookmarkEnd w:id="36"/>
      <w:bookmarkEnd w:id="37"/>
      <w:bookmarkEnd w:id="38"/>
      <w:bookmarkEnd w:id="39"/>
      <w:bookmarkEnd w:id="40"/>
      <w:bookmarkEnd w:id="41"/>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珠海正方盛泰投资有限公司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城市阳台、城市客厅项目背景音乐服务采购（第二次）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1.3</w:t>
      </w:r>
      <w:r>
        <w:rPr>
          <w:rFonts w:hint="eastAsia" w:ascii="宋体" w:hAnsi="宋体"/>
          <w:kern w:val="0"/>
          <w:sz w:val="24"/>
          <w:lang w:val="en-US" w:eastAsia="zh-CN"/>
        </w:rPr>
        <w:t xml:space="preserve"> </w:t>
      </w:r>
      <w:r>
        <w:rPr>
          <w:rFonts w:hint="eastAsia" w:ascii="宋体" w:hAnsi="宋体"/>
          <w:kern w:val="0"/>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kern w:val="0"/>
          <w:sz w:val="24"/>
          <w:lang w:val="en-US" w:eastAsia="zh-CN"/>
        </w:rPr>
      </w:pPr>
      <w:r>
        <w:rPr>
          <w:rFonts w:hint="eastAsia" w:ascii="宋体" w:hAnsi="宋体"/>
          <w:kern w:val="0"/>
          <w:sz w:val="24"/>
          <w:lang w:val="en-US" w:eastAsia="zh-CN"/>
        </w:rPr>
        <w:t>1.5 版权合规承诺书；</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单位：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42" w:name="_Toc20809"/>
      <w:bookmarkEnd w:id="42"/>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43" w:name="_Toc27591"/>
      <w:bookmarkStart w:id="44" w:name="_Toc528"/>
      <w:bookmarkStart w:id="45" w:name="_Toc17080"/>
      <w:bookmarkStart w:id="46" w:name="_Toc19171"/>
      <w:bookmarkStart w:id="47" w:name="_Toc19817"/>
      <w:bookmarkStart w:id="48" w:name="_Toc503427713"/>
      <w:r>
        <w:rPr>
          <w:rFonts w:hint="eastAsia" w:ascii="宋体" w:hAnsi="宋体"/>
          <w:sz w:val="28"/>
        </w:rPr>
        <w:t>1.3关于资格的声明函</w:t>
      </w:r>
      <w:bookmarkEnd w:id="43"/>
      <w:bookmarkEnd w:id="44"/>
      <w:bookmarkEnd w:id="45"/>
      <w:bookmarkEnd w:id="46"/>
      <w:bookmarkEnd w:id="47"/>
      <w:bookmarkEnd w:id="48"/>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珠海正方盛泰投资有限公司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城市阳台、城市客厅项目背景音乐服务采购（第二次）</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49" w:name="_Toc10585"/>
      <w:bookmarkStart w:id="50" w:name="_Toc24969"/>
      <w:bookmarkStart w:id="51" w:name="_Toc13922"/>
      <w:bookmarkStart w:id="52" w:name="_Toc26971"/>
      <w:bookmarkStart w:id="53" w:name="_Toc6220"/>
      <w:bookmarkStart w:id="54" w:name="_Toc10559"/>
      <w:bookmarkStart w:id="55" w:name="_Toc9476"/>
      <w:bookmarkStart w:id="56" w:name="_Toc31767"/>
      <w:bookmarkStart w:id="57" w:name="_Toc14285"/>
      <w:bookmarkStart w:id="58" w:name="_Toc5048"/>
      <w:bookmarkStart w:id="59" w:name="_Toc31877"/>
      <w:bookmarkStart w:id="60" w:name="_Toc15464"/>
      <w:bookmarkStart w:id="61" w:name="_Toc24356"/>
      <w:bookmarkStart w:id="62" w:name="_Toc19796"/>
      <w:bookmarkStart w:id="63" w:name="_Toc32141"/>
      <w:bookmarkStart w:id="64" w:name="_Toc19969"/>
      <w:bookmarkStart w:id="65" w:name="_Toc276645583"/>
      <w:bookmarkStart w:id="66" w:name="_Toc4427"/>
      <w:bookmarkStart w:id="67" w:name="_Toc6275"/>
      <w:bookmarkStart w:id="68" w:name="_Toc4726"/>
      <w:bookmarkStart w:id="69" w:name="_Toc503427714"/>
      <w:bookmarkStart w:id="70" w:name="_Toc264628882"/>
      <w:bookmarkStart w:id="71" w:name="_Toc27468"/>
      <w:bookmarkStart w:id="72" w:name="_Toc32498"/>
      <w:r>
        <w:rPr>
          <w:rFonts w:hint="eastAsia"/>
          <w:lang w:val="en-US" w:eastAsia="zh-CN"/>
        </w:rPr>
        <w:t>1.3.1营业执照</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73" w:name="_Toc5662"/>
      <w:bookmarkStart w:id="74" w:name="_Toc10726"/>
      <w:bookmarkStart w:id="75" w:name="_Toc7304"/>
      <w:bookmarkStart w:id="76" w:name="_Toc30192"/>
      <w:bookmarkStart w:id="77" w:name="_Toc3193"/>
      <w:bookmarkStart w:id="78" w:name="_Toc24446"/>
      <w:bookmarkStart w:id="79" w:name="_Toc29470"/>
      <w:bookmarkStart w:id="80" w:name="_Toc6669"/>
      <w:bookmarkStart w:id="81" w:name="_Toc22499"/>
      <w:bookmarkStart w:id="82" w:name="_Toc2576"/>
      <w:bookmarkStart w:id="83" w:name="_Toc16860"/>
      <w:bookmarkStart w:id="84" w:name="_Toc5278"/>
      <w:bookmarkStart w:id="85" w:name="_Toc500"/>
      <w:bookmarkStart w:id="86" w:name="_Toc113"/>
      <w:bookmarkStart w:id="87" w:name="_Toc32145"/>
      <w:bookmarkStart w:id="88" w:name="_Toc9094"/>
      <w:r>
        <w:rPr>
          <w:rFonts w:hint="eastAsia"/>
          <w:lang w:val="en-US" w:eastAsia="zh-CN"/>
        </w:rPr>
        <w:t>1.3.</w:t>
      </w:r>
      <w:bookmarkEnd w:id="73"/>
      <w:bookmarkEnd w:id="74"/>
      <w:bookmarkEnd w:id="75"/>
      <w:bookmarkStart w:id="89" w:name="_Toc28886"/>
      <w:bookmarkStart w:id="90" w:name="_Toc29247"/>
      <w:bookmarkStart w:id="91" w:name="_Toc17294"/>
      <w:r>
        <w:rPr>
          <w:rFonts w:hint="eastAsia"/>
          <w:lang w:val="en-US" w:eastAsia="zh-CN"/>
        </w:rPr>
        <w:t>2信用信息</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4"/>
        <w:bidi w:val="0"/>
        <w:rPr>
          <w:rFonts w:hint="default" w:ascii="宋体" w:hAnsi="宋体"/>
          <w:sz w:val="28"/>
          <w:lang w:val="en-US" w:eastAsia="zh-CN"/>
        </w:rPr>
      </w:pPr>
      <w:r>
        <w:rPr>
          <w:rFonts w:hint="eastAsia" w:ascii="宋体" w:hAnsi="宋体"/>
          <w:sz w:val="28"/>
          <w:lang w:val="en-US" w:eastAsia="zh-CN"/>
        </w:rPr>
        <w:br w:type="page"/>
      </w:r>
      <w:bookmarkStart w:id="92" w:name="_Toc20437"/>
      <w:r>
        <w:rPr>
          <w:rFonts w:hint="eastAsia" w:ascii="Arial" w:hAnsi="Arial" w:eastAsia="黑体" w:cs="Times New Roman"/>
          <w:b/>
          <w:bCs/>
          <w:kern w:val="2"/>
          <w:sz w:val="32"/>
          <w:szCs w:val="32"/>
          <w:lang w:val="en-US" w:eastAsia="zh-CN" w:bidi="ar-SA"/>
        </w:rPr>
        <w:t xml:space="preserve">1.3.3 </w:t>
      </w:r>
      <w:r>
        <w:rPr>
          <w:rFonts w:hint="eastAsia" w:cs="Times New Roman"/>
          <w:b/>
          <w:bCs/>
          <w:kern w:val="2"/>
          <w:sz w:val="32"/>
          <w:szCs w:val="32"/>
          <w:lang w:val="en-US" w:eastAsia="zh-CN" w:bidi="ar-SA"/>
        </w:rPr>
        <w:t>资质要求</w:t>
      </w:r>
    </w:p>
    <w:p>
      <w:pPr>
        <w:numPr>
          <w:ilvl w:val="0"/>
          <w:numId w:val="0"/>
        </w:numPr>
        <w:rPr>
          <w:rFonts w:hint="eastAsia"/>
          <w:b/>
          <w:sz w:val="24"/>
          <w:szCs w:val="24"/>
          <w:lang w:val="en-US" w:eastAsia="zh-CN"/>
        </w:rPr>
      </w:pPr>
      <w:r>
        <w:rPr>
          <w:rFonts w:hint="eastAsia"/>
          <w:b/>
          <w:sz w:val="24"/>
          <w:szCs w:val="24"/>
          <w:lang w:val="en-US" w:eastAsia="zh-CN"/>
        </w:rPr>
        <w:t>提供背景音乐授权书文件/版权文件，并提供音乐清单列表</w:t>
      </w:r>
    </w:p>
    <w:p>
      <w:pPr>
        <w:rPr>
          <w:rFonts w:hint="eastAsia"/>
          <w:b/>
          <w:sz w:val="24"/>
          <w:szCs w:val="24"/>
          <w:lang w:val="en-US" w:eastAsia="zh-CN"/>
        </w:rPr>
      </w:pPr>
      <w:r>
        <w:rPr>
          <w:rFonts w:hint="eastAsia"/>
          <w:b/>
          <w:sz w:val="24"/>
          <w:szCs w:val="24"/>
          <w:lang w:val="en-US" w:eastAsia="zh-CN"/>
        </w:rPr>
        <w:br w:type="page"/>
      </w:r>
    </w:p>
    <w:p>
      <w:pPr>
        <w:pStyle w:val="4"/>
        <w:bidi w:val="0"/>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1.3.</w:t>
      </w:r>
      <w:r>
        <w:rPr>
          <w:rFonts w:hint="eastAsia" w:cs="Times New Roman"/>
          <w:b/>
          <w:bCs/>
          <w:kern w:val="2"/>
          <w:sz w:val="32"/>
          <w:szCs w:val="32"/>
          <w:lang w:val="en-US" w:eastAsia="zh-CN" w:bidi="ar-SA"/>
        </w:rPr>
        <w:t>4</w:t>
      </w:r>
      <w:r>
        <w:rPr>
          <w:rFonts w:hint="eastAsia" w:ascii="Arial" w:hAnsi="Arial" w:eastAsia="黑体" w:cs="Times New Roman"/>
          <w:b/>
          <w:bCs/>
          <w:kern w:val="2"/>
          <w:sz w:val="32"/>
          <w:szCs w:val="32"/>
          <w:lang w:val="en-US" w:eastAsia="zh-CN" w:bidi="ar-SA"/>
        </w:rPr>
        <w:t xml:space="preserve"> 业绩要求</w:t>
      </w:r>
    </w:p>
    <w:p>
      <w:pPr>
        <w:numPr>
          <w:ilvl w:val="0"/>
          <w:numId w:val="0"/>
        </w:numPr>
        <w:rPr>
          <w:rFonts w:hint="eastAsia" w:ascii="宋体" w:hAnsi="宋体" w:eastAsia="宋体" w:cs="宋体"/>
          <w:b w:val="0"/>
          <w:bCs/>
          <w:color w:val="0000FF"/>
          <w:sz w:val="36"/>
          <w:szCs w:val="36"/>
          <w:lang w:val="en-US" w:eastAsia="zh-CN"/>
        </w:rPr>
      </w:pPr>
      <w:r>
        <w:rPr>
          <w:rFonts w:hint="eastAsia" w:ascii="宋体" w:hAnsi="宋体" w:eastAsia="宋体" w:cs="宋体"/>
          <w:b w:val="0"/>
          <w:bCs/>
          <w:color w:val="0000FF"/>
          <w:sz w:val="36"/>
          <w:szCs w:val="36"/>
          <w:lang w:val="en-US" w:eastAsia="zh-CN"/>
        </w:rPr>
        <w:t>提供合同/采购订单/发票等证明资料</w:t>
      </w:r>
    </w:p>
    <w:p>
      <w:pPr>
        <w:rPr>
          <w:rFonts w:hint="default"/>
          <w:lang w:val="en-US" w:eastAsia="zh-CN"/>
        </w:rPr>
      </w:pPr>
    </w:p>
    <w:p>
      <w:pPr>
        <w:numPr>
          <w:ilvl w:val="0"/>
          <w:numId w:val="0"/>
        </w:numPr>
        <w:rPr>
          <w:rFonts w:hint="default"/>
          <w:b/>
          <w:sz w:val="24"/>
          <w:szCs w:val="24"/>
          <w:lang w:val="en-US" w:eastAsia="zh-CN"/>
        </w:rPr>
      </w:pPr>
      <w:r>
        <w:rPr>
          <w:rFonts w:hint="eastAsia"/>
          <w:b/>
          <w:sz w:val="24"/>
          <w:szCs w:val="24"/>
          <w:lang w:val="en-US" w:eastAsia="zh-CN"/>
        </w:rPr>
        <w:t>合同封面页示例：</w:t>
      </w:r>
    </w:p>
    <w:p>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135" cy="7176135"/>
            <wp:effectExtent l="0" t="0" r="12065" b="5715"/>
            <wp:docPr id="8" name="图片 8" descr="17743244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74324427962"/>
                    <pic:cNvPicPr>
                      <a:picLocks noChangeAspect="1"/>
                    </pic:cNvPicPr>
                  </pic:nvPicPr>
                  <pic:blipFill>
                    <a:blip r:embed="rId9"/>
                    <a:stretch>
                      <a:fillRect/>
                    </a:stretch>
                  </pic:blipFill>
                  <pic:spPr>
                    <a:xfrm>
                      <a:off x="0" y="0"/>
                      <a:ext cx="5271135" cy="7176135"/>
                    </a:xfrm>
                    <a:prstGeom prst="rect">
                      <a:avLst/>
                    </a:prstGeom>
                  </pic:spPr>
                </pic:pic>
              </a:graphicData>
            </a:graphic>
          </wp:inline>
        </w:drawing>
      </w:r>
    </w:p>
    <w:p>
      <w:pPr>
        <w:numPr>
          <w:ilvl w:val="0"/>
          <w:numId w:val="0"/>
        </w:numPr>
        <w:rPr>
          <w:rFonts w:hint="default" w:ascii="宋体" w:hAnsi="宋体" w:eastAsia="宋体" w:cs="宋体"/>
          <w:bCs/>
          <w:sz w:val="28"/>
          <w:szCs w:val="28"/>
          <w:lang w:val="en-US" w:eastAsia="zh-CN"/>
        </w:rPr>
      </w:pPr>
    </w:p>
    <w:p>
      <w:pPr>
        <w:numPr>
          <w:ilvl w:val="0"/>
          <w:numId w:val="0"/>
        </w:numPr>
        <w:rPr>
          <w:rFonts w:hint="default"/>
          <w:b/>
          <w:sz w:val="24"/>
          <w:szCs w:val="24"/>
          <w:lang w:val="en-US" w:eastAsia="zh-CN"/>
        </w:rPr>
      </w:pPr>
      <w:r>
        <w:rPr>
          <w:rFonts w:hint="eastAsia"/>
          <w:b/>
          <w:sz w:val="24"/>
          <w:szCs w:val="24"/>
          <w:lang w:val="en-US" w:eastAsia="zh-CN"/>
        </w:rPr>
        <w:t>合同概况页示例：</w:t>
      </w:r>
    </w:p>
    <w:p>
      <w:pPr>
        <w:rPr>
          <w:rFonts w:hint="default"/>
          <w:lang w:val="en-US" w:eastAsia="zh-CN"/>
        </w:rPr>
      </w:pPr>
    </w:p>
    <w:p>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3040" cy="7619365"/>
            <wp:effectExtent l="0" t="0" r="10160" b="8255"/>
            <wp:docPr id="9" name="图片 9" descr="1774324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74324494117"/>
                    <pic:cNvPicPr>
                      <a:picLocks noChangeAspect="1"/>
                    </pic:cNvPicPr>
                  </pic:nvPicPr>
                  <pic:blipFill>
                    <a:blip r:embed="rId10"/>
                    <a:stretch>
                      <a:fillRect/>
                    </a:stretch>
                  </pic:blipFill>
                  <pic:spPr>
                    <a:xfrm>
                      <a:off x="0" y="0"/>
                      <a:ext cx="5273040" cy="7619365"/>
                    </a:xfrm>
                    <a:prstGeom prst="rect">
                      <a:avLst/>
                    </a:prstGeom>
                  </pic:spPr>
                </pic:pic>
              </a:graphicData>
            </a:graphic>
          </wp:inline>
        </w:drawing>
      </w:r>
    </w:p>
    <w:p>
      <w:pPr>
        <w:rPr>
          <w:rFonts w:hint="eastAsia"/>
          <w:b/>
          <w:sz w:val="24"/>
          <w:szCs w:val="24"/>
          <w:lang w:val="en-US" w:eastAsia="zh-CN"/>
        </w:rPr>
      </w:pPr>
      <w:r>
        <w:rPr>
          <w:rFonts w:hint="eastAsia"/>
          <w:b/>
          <w:sz w:val="24"/>
          <w:szCs w:val="24"/>
          <w:lang w:val="en-US" w:eastAsia="zh-CN"/>
        </w:rPr>
        <w:br w:type="page"/>
      </w:r>
    </w:p>
    <w:p>
      <w:pPr>
        <w:numPr>
          <w:ilvl w:val="0"/>
          <w:numId w:val="0"/>
        </w:numPr>
        <w:rPr>
          <w:rFonts w:hint="default" w:ascii="宋体" w:hAnsi="宋体" w:eastAsia="宋体" w:cs="宋体"/>
          <w:bCs/>
          <w:sz w:val="28"/>
          <w:szCs w:val="28"/>
          <w:lang w:val="en-US" w:eastAsia="zh-CN"/>
        </w:rPr>
      </w:pPr>
      <w:r>
        <w:rPr>
          <w:rFonts w:hint="eastAsia"/>
          <w:b/>
          <w:sz w:val="24"/>
          <w:szCs w:val="24"/>
          <w:lang w:val="en-US" w:eastAsia="zh-CN"/>
        </w:rPr>
        <w:t>合同双方盖章落款页示例：</w:t>
      </w:r>
    </w:p>
    <w:p>
      <w:pPr>
        <w:rPr>
          <w:rFonts w:hint="default"/>
          <w:lang w:val="en-US" w:eastAsia="zh-CN"/>
        </w:rPr>
      </w:pPr>
    </w:p>
    <w:p>
      <w:pPr>
        <w:numPr>
          <w:ilvl w:val="0"/>
          <w:numId w:val="0"/>
        </w:numPr>
        <w:rPr>
          <w:rFonts w:hint="eastAsia"/>
          <w:b/>
          <w:sz w:val="24"/>
          <w:szCs w:val="24"/>
          <w:lang w:val="en-US" w:eastAsia="zh-CN"/>
        </w:rPr>
      </w:pPr>
      <w:r>
        <w:drawing>
          <wp:inline distT="0" distB="0" distL="114300" distR="114300">
            <wp:extent cx="5270500" cy="7850505"/>
            <wp:effectExtent l="0" t="0" r="12700" b="825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1"/>
                    <a:stretch>
                      <a:fillRect/>
                    </a:stretch>
                  </pic:blipFill>
                  <pic:spPr>
                    <a:xfrm>
                      <a:off x="0" y="0"/>
                      <a:ext cx="5270500" cy="7850505"/>
                    </a:xfrm>
                    <a:prstGeom prst="rect">
                      <a:avLst/>
                    </a:prstGeom>
                    <a:noFill/>
                    <a:ln>
                      <a:noFill/>
                    </a:ln>
                  </pic:spPr>
                </pic:pic>
              </a:graphicData>
            </a:graphic>
          </wp:inline>
        </w:drawing>
      </w:r>
      <w:r>
        <w:rPr>
          <w:rFonts w:hint="eastAsia"/>
          <w:b/>
          <w:sz w:val="24"/>
          <w:szCs w:val="24"/>
          <w:lang w:val="en-US" w:eastAsia="zh-CN"/>
        </w:rPr>
        <w:br w:type="page"/>
      </w:r>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65"/>
      <w:bookmarkEnd w:id="66"/>
      <w:bookmarkEnd w:id="67"/>
      <w:bookmarkEnd w:id="68"/>
      <w:bookmarkEnd w:id="69"/>
      <w:bookmarkEnd w:id="70"/>
      <w:bookmarkEnd w:id="71"/>
      <w:bookmarkEnd w:id="72"/>
      <w:bookmarkEnd w:id="92"/>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珠海正方盛泰投资有限公司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19"/>
    <w:bookmarkEnd w:id="20"/>
    <w:p>
      <w:pPr>
        <w:pStyle w:val="2"/>
        <w:rPr>
          <w:rFonts w:hint="default"/>
          <w:lang w:val="en-US" w:eastAsia="zh-CN"/>
        </w:rPr>
      </w:pPr>
    </w:p>
    <w:p>
      <w:pPr>
        <w:rPr>
          <w:rFonts w:hint="default" w:ascii="黑体" w:hAnsi="黑体" w:cs="黑体"/>
          <w:b/>
          <w:bCs w:val="0"/>
          <w:sz w:val="28"/>
          <w:szCs w:val="28"/>
          <w:lang w:val="en-US" w:eastAsia="zh-CN"/>
        </w:rPr>
      </w:pPr>
      <w:bookmarkStart w:id="93" w:name="_Toc202251078"/>
      <w:bookmarkStart w:id="94" w:name="_Toc259090996"/>
      <w:bookmarkStart w:id="95" w:name="_Toc202254108"/>
      <w:bookmarkStart w:id="96" w:name="_Toc24253"/>
      <w:bookmarkStart w:id="97" w:name="_Toc276645592"/>
      <w:bookmarkStart w:id="98" w:name="_Toc12992"/>
      <w:bookmarkStart w:id="99" w:name="_Toc3330"/>
      <w:bookmarkStart w:id="100" w:name="_Toc202252037"/>
      <w:bookmarkStart w:id="101" w:name="_Toc503427721"/>
      <w:bookmarkStart w:id="102" w:name="_Toc202819882"/>
      <w:bookmarkStart w:id="103" w:name="_Toc202820355"/>
      <w:bookmarkStart w:id="104" w:name="_Toc29543"/>
      <w:bookmarkStart w:id="105" w:name="_Toc21572"/>
      <w:bookmarkStart w:id="106" w:name="_Toc202817000"/>
      <w:bookmarkStart w:id="107" w:name="_Toc202251703"/>
      <w:r>
        <w:rPr>
          <w:rFonts w:hint="eastAsia" w:ascii="黑体" w:hAnsi="黑体" w:cs="黑体"/>
          <w:b/>
          <w:bCs w:val="0"/>
          <w:sz w:val="28"/>
          <w:szCs w:val="28"/>
          <w:lang w:val="en-US" w:eastAsia="zh-CN"/>
        </w:rPr>
        <w:br w:type="page"/>
      </w:r>
      <w:r>
        <w:rPr>
          <w:rFonts w:hint="eastAsia" w:ascii="黑体" w:hAnsi="黑体" w:cs="黑体"/>
          <w:b/>
          <w:bCs w:val="0"/>
          <w:sz w:val="28"/>
          <w:szCs w:val="28"/>
          <w:lang w:val="en-US" w:eastAsia="zh-CN"/>
        </w:rPr>
        <w:t>1.5版权合规承诺书</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b/>
          <w:bCs w:val="0"/>
          <w:sz w:val="32"/>
          <w:szCs w:val="32"/>
        </w:rPr>
      </w:pPr>
      <w:r>
        <w:rPr>
          <w:rFonts w:hint="eastAsia" w:ascii="宋体" w:hAnsi="宋体" w:eastAsia="宋体" w:cs="宋体"/>
          <w:b/>
          <w:bCs w:val="0"/>
          <w:sz w:val="32"/>
          <w:szCs w:val="32"/>
        </w:rPr>
        <w:t>版权合规承诺书</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lang w:eastAsia="zh-CN"/>
        </w:rPr>
      </w:pPr>
      <w:r>
        <w:rPr>
          <w:rFonts w:hint="eastAsia" w:ascii="宋体" w:hAnsi="宋体" w:eastAsia="宋体" w:cs="宋体"/>
          <w:b/>
          <w:bCs/>
          <w:sz w:val="22"/>
        </w:rPr>
        <w:t>珠海正方盛泰投资有限公司</w:t>
      </w:r>
      <w:r>
        <w:rPr>
          <w:rFonts w:hint="eastAsia" w:ascii="宋体" w:hAnsi="宋体" w:eastAsia="宋体" w:cs="宋体"/>
          <w:b/>
          <w:bCs/>
          <w:sz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b w:val="0"/>
          <w:bCs w:val="0"/>
        </w:rPr>
      </w:pPr>
      <w:r>
        <w:rPr>
          <w:rFonts w:hint="eastAsia" w:ascii="宋体" w:hAnsi="宋体" w:eastAsia="宋体" w:cs="宋体"/>
          <w:sz w:val="22"/>
          <w:u w:val="single"/>
          <w:lang w:val="en-US" w:eastAsia="zh-CN"/>
        </w:rPr>
        <w:t xml:space="preserve">（投标人公司名称）          </w:t>
      </w:r>
      <w:r>
        <w:rPr>
          <w:rFonts w:hint="eastAsia" w:ascii="宋体" w:hAnsi="宋体" w:eastAsia="宋体" w:cs="宋体"/>
          <w:sz w:val="22"/>
          <w:u w:val="none"/>
          <w:lang w:val="en-US" w:eastAsia="zh-CN"/>
        </w:rPr>
        <w:t>（下文简称“本单位”）</w:t>
      </w:r>
      <w:r>
        <w:rPr>
          <w:rFonts w:hint="eastAsia" w:ascii="宋体" w:hAnsi="宋体" w:eastAsia="宋体" w:cs="宋体"/>
          <w:sz w:val="22"/>
        </w:rPr>
        <w:t>作为</w:t>
      </w:r>
      <w:r>
        <w:rPr>
          <w:rFonts w:hint="eastAsia" w:ascii="宋体" w:hAnsi="宋体" w:eastAsia="宋体" w:cs="宋体"/>
          <w:sz w:val="22"/>
          <w:lang w:eastAsia="zh-CN"/>
        </w:rPr>
        <w:t>【城市阳台、城市客厅项目背景音乐服务采购</w:t>
      </w:r>
      <w:r>
        <w:rPr>
          <w:rFonts w:hint="eastAsia" w:ascii="宋体" w:hAnsi="宋体" w:eastAsia="宋体" w:cs="宋体"/>
          <w:sz w:val="22"/>
          <w:lang w:val="en-US" w:eastAsia="zh-CN"/>
        </w:rPr>
        <w:t>项目</w:t>
      </w:r>
      <w:r>
        <w:rPr>
          <w:rFonts w:hint="eastAsia" w:ascii="宋体" w:hAnsi="宋体" w:cs="宋体"/>
          <w:sz w:val="22"/>
          <w:lang w:val="en-US" w:eastAsia="zh-CN"/>
        </w:rPr>
        <w:t>（第二次</w:t>
      </w:r>
      <w:bookmarkStart w:id="108" w:name="_GoBack"/>
      <w:bookmarkEnd w:id="108"/>
      <w:r>
        <w:rPr>
          <w:rFonts w:hint="eastAsia" w:ascii="宋体" w:hAnsi="宋体" w:cs="宋体"/>
          <w:sz w:val="22"/>
          <w:lang w:val="en-US" w:eastAsia="zh-CN"/>
        </w:rPr>
        <w:t>）</w:t>
      </w:r>
      <w:r>
        <w:rPr>
          <w:rFonts w:hint="eastAsia" w:ascii="宋体" w:hAnsi="宋体" w:eastAsia="宋体" w:cs="宋体"/>
          <w:sz w:val="22"/>
          <w:lang w:eastAsia="zh-CN"/>
        </w:rPr>
        <w:t>】</w:t>
      </w:r>
      <w:r>
        <w:rPr>
          <w:rFonts w:hint="eastAsia" w:ascii="宋体" w:hAnsi="宋体" w:eastAsia="宋体" w:cs="宋体"/>
          <w:sz w:val="22"/>
        </w:rPr>
        <w:t>投标人，现就项目音乐版权合规事宜，</w:t>
      </w:r>
      <w:r>
        <w:rPr>
          <w:rFonts w:hint="eastAsia" w:ascii="宋体" w:hAnsi="宋体" w:eastAsia="宋体" w:cs="宋体"/>
          <w:b w:val="0"/>
          <w:bCs w:val="0"/>
          <w:sz w:val="22"/>
          <w:lang w:val="en-US" w:eastAsia="zh-CN"/>
        </w:rPr>
        <w:t>对</w:t>
      </w:r>
      <w:r>
        <w:rPr>
          <w:rFonts w:hint="eastAsia" w:ascii="宋体" w:hAnsi="宋体" w:eastAsia="宋体" w:cs="宋体"/>
          <w:b w:val="0"/>
          <w:bCs w:val="0"/>
          <w:sz w:val="22"/>
          <w:u w:val="single"/>
        </w:rPr>
        <w:t>珠海正方盛泰投资有限公司</w:t>
      </w:r>
      <w:r>
        <w:rPr>
          <w:rFonts w:hint="eastAsia" w:ascii="宋体" w:hAnsi="宋体" w:eastAsia="宋体" w:cs="宋体"/>
          <w:b w:val="0"/>
          <w:bCs w:val="0"/>
          <w:sz w:val="22"/>
          <w:u w:val="none"/>
          <w:lang w:val="en-US" w:eastAsia="zh-CN"/>
        </w:rPr>
        <w:t>（下文简称“采购人”）</w:t>
      </w:r>
      <w:r>
        <w:rPr>
          <w:rFonts w:hint="eastAsia" w:ascii="宋体" w:hAnsi="宋体" w:eastAsia="宋体" w:cs="宋体"/>
          <w:b w:val="0"/>
          <w:bCs w:val="0"/>
          <w:sz w:val="22"/>
        </w:rPr>
        <w:t>作出不可撤销的郑重承诺：</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rPr>
      </w:pPr>
      <w:r>
        <w:rPr>
          <w:rFonts w:hint="eastAsia" w:ascii="宋体" w:hAnsi="宋体" w:eastAsia="宋体" w:cs="宋体"/>
          <w:sz w:val="22"/>
          <w:lang w:val="en-US" w:eastAsia="zh-CN"/>
        </w:rPr>
        <w:t>1、</w:t>
      </w:r>
      <w:r>
        <w:rPr>
          <w:rFonts w:hint="eastAsia" w:ascii="宋体" w:hAnsi="宋体" w:eastAsia="宋体" w:cs="宋体"/>
          <w:sz w:val="22"/>
        </w:rPr>
        <w:t>本单位为本项目提供的全部背景音乐、录音制品，均合法拥有完整、无争议的商用版权。</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rPr>
      </w:pPr>
      <w:r>
        <w:rPr>
          <w:rFonts w:hint="eastAsia" w:ascii="宋体" w:hAnsi="宋体" w:eastAsia="宋体" w:cs="宋体"/>
          <w:sz w:val="22"/>
          <w:lang w:val="en-US" w:eastAsia="zh-CN"/>
        </w:rPr>
        <w:t>2、</w:t>
      </w:r>
      <w:r>
        <w:rPr>
          <w:rFonts w:hint="eastAsia" w:ascii="宋体" w:hAnsi="宋体" w:eastAsia="宋体" w:cs="宋体"/>
          <w:sz w:val="22"/>
        </w:rPr>
        <w:t>本单位所供曲目包含音著协、音集协</w:t>
      </w:r>
      <w:r>
        <w:rPr>
          <w:rFonts w:hint="eastAsia" w:ascii="宋体" w:hAnsi="宋体" w:eastAsia="宋体" w:cs="宋体"/>
          <w:sz w:val="22"/>
          <w:lang w:val="en-US" w:eastAsia="zh-CN"/>
        </w:rPr>
        <w:t>或其他合法组织、机构、公司、个人</w:t>
      </w:r>
      <w:r>
        <w:rPr>
          <w:rFonts w:hint="eastAsia" w:ascii="宋体" w:hAnsi="宋体" w:eastAsia="宋体" w:cs="宋体"/>
          <w:sz w:val="22"/>
        </w:rPr>
        <w:t>批量授权曲目及自有独立版权、海外版权曲目的，均具备合法完整的授权链路，授权范围明确包含中国大陆商业商场经营性公播场景，授权期限覆盖本项目全部服务周期；海外版权文件均配套</w:t>
      </w:r>
      <w:r>
        <w:rPr>
          <w:rFonts w:hint="eastAsia" w:ascii="宋体" w:hAnsi="宋体" w:eastAsia="宋体" w:cs="宋体"/>
          <w:sz w:val="22"/>
          <w:lang w:val="en-US" w:eastAsia="zh-CN"/>
        </w:rPr>
        <w:t>中国大陆合法备案证书</w:t>
      </w:r>
      <w:r>
        <w:rPr>
          <w:rFonts w:hint="eastAsia" w:ascii="宋体" w:hAnsi="宋体" w:eastAsia="宋体" w:cs="宋体"/>
          <w:sz w:val="22"/>
        </w:rPr>
        <w:t>。</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b w:val="0"/>
          <w:bCs w:val="0"/>
        </w:rPr>
      </w:pPr>
      <w:r>
        <w:rPr>
          <w:rFonts w:hint="eastAsia" w:ascii="宋体" w:hAnsi="宋体" w:eastAsia="宋体" w:cs="宋体"/>
          <w:b w:val="0"/>
          <w:bCs w:val="0"/>
          <w:sz w:val="22"/>
          <w:lang w:val="en-US" w:eastAsia="zh-CN"/>
        </w:rPr>
        <w:t>3、</w:t>
      </w:r>
      <w:r>
        <w:rPr>
          <w:rFonts w:hint="eastAsia" w:ascii="宋体" w:hAnsi="宋体" w:eastAsia="宋体" w:cs="宋体"/>
          <w:b w:val="0"/>
          <w:bCs w:val="0"/>
          <w:sz w:val="22"/>
        </w:rPr>
        <w:t>本单位提供的音乐授权为线下商业公播专用权利，非仅线上流媒体等有限授权，完全适配商场公共区域常态化、分区、定时背景音乐播放需求。服务期内，采购人无需另行向任何第三方机构、版权方支付版权相关费用。</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b w:val="0"/>
          <w:bCs w:val="0"/>
        </w:rPr>
      </w:pPr>
      <w:r>
        <w:rPr>
          <w:rFonts w:hint="eastAsia" w:ascii="宋体" w:hAnsi="宋体" w:eastAsia="宋体" w:cs="宋体"/>
          <w:b w:val="0"/>
          <w:bCs w:val="0"/>
          <w:sz w:val="22"/>
          <w:lang w:val="en-US" w:eastAsia="zh-CN"/>
        </w:rPr>
        <w:t>4、</w:t>
      </w:r>
      <w:r>
        <w:rPr>
          <w:rFonts w:hint="eastAsia" w:ascii="宋体" w:hAnsi="宋体" w:eastAsia="宋体" w:cs="宋体"/>
          <w:b w:val="0"/>
          <w:bCs w:val="0"/>
          <w:sz w:val="22"/>
        </w:rPr>
        <w:t>若因本单位提供的音乐存在权属瑕疵、授权过期、权限不足、侵权等任何版权问题，导致采购人遭遇第三方投诉、索赔、诉讼、行政处罚及商誉、经济损失的，所有赔偿费用、诉讼费用、整改成本及全部间接损失均由本单位全额承担，采购人不承担任何连带责任。</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rPr>
      </w:pPr>
      <w:r>
        <w:rPr>
          <w:rFonts w:hint="eastAsia" w:ascii="宋体" w:hAnsi="宋体" w:eastAsia="宋体" w:cs="宋体"/>
          <w:sz w:val="22"/>
        </w:rPr>
        <w:t>因版权问题造成服务中断、合同无法履约的，本单位自愿退还全部已收服务费用，并承担相应合同违约责任。</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rPr>
      </w:pPr>
      <w:r>
        <w:rPr>
          <w:rFonts w:hint="eastAsia" w:ascii="宋体" w:hAnsi="宋体" w:eastAsia="宋体" w:cs="宋体"/>
          <w:sz w:val="22"/>
          <w:lang w:val="en-US" w:eastAsia="zh-CN"/>
        </w:rPr>
        <w:t>5、</w:t>
      </w:r>
      <w:r>
        <w:rPr>
          <w:rFonts w:hint="eastAsia" w:ascii="宋体" w:hAnsi="宋体" w:eastAsia="宋体" w:cs="宋体"/>
          <w:sz w:val="22"/>
        </w:rPr>
        <w:t>本单位承诺服务期内不使用盗版、无授权、过期版权音乐，定期更新合规曲库，主动清理违规失效曲目，接受采购人及评标单位核查，无任何伪造授权、挂靠资质等弄虚作假行为。</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default" w:ascii="宋体" w:hAnsi="宋体" w:eastAsia="宋体" w:cs="宋体"/>
          <w:lang w:val="en-US" w:eastAsia="zh-CN"/>
        </w:rPr>
      </w:pPr>
      <w:r>
        <w:rPr>
          <w:rFonts w:hint="eastAsia" w:ascii="宋体" w:hAnsi="宋体" w:eastAsia="宋体" w:cs="宋体"/>
          <w:sz w:val="22"/>
        </w:rPr>
        <w:t>本承诺书具备合同同等法律效力，</w:t>
      </w:r>
      <w:r>
        <w:rPr>
          <w:rFonts w:hint="eastAsia" w:ascii="宋体" w:hAnsi="宋体" w:eastAsia="宋体" w:cs="宋体"/>
          <w:sz w:val="22"/>
          <w:lang w:val="en-US" w:eastAsia="zh-CN"/>
        </w:rPr>
        <w:t>中标后将作为合同附件</w:t>
      </w:r>
      <w:r>
        <w:rPr>
          <w:rFonts w:hint="eastAsia" w:ascii="宋体" w:hAnsi="宋体" w:cs="宋体"/>
          <w:sz w:val="22"/>
          <w:lang w:val="en-US" w:eastAsia="zh-CN"/>
        </w:rPr>
        <w:t>，</w:t>
      </w:r>
      <w:r>
        <w:rPr>
          <w:rFonts w:hint="eastAsia" w:ascii="宋体" w:hAnsi="宋体" w:eastAsia="宋体" w:cs="宋体"/>
          <w:sz w:val="22"/>
        </w:rPr>
        <w:t>内容真实有效，一经出具不可撤销</w:t>
      </w:r>
      <w:r>
        <w:rPr>
          <w:rFonts w:hint="eastAsia" w:ascii="宋体" w:hAnsi="宋体" w:eastAsia="宋体" w:cs="宋体"/>
          <w:sz w:val="2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sz w:val="22"/>
        </w:rPr>
        <w:t>特此承诺！</w:t>
      </w:r>
    </w:p>
    <w:p>
      <w:pPr>
        <w:wordWrap w:val="0"/>
        <w:spacing w:before="120" w:after="120" w:line="288" w:lineRule="auto"/>
        <w:ind w:left="0"/>
        <w:jc w:val="right"/>
        <w:rPr>
          <w:rFonts w:hint="default" w:ascii="宋体" w:hAnsi="宋体" w:eastAsia="宋体" w:cs="宋体"/>
          <w:lang w:val="en-US" w:eastAsia="zh-CN"/>
        </w:rPr>
      </w:pPr>
      <w:r>
        <w:rPr>
          <w:rFonts w:hint="eastAsia" w:ascii="宋体" w:hAnsi="宋体" w:eastAsia="宋体" w:cs="宋体"/>
          <w:sz w:val="22"/>
        </w:rPr>
        <w:t>承诺单位（盖章）：</w:t>
      </w:r>
      <w:r>
        <w:rPr>
          <w:rFonts w:hint="eastAsia" w:ascii="宋体" w:hAnsi="宋体" w:eastAsia="宋体" w:cs="宋体"/>
          <w:sz w:val="22"/>
          <w:lang w:val="en-US" w:eastAsia="zh-CN"/>
        </w:rPr>
        <w:t xml:space="preserve">      </w:t>
      </w:r>
    </w:p>
    <w:p>
      <w:pPr>
        <w:wordWrap w:val="0"/>
        <w:spacing w:before="120" w:after="120" w:line="288" w:lineRule="auto"/>
        <w:ind w:left="0"/>
        <w:jc w:val="right"/>
        <w:rPr>
          <w:rFonts w:hint="default" w:ascii="宋体" w:hAnsi="宋体" w:eastAsia="宋体" w:cs="宋体"/>
          <w:lang w:val="en-US" w:eastAsia="zh-CN"/>
        </w:rPr>
      </w:pPr>
      <w:r>
        <w:rPr>
          <w:rFonts w:hint="eastAsia" w:ascii="宋体" w:hAnsi="宋体" w:eastAsia="宋体" w:cs="宋体"/>
          <w:sz w:val="22"/>
        </w:rPr>
        <w:t>法定代表人/授权代表人（签字）：</w:t>
      </w:r>
      <w:r>
        <w:rPr>
          <w:rFonts w:hint="eastAsia" w:ascii="宋体" w:hAnsi="宋体" w:eastAsia="宋体" w:cs="宋体"/>
          <w:sz w:val="22"/>
          <w:lang w:val="en-US" w:eastAsia="zh-CN"/>
        </w:rPr>
        <w:t xml:space="preserve">      </w:t>
      </w:r>
    </w:p>
    <w:p>
      <w:pPr>
        <w:jc w:val="right"/>
        <w:rPr>
          <w:rFonts w:hint="eastAsia" w:ascii="黑体" w:hAnsi="黑体" w:cs="黑体"/>
          <w:b/>
          <w:bCs w:val="0"/>
          <w:sz w:val="28"/>
          <w:szCs w:val="28"/>
          <w:lang w:val="en-US" w:eastAsia="zh-CN"/>
        </w:rPr>
      </w:pPr>
      <w:r>
        <w:rPr>
          <w:rFonts w:hint="eastAsia" w:ascii="宋体" w:hAnsi="宋体" w:eastAsia="宋体" w:cs="宋体"/>
          <w:sz w:val="22"/>
        </w:rPr>
        <w:t>日期：</w:t>
      </w:r>
      <w:r>
        <w:rPr>
          <w:rFonts w:hint="eastAsia" w:ascii="宋体" w:hAnsi="宋体" w:eastAsia="宋体" w:cs="宋体"/>
          <w:sz w:val="22"/>
          <w:lang w:val="en-US" w:eastAsia="zh-CN"/>
        </w:rPr>
        <w:t xml:space="preserve">    </w:t>
      </w:r>
      <w:r>
        <w:rPr>
          <w:rFonts w:hint="eastAsia" w:ascii="宋体" w:hAnsi="宋体" w:eastAsia="宋体" w:cs="宋体"/>
          <w:sz w:val="22"/>
        </w:rPr>
        <w:t>年</w:t>
      </w:r>
      <w:r>
        <w:rPr>
          <w:rFonts w:hint="eastAsia" w:ascii="宋体" w:hAnsi="宋体" w:eastAsia="宋体" w:cs="宋体"/>
          <w:sz w:val="22"/>
          <w:lang w:val="en-US" w:eastAsia="zh-CN"/>
        </w:rPr>
        <w:t xml:space="preserve">  </w:t>
      </w:r>
      <w:r>
        <w:rPr>
          <w:rFonts w:hint="eastAsia" w:ascii="宋体" w:hAnsi="宋体" w:eastAsia="宋体" w:cs="宋体"/>
          <w:sz w:val="22"/>
        </w:rPr>
        <w:t>月</w:t>
      </w:r>
      <w:r>
        <w:rPr>
          <w:rFonts w:hint="eastAsia" w:ascii="宋体" w:hAnsi="宋体" w:eastAsia="宋体" w:cs="宋体"/>
          <w:sz w:val="22"/>
          <w:lang w:val="en-US" w:eastAsia="zh-CN"/>
        </w:rPr>
        <w:t xml:space="preserve">  </w:t>
      </w:r>
      <w:r>
        <w:rPr>
          <w:rFonts w:hint="eastAsia" w:ascii="宋体" w:hAnsi="宋体" w:eastAsia="宋体" w:cs="宋体"/>
          <w:sz w:val="22"/>
        </w:rPr>
        <w:t>日</w:t>
      </w:r>
      <w:r>
        <w:rPr>
          <w:rFonts w:hint="eastAsia" w:ascii="黑体" w:hAnsi="黑体" w:cs="黑体"/>
          <w:b/>
          <w:bCs w:val="0"/>
          <w:sz w:val="28"/>
          <w:szCs w:val="28"/>
          <w:lang w:val="en-US" w:eastAsia="zh-CN"/>
        </w:rPr>
        <w:br w:type="page"/>
      </w:r>
    </w:p>
    <w:p>
      <w:pPr>
        <w:pStyle w:val="2"/>
        <w:rPr>
          <w:rFonts w:hint="eastAsia"/>
          <w:lang w:val="en-US" w:eastAsia="zh-CN"/>
        </w:rPr>
      </w:pP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spacing w:line="500" w:lineRule="exact"/>
        <w:jc w:val="left"/>
        <w:rPr>
          <w:rStyle w:val="18"/>
          <w:rFonts w:hint="default" w:ascii="Times New Roman" w:hAnsi="Times New Roman" w:cs="Times New Roman"/>
          <w:color w:val="auto"/>
          <w:sz w:val="36"/>
          <w:szCs w:val="36"/>
        </w:rPr>
      </w:pPr>
      <w:r>
        <w:rPr>
          <w:rStyle w:val="18"/>
          <w:rFonts w:hint="eastAsia" w:cs="Times New Roman"/>
          <w:color w:val="auto"/>
          <w:sz w:val="36"/>
          <w:szCs w:val="36"/>
          <w:lang w:val="en-US" w:eastAsia="zh-CN"/>
        </w:rPr>
        <w:t>2.1</w:t>
      </w:r>
      <w:r>
        <w:rPr>
          <w:rStyle w:val="18"/>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珠海正方盛泰投资有限公司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城市阳台、城市客厅项目背景音乐服务采购（第二次）</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8"/>
          <w:rFonts w:hint="default" w:ascii="Times New Roman" w:hAnsi="Times New Roman" w:cs="Times New Roman"/>
          <w:color w:val="auto"/>
          <w:sz w:val="40"/>
          <w:szCs w:val="30"/>
        </w:rPr>
        <w:t>报 价 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permStart w:id="10" w:edGrp="everyone"/>
      <w:r>
        <w:rPr>
          <w:rFonts w:hint="eastAsia" w:cs="Times New Roman"/>
          <w:color w:val="auto"/>
          <w:sz w:val="24"/>
          <w:szCs w:val="24"/>
          <w:lang w:eastAsia="zh-CN"/>
        </w:rPr>
        <w:t>（</w:t>
      </w:r>
      <w:r>
        <w:rPr>
          <w:rFonts w:hint="eastAsia" w:cs="Times New Roman"/>
          <w:color w:val="auto"/>
          <w:sz w:val="24"/>
          <w:szCs w:val="24"/>
          <w:lang w:val="en-US" w:eastAsia="zh-CN"/>
        </w:rPr>
        <w:t>珠海正方盛泰投资有限公司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10"/>
    <w:p>
      <w:pPr>
        <w:spacing w:line="360" w:lineRule="auto"/>
        <w:ind w:firstLine="480" w:firstLineChars="200"/>
        <w:rPr>
          <w:rFonts w:hint="eastAsia" w:cs="Times New Roman"/>
          <w:color w:val="auto"/>
          <w:sz w:val="24"/>
          <w:szCs w:val="24"/>
          <w:lang w:val="en-US" w:eastAsia="zh-CN"/>
        </w:rPr>
      </w:pPr>
      <w:r>
        <w:rPr>
          <w:rFonts w:hint="default" w:ascii="Times New Roman" w:hAnsi="Times New Roman" w:eastAsia="宋体" w:cs="Times New Roman"/>
          <w:color w:val="auto"/>
          <w:sz w:val="24"/>
          <w:szCs w:val="24"/>
        </w:rPr>
        <w:t>根据已收到的</w:t>
      </w:r>
      <w:permStart w:id="11" w:edGrp="everyone"/>
      <w:r>
        <w:rPr>
          <w:rFonts w:hint="eastAsia" w:cs="Times New Roman"/>
          <w:color w:val="auto"/>
          <w:sz w:val="24"/>
          <w:szCs w:val="24"/>
          <w:lang w:eastAsia="zh-CN"/>
        </w:rPr>
        <w:t>城市阳台、城市客厅项目背景音乐服务采购（第二次）</w:t>
      </w:r>
      <w:permEnd w:id="11"/>
      <w:r>
        <w:rPr>
          <w:rFonts w:hint="default" w:ascii="Times New Roman" w:hAnsi="Times New Roman" w:eastAsia="宋体" w:cs="Times New Roman"/>
          <w:color w:val="auto"/>
          <w:sz w:val="24"/>
          <w:szCs w:val="24"/>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4"/>
          <w:szCs w:val="24"/>
          <w:lang w:eastAsia="zh-CN"/>
        </w:rPr>
        <w:t>：</w:t>
      </w:r>
      <w:r>
        <w:rPr>
          <w:rFonts w:hint="eastAsia" w:cs="Times New Roman"/>
          <w:color w:val="auto"/>
          <w:sz w:val="24"/>
          <w:szCs w:val="24"/>
          <w:u w:val="single"/>
          <w:lang w:val="en-US" w:eastAsia="zh-CN"/>
        </w:rPr>
        <w:t xml:space="preserve">                </w:t>
      </w:r>
      <w:r>
        <w:rPr>
          <w:rFonts w:hint="default" w:ascii="Times New Roman" w:hAnsi="Times New Roman" w:eastAsia="宋体" w:cs="Times New Roman"/>
          <w:color w:val="auto"/>
          <w:sz w:val="24"/>
          <w:szCs w:val="24"/>
        </w:rPr>
        <w:t>元 （¥</w:t>
      </w:r>
      <w:r>
        <w:rPr>
          <w:rFonts w:hint="default" w:ascii="Times New Roman" w:hAnsi="Times New Roman" w:eastAsia="宋体" w:cs="Times New Roman"/>
          <w:color w:val="auto"/>
          <w:sz w:val="24"/>
          <w:szCs w:val="24"/>
          <w:u w:val="single"/>
        </w:rPr>
        <w:t xml:space="preserve">          </w:t>
      </w:r>
      <w:r>
        <w:rPr>
          <w:rFonts w:hint="default" w:ascii="Times New Roman" w:hAnsi="Times New Roman" w:eastAsia="宋体" w:cs="Times New Roman"/>
          <w:color w:val="auto"/>
          <w:sz w:val="24"/>
          <w:szCs w:val="24"/>
        </w:rPr>
        <w:t>元</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）承接</w:t>
      </w:r>
      <w:permStart w:id="12" w:edGrp="everyone"/>
      <w:r>
        <w:rPr>
          <w:rFonts w:hint="eastAsia" w:cs="Times New Roman"/>
          <w:color w:val="auto"/>
          <w:sz w:val="24"/>
          <w:szCs w:val="24"/>
          <w:lang w:eastAsia="zh-CN"/>
        </w:rPr>
        <w:t>城市阳台、城市客厅项目背景音乐服务采购（第二次）</w:t>
      </w:r>
      <w:permEnd w:id="12"/>
      <w:r>
        <w:rPr>
          <w:rFonts w:hint="default" w:ascii="Times New Roman" w:hAnsi="Times New Roman" w:eastAsia="宋体" w:cs="Times New Roman"/>
          <w:color w:val="auto"/>
          <w:sz w:val="24"/>
          <w:szCs w:val="24"/>
        </w:rPr>
        <w:t>项目</w:t>
      </w:r>
      <w:r>
        <w:rPr>
          <w:rFonts w:hint="eastAsia" w:cs="Times New Roman"/>
          <w:color w:val="auto"/>
          <w:sz w:val="24"/>
          <w:szCs w:val="24"/>
          <w:lang w:eastAsia="zh-CN"/>
        </w:rPr>
        <w:t>，</w:t>
      </w:r>
      <w:r>
        <w:rPr>
          <w:rFonts w:hint="eastAsia" w:cs="Times New Roman"/>
          <w:color w:val="auto"/>
          <w:sz w:val="24"/>
          <w:szCs w:val="24"/>
          <w:lang w:val="en-US" w:eastAsia="zh-CN"/>
        </w:rPr>
        <w:t>最终按固定单价据实验收结算，具体详见附件报价清单（另册）。</w:t>
      </w:r>
    </w:p>
    <w:tbl>
      <w:tblPr>
        <w:tblStyle w:val="15"/>
        <w:tblW w:w="92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76"/>
        <w:gridCol w:w="1065"/>
        <w:gridCol w:w="3406"/>
        <w:gridCol w:w="589"/>
        <w:gridCol w:w="589"/>
        <w:gridCol w:w="1178"/>
        <w:gridCol w:w="1230"/>
        <w:gridCol w:w="7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476" w:type="dxa"/>
            <w:vMerge w:val="restart"/>
            <w:tcBorders>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065" w:type="dxa"/>
            <w:vMerge w:val="restart"/>
            <w:tcBorders>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406" w:type="dxa"/>
            <w:vMerge w:val="restart"/>
            <w:tcBorders>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589" w:type="dxa"/>
            <w:vMerge w:val="restart"/>
            <w:tcBorders>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589" w:type="dxa"/>
            <w:vMerge w:val="restart"/>
            <w:tcBorders>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lang w:val="en-US" w:eastAsia="zh-CN"/>
              </w:rPr>
            </w:pPr>
            <w:r>
              <w:rPr>
                <w:rFonts w:hint="eastAsia" w:ascii="宋体" w:hAnsi="宋体" w:eastAsia="宋体" w:cs="宋体"/>
                <w:b/>
                <w:i w:val="0"/>
                <w:color w:val="000000"/>
                <w:sz w:val="24"/>
                <w:szCs w:val="24"/>
                <w:u w:val="none"/>
                <w:lang w:val="en-US" w:eastAsia="zh-CN"/>
              </w:rPr>
              <w:t>数量</w:t>
            </w:r>
          </w:p>
        </w:tc>
        <w:tc>
          <w:tcPr>
            <w:tcW w:w="2408" w:type="dxa"/>
            <w:gridSpan w:val="2"/>
            <w:tcBorders>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720" w:type="dxa"/>
            <w:vMerge w:val="restart"/>
            <w:tcBorders>
              <w:lef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476" w:type="dxa"/>
            <w:vMerge w:val="continue"/>
            <w:tcBorders>
              <w:top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340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预算金额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报价金额 </w:t>
            </w:r>
          </w:p>
        </w:tc>
        <w:tc>
          <w:tcPr>
            <w:tcW w:w="720" w:type="dxa"/>
            <w:vMerge w:val="continue"/>
            <w:tcBorders>
              <w:left w:val="single" w:color="000000" w:sz="4" w:space="0"/>
              <w:bottom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1497" w:hRule="atLeast"/>
        </w:trPr>
        <w:tc>
          <w:tcPr>
            <w:tcW w:w="476" w:type="dxa"/>
            <w:tcBorders>
              <w:top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城市阳台项目内场背景音乐服务</w:t>
            </w:r>
          </w:p>
        </w:tc>
        <w:tc>
          <w:tcPr>
            <w:tcW w:w="3406" w:type="dxa"/>
            <w:vMerge w:val="restart"/>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1、核心服务内容及标准：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1）正版音源库搭建与更新服务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2）远程智能播放管控服务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3）全域分区播放适配服务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4）全年节日氛围音乐专项服务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5）日常运维与故障保障服务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2、服务期限一年，两个项目服务起始时间有差异，以甲方通知为准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3、两个项目可采用相同的音乐曲目清单</w:t>
            </w:r>
          </w:p>
        </w:tc>
        <w:tc>
          <w:tcPr>
            <w:tcW w:w="58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589" w:type="dxa"/>
            <w:tcBorders>
              <w:top w:val="nil"/>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78" w:type="dxa"/>
            <w:tcBorders>
              <w:top w:val="nil"/>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9600.00</w:t>
            </w:r>
          </w:p>
        </w:tc>
        <w:tc>
          <w:tcPr>
            <w:tcW w:w="1230"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20" w:type="dxa"/>
            <w:vMerge w:val="restart"/>
            <w:tcBorders>
              <w:top w:val="single" w:color="000000" w:sz="4" w:space="0"/>
              <w:left w:val="single" w:color="000000" w:sz="4" w:space="0"/>
            </w:tcBorders>
            <w:shd w:val="clear" w:color="auto" w:fill="auto"/>
            <w:tcMar>
              <w:top w:w="13" w:type="dxa"/>
              <w:left w:w="13" w:type="dxa"/>
              <w:right w:w="13" w:type="dxa"/>
            </w:tcMar>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rPr>
              <w:t>由</w:t>
            </w:r>
            <w:r>
              <w:rPr>
                <w:rFonts w:hint="eastAsia" w:ascii="宋体" w:hAnsi="宋体" w:eastAsia="宋体" w:cs="宋体"/>
                <w:i w:val="0"/>
                <w:color w:val="000000"/>
                <w:sz w:val="22"/>
                <w:szCs w:val="22"/>
                <w:u w:val="none"/>
                <w:lang w:val="en-US" w:eastAsia="zh-CN"/>
              </w:rPr>
              <w:t>中标</w:t>
            </w:r>
            <w:r>
              <w:rPr>
                <w:rFonts w:hint="eastAsia" w:ascii="宋体" w:hAnsi="宋体" w:eastAsia="宋体" w:cs="宋体"/>
                <w:i w:val="0"/>
                <w:color w:val="000000"/>
                <w:sz w:val="22"/>
                <w:szCs w:val="22"/>
                <w:u w:val="none"/>
              </w:rPr>
              <w:t>公司承担任何侵权行为</w:t>
            </w:r>
            <w:r>
              <w:rPr>
                <w:rFonts w:hint="eastAsia" w:ascii="宋体" w:hAnsi="宋体" w:eastAsia="宋体" w:cs="宋体"/>
                <w:i w:val="0"/>
                <w:color w:val="000000"/>
                <w:sz w:val="22"/>
                <w:szCs w:val="22"/>
                <w:u w:val="none"/>
                <w:lang w:eastAsia="zh-CN"/>
              </w:rPr>
              <w:t>的</w:t>
            </w:r>
            <w:r>
              <w:rPr>
                <w:rFonts w:hint="eastAsia" w:ascii="宋体" w:hAnsi="宋体" w:eastAsia="宋体" w:cs="宋体"/>
                <w:i w:val="0"/>
                <w:color w:val="000000"/>
                <w:sz w:val="22"/>
                <w:szCs w:val="22"/>
                <w:u w:val="none"/>
              </w:rPr>
              <w:t>法律责任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1306" w:hRule="atLeast"/>
        </w:trPr>
        <w:tc>
          <w:tcPr>
            <w:tcW w:w="476" w:type="dxa"/>
            <w:tcBorders>
              <w:top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城市客厅项目内场背景音乐服务</w:t>
            </w:r>
          </w:p>
        </w:tc>
        <w:tc>
          <w:tcPr>
            <w:tcW w:w="3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jc w:val="left"/>
              <w:rPr>
                <w:rFonts w:hint="eastAsia" w:ascii="宋体" w:hAnsi="宋体" w:eastAsia="宋体" w:cs="宋体"/>
                <w:i w:val="0"/>
                <w:color w:val="000000"/>
                <w:sz w:val="22"/>
                <w:szCs w:val="22"/>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589" w:type="dxa"/>
            <w:tcBorders>
              <w:top w:val="nil"/>
              <w:left w:val="single" w:color="000000" w:sz="4" w:space="0"/>
              <w:bottom w:val="single" w:color="000000" w:sz="4" w:space="0"/>
              <w:right w:val="single" w:color="auto" w:sz="4" w:space="0"/>
            </w:tcBorders>
            <w:shd w:val="clear" w:color="auto" w:fill="auto"/>
            <w:noWrap/>
            <w:tcMar>
              <w:top w:w="13" w:type="dxa"/>
              <w:left w:w="13" w:type="dxa"/>
              <w:right w:w="13" w:type="dxa"/>
            </w:tcMar>
            <w:vAlign w:val="center"/>
          </w:tcPr>
          <w:p>
            <w:pPr>
              <w:widowControl/>
              <w:jc w:val="center"/>
              <w:textAlignment w:val="center"/>
              <w:rPr>
                <w:rFonts w:hint="eastAsia"/>
              </w:rPr>
            </w:pPr>
            <w:r>
              <w:rPr>
                <w:rFonts w:hint="eastAsia"/>
                <w:lang w:val="en-US" w:eastAsia="zh-CN"/>
              </w:rPr>
              <w:t>1</w:t>
            </w:r>
          </w:p>
        </w:tc>
        <w:tc>
          <w:tcPr>
            <w:tcW w:w="1178" w:type="dxa"/>
            <w:tcBorders>
              <w:top w:val="nil"/>
              <w:left w:val="single" w:color="auto"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9600.00</w:t>
            </w:r>
          </w:p>
        </w:tc>
        <w:tc>
          <w:tcPr>
            <w:tcW w:w="1230"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20" w:type="dxa"/>
            <w:vMerge w:val="continue"/>
            <w:tcBorders>
              <w:left w:val="single" w:color="000000" w:sz="4" w:space="0"/>
              <w:bottom w:val="nil"/>
            </w:tcBorders>
            <w:shd w:val="clear" w:color="auto" w:fill="auto"/>
            <w:tcMar>
              <w:top w:w="13" w:type="dxa"/>
              <w:left w:w="13" w:type="dxa"/>
              <w:right w:w="13" w:type="dxa"/>
            </w:tcMar>
            <w:vAlign w:val="center"/>
          </w:tcPr>
          <w:p>
            <w:pPr>
              <w:rPr>
                <w:rFonts w:hint="eastAsia" w:ascii="宋体" w:hAnsi="宋体" w:eastAsia="宋体" w:cs="宋体"/>
                <w:i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476" w:type="dxa"/>
            <w:tcBorders>
              <w:top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49" w:type="dxa"/>
            <w:gridSpan w:val="4"/>
            <w:tcBorders>
              <w:top w:val="single" w:color="000000" w:sz="4" w:space="0"/>
              <w:left w:val="single" w:color="000000"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合计</w:t>
            </w:r>
          </w:p>
        </w:tc>
        <w:tc>
          <w:tcPr>
            <w:tcW w:w="1178" w:type="dxa"/>
            <w:tcBorders>
              <w:top w:val="single" w:color="000000" w:sz="4" w:space="0"/>
              <w:left w:val="single" w:color="auto" w:sz="4" w:space="0"/>
              <w:right w:val="single" w:color="000000"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19200.00</w:t>
            </w:r>
          </w:p>
        </w:tc>
        <w:tc>
          <w:tcPr>
            <w:tcW w:w="1230" w:type="dxa"/>
            <w:tcBorders>
              <w:top w:val="single" w:color="000000" w:sz="4" w:space="0"/>
              <w:left w:val="nil"/>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20" w:type="dxa"/>
            <w:tcBorders>
              <w:top w:val="single" w:color="000000" w:sz="4" w:space="0"/>
              <w:lef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r>
    </w:tbl>
    <w:p>
      <w:pPr>
        <w:pStyle w:val="2"/>
        <w:spacing w:line="312" w:lineRule="auto"/>
        <w:ind w:left="0" w:leftChars="0"/>
        <w:rPr>
          <w:rFonts w:hint="default" w:ascii="Times New Roman" w:hAnsi="Times New Roman" w:eastAsia="宋体" w:cs="Times New Roman"/>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w:t>
      </w:r>
      <w:r>
        <w:rPr>
          <w:rFonts w:hint="eastAsia" w:ascii="宋体" w:hAnsi="宋体" w:cs="宋体"/>
          <w:i w:val="0"/>
          <w:color w:val="000000"/>
          <w:kern w:val="0"/>
          <w:sz w:val="24"/>
          <w:szCs w:val="24"/>
          <w:u w:val="none"/>
          <w:lang w:val="en-US" w:eastAsia="zh-CN" w:bidi="ar"/>
        </w:rPr>
        <w:t>人民币</w:t>
      </w:r>
      <w:r>
        <w:rPr>
          <w:rFonts w:hint="eastAsia" w:ascii="宋体" w:hAnsi="宋体" w:eastAsia="宋体" w:cs="宋体"/>
          <w:i w:val="0"/>
          <w:color w:val="000000"/>
          <w:kern w:val="0"/>
          <w:sz w:val="24"/>
          <w:szCs w:val="24"/>
          <w:u w:val="none"/>
          <w:lang w:val="en-US" w:eastAsia="zh-CN" w:bidi="ar"/>
        </w:rPr>
        <w:t>含税价，</w:t>
      </w:r>
      <w:r>
        <w:rPr>
          <w:rFonts w:hint="eastAsia" w:ascii="宋体" w:hAnsi="宋体" w:cs="宋体"/>
          <w:color w:val="000000"/>
          <w:kern w:val="0"/>
          <w:sz w:val="24"/>
          <w:szCs w:val="24"/>
          <w:u w:val="none"/>
          <w:lang w:bidi="ar"/>
        </w:rPr>
        <w:t>包括但不限于人工费、材料费、交通费、管理费、</w:t>
      </w:r>
      <w:r>
        <w:rPr>
          <w:rFonts w:hint="eastAsia" w:ascii="宋体" w:hAnsi="宋体" w:cs="宋体"/>
          <w:color w:val="000000"/>
          <w:kern w:val="0"/>
          <w:sz w:val="24"/>
          <w:szCs w:val="24"/>
          <w:u w:val="none"/>
          <w:lang w:val="en-US" w:eastAsia="zh-CN" w:bidi="ar"/>
        </w:rPr>
        <w:t>服务费、版权费、授权服务费、</w:t>
      </w:r>
      <w:r>
        <w:rPr>
          <w:rFonts w:hint="eastAsia" w:ascii="宋体" w:hAnsi="宋体" w:cs="宋体"/>
          <w:color w:val="000000"/>
          <w:kern w:val="0"/>
          <w:sz w:val="24"/>
          <w:szCs w:val="24"/>
          <w:u w:val="none"/>
          <w:lang w:bidi="ar"/>
        </w:rPr>
        <w:t>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w:t>
      </w:r>
      <w:r>
        <w:rPr>
          <w:rFonts w:hint="eastAsia" w:ascii="宋体" w:hAnsi="宋体" w:cs="宋体"/>
          <w:i w:val="0"/>
          <w:color w:val="000000"/>
          <w:kern w:val="0"/>
          <w:sz w:val="24"/>
          <w:szCs w:val="24"/>
          <w:u w:val="none"/>
          <w:lang w:val="en-US" w:eastAsia="zh-CN" w:bidi="ar"/>
        </w:rPr>
        <w:t>对接人</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城市阳台-李薇14797718665，城市客厅-张懿13138110600</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eastAsia" w:cs="Times New Roman"/>
          <w:color w:val="auto"/>
          <w:sz w:val="24"/>
          <w:szCs w:val="24"/>
          <w:lang w:val="en-US" w:eastAsia="zh-CN"/>
        </w:rPr>
        <w:t>联系方式：</w:t>
      </w:r>
      <w:r>
        <w:rPr>
          <w:rFonts w:hint="default" w:ascii="Times New Roman" w:hAnsi="Times New Roman" w:eastAsia="宋体" w:cs="Times New Roman"/>
          <w:color w:val="auto"/>
          <w:sz w:val="24"/>
          <w:szCs w:val="24"/>
        </w:rPr>
        <w:t xml:space="preserve"> </w:t>
      </w:r>
    </w:p>
    <w:p>
      <w:pPr>
        <w:pStyle w:val="6"/>
        <w:ind w:left="0" w:leftChars="0" w:firstLine="0" w:firstLineChars="0"/>
        <w:jc w:val="both"/>
        <w:rPr>
          <w:rFonts w:hint="default" w:hAnsi="宋体"/>
          <w:sz w:val="28"/>
          <w:szCs w:val="28"/>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4E62ED"/>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A0E21BF"/>
    <w:rsid w:val="1B013FAA"/>
    <w:rsid w:val="1B060FF5"/>
    <w:rsid w:val="1B0C3489"/>
    <w:rsid w:val="1B513E4B"/>
    <w:rsid w:val="1BDC56E2"/>
    <w:rsid w:val="1C7F0AAE"/>
    <w:rsid w:val="1C9359A3"/>
    <w:rsid w:val="1D556636"/>
    <w:rsid w:val="1DCE44E0"/>
    <w:rsid w:val="1DE72855"/>
    <w:rsid w:val="1FE2768D"/>
    <w:rsid w:val="202F7D49"/>
    <w:rsid w:val="210322A7"/>
    <w:rsid w:val="2121293A"/>
    <w:rsid w:val="23EC6A93"/>
    <w:rsid w:val="24222123"/>
    <w:rsid w:val="259F18F8"/>
    <w:rsid w:val="272E6E27"/>
    <w:rsid w:val="27540AC6"/>
    <w:rsid w:val="278065CC"/>
    <w:rsid w:val="28C56911"/>
    <w:rsid w:val="28F21882"/>
    <w:rsid w:val="291B3A89"/>
    <w:rsid w:val="2BED4BFF"/>
    <w:rsid w:val="2C5B3566"/>
    <w:rsid w:val="2D022F1E"/>
    <w:rsid w:val="2E0A4EF7"/>
    <w:rsid w:val="2F8C5B34"/>
    <w:rsid w:val="3035528F"/>
    <w:rsid w:val="303C5477"/>
    <w:rsid w:val="31BE38D0"/>
    <w:rsid w:val="329B19DD"/>
    <w:rsid w:val="33461B40"/>
    <w:rsid w:val="33864723"/>
    <w:rsid w:val="338C409C"/>
    <w:rsid w:val="3510688E"/>
    <w:rsid w:val="36991F33"/>
    <w:rsid w:val="36D13171"/>
    <w:rsid w:val="37403612"/>
    <w:rsid w:val="37FE2A53"/>
    <w:rsid w:val="38F34C92"/>
    <w:rsid w:val="3BDD1A9B"/>
    <w:rsid w:val="3BF341D2"/>
    <w:rsid w:val="3DDA2166"/>
    <w:rsid w:val="3E7E4135"/>
    <w:rsid w:val="3EC52271"/>
    <w:rsid w:val="3ED65B24"/>
    <w:rsid w:val="40DF147E"/>
    <w:rsid w:val="410E417C"/>
    <w:rsid w:val="426867F2"/>
    <w:rsid w:val="427C15D5"/>
    <w:rsid w:val="43F34101"/>
    <w:rsid w:val="442B09BE"/>
    <w:rsid w:val="4483748A"/>
    <w:rsid w:val="45192FA4"/>
    <w:rsid w:val="454E23D2"/>
    <w:rsid w:val="46291EEF"/>
    <w:rsid w:val="467170E3"/>
    <w:rsid w:val="46B354B7"/>
    <w:rsid w:val="47756305"/>
    <w:rsid w:val="47C0473A"/>
    <w:rsid w:val="49476839"/>
    <w:rsid w:val="4A1B05BD"/>
    <w:rsid w:val="4A4F4DF7"/>
    <w:rsid w:val="4B0F1E17"/>
    <w:rsid w:val="4C032E3E"/>
    <w:rsid w:val="4C8E76F1"/>
    <w:rsid w:val="4D1202BB"/>
    <w:rsid w:val="4D2716DD"/>
    <w:rsid w:val="4DAA519F"/>
    <w:rsid w:val="4E8C1884"/>
    <w:rsid w:val="4F450237"/>
    <w:rsid w:val="4F971260"/>
    <w:rsid w:val="5067110C"/>
    <w:rsid w:val="506979EA"/>
    <w:rsid w:val="508467D4"/>
    <w:rsid w:val="50DB0041"/>
    <w:rsid w:val="518A0729"/>
    <w:rsid w:val="522A0EF2"/>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CE0475B"/>
    <w:rsid w:val="6D14448E"/>
    <w:rsid w:val="6D535020"/>
    <w:rsid w:val="70923935"/>
    <w:rsid w:val="73CF0EC4"/>
    <w:rsid w:val="759777E6"/>
    <w:rsid w:val="76656426"/>
    <w:rsid w:val="768D0B53"/>
    <w:rsid w:val="76DA30C2"/>
    <w:rsid w:val="775B4F8E"/>
    <w:rsid w:val="77C31107"/>
    <w:rsid w:val="78953E1F"/>
    <w:rsid w:val="78B9366D"/>
    <w:rsid w:val="79117270"/>
    <w:rsid w:val="796270D1"/>
    <w:rsid w:val="799D618D"/>
    <w:rsid w:val="7A5D46E4"/>
    <w:rsid w:val="7A696819"/>
    <w:rsid w:val="7ACE415F"/>
    <w:rsid w:val="7ADD093B"/>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2026-08-04T10:16:18Z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