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cs="仿宋"/>
          <w:b/>
          <w:bCs/>
          <w:sz w:val="32"/>
          <w:szCs w:val="32"/>
        </w:rPr>
      </w:pPr>
    </w:p>
    <w:p>
      <w:pPr>
        <w:pStyle w:val="4"/>
        <w:rPr>
          <w:rFonts w:ascii="仿宋" w:hAnsi="仿宋" w:eastAsia="仿宋" w:cs="仿宋"/>
          <w:sz w:val="52"/>
          <w:szCs w:val="52"/>
        </w:rPr>
      </w:pPr>
      <w:r>
        <w:rPr>
          <w:rFonts w:hint="eastAsia" w:ascii="仿宋" w:hAnsi="仿宋" w:eastAsia="仿宋" w:cs="仿宋"/>
          <w:sz w:val="52"/>
          <w:szCs w:val="52"/>
        </w:rPr>
        <w:t>正方房产</w:t>
      </w:r>
    </w:p>
    <w:p>
      <w:pPr>
        <w:pStyle w:val="4"/>
        <w:rPr>
          <w:rFonts w:ascii="仿宋" w:hAnsi="仿宋" w:eastAsia="仿宋" w:cs="仿宋"/>
          <w:sz w:val="52"/>
          <w:szCs w:val="52"/>
        </w:rPr>
      </w:pPr>
      <w:r>
        <w:rPr>
          <w:rFonts w:hint="eastAsia" w:ascii="仿宋" w:hAnsi="仿宋" w:eastAsia="仿宋" w:cs="仿宋"/>
          <w:sz w:val="52"/>
          <w:szCs w:val="52"/>
        </w:rPr>
        <w:t>2026年-2027年年度视频制作及运营</w:t>
      </w:r>
    </w:p>
    <w:p>
      <w:pPr>
        <w:pStyle w:val="4"/>
        <w:rPr>
          <w:rFonts w:hint="eastAsia" w:ascii="仿宋" w:hAnsi="仿宋" w:eastAsia="仿宋" w:cs="仿宋"/>
          <w:sz w:val="52"/>
          <w:szCs w:val="52"/>
        </w:rPr>
      </w:pPr>
      <w:r>
        <w:rPr>
          <w:rFonts w:hint="eastAsia" w:ascii="仿宋" w:hAnsi="仿宋" w:eastAsia="仿宋" w:cs="仿宋"/>
          <w:sz w:val="52"/>
          <w:szCs w:val="52"/>
        </w:rPr>
        <w:t>服务技术任务书</w:t>
      </w: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before="159" w:beforeLines="50" w:after="159" w:afterLines="50"/>
        <w:ind w:left="102"/>
        <w:jc w:val="center"/>
        <w:rPr>
          <w:rFonts w:hint="eastAsia" w:ascii="仿宋" w:hAnsi="仿宋" w:eastAsia="仿宋" w:cs="仿宋"/>
          <w:b/>
          <w:sz w:val="30"/>
          <w:szCs w:val="30"/>
        </w:rPr>
      </w:pPr>
      <w:r>
        <w:rPr>
          <w:rFonts w:hint="eastAsia" w:ascii="仿宋" w:hAnsi="仿宋" w:eastAsia="仿宋" w:cs="仿宋"/>
          <w:b/>
          <w:sz w:val="30"/>
          <w:szCs w:val="30"/>
        </w:rPr>
        <w:t>珠海正方房地产开发有限公司</w:t>
      </w:r>
    </w:p>
    <w:p>
      <w:pPr>
        <w:spacing w:before="159" w:beforeLines="50" w:after="159" w:afterLines="50"/>
        <w:ind w:left="102"/>
        <w:jc w:val="center"/>
        <w:rPr>
          <w:rFonts w:hint="eastAsia" w:ascii="仿宋" w:hAnsi="仿宋" w:eastAsia="仿宋" w:cs="仿宋"/>
          <w:b/>
          <w:bCs/>
          <w:spacing w:val="2"/>
          <w:sz w:val="30"/>
          <w:szCs w:val="30"/>
        </w:rPr>
      </w:pPr>
      <w:r>
        <w:rPr>
          <w:rFonts w:hint="eastAsia" w:ascii="仿宋" w:hAnsi="仿宋" w:eastAsia="仿宋" w:cs="仿宋"/>
          <w:b/>
          <w:bCs/>
          <w:spacing w:val="2"/>
          <w:sz w:val="30"/>
          <w:szCs w:val="30"/>
        </w:rPr>
        <w:t xml:space="preserve"> 2026年6月</w:t>
      </w:r>
    </w:p>
    <w:p>
      <w:pPr>
        <w:spacing w:before="240"/>
        <w:ind w:right="640"/>
        <w:rPr>
          <w:rFonts w:hint="eastAsia" w:ascii="仿宋" w:hAnsi="仿宋" w:eastAsia="仿宋" w:cs="仿宋"/>
          <w:b/>
          <w:bCs/>
          <w:sz w:val="32"/>
          <w:szCs w:val="32"/>
        </w:rPr>
      </w:pPr>
      <w:r>
        <w:rPr>
          <w:rFonts w:hint="eastAsia" w:ascii="仿宋" w:hAnsi="仿宋" w:eastAsia="仿宋" w:cs="仿宋"/>
          <w:b/>
          <w:bCs/>
          <w:sz w:val="32"/>
          <w:szCs w:val="32"/>
        </w:rPr>
        <w:t>一、服务内容</w:t>
      </w:r>
    </w:p>
    <w:p>
      <w:pPr>
        <w:tabs>
          <w:tab w:val="left" w:pos="720"/>
        </w:tabs>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负责珠海正方房地产开发有限公司及其下属公司各项目的视频号运营服务，包括但不限于正方房产公司品牌、正方南湾首府、正方深悦湾花园、铂悦香山、正方云曦山花园、鸿都酒店更新改造项目等住宅、商业类项目及后续新入市项目的视频号运营，工作具体内容如下：</w:t>
      </w:r>
    </w:p>
    <w:p>
      <w:pPr>
        <w:numPr>
          <w:ilvl w:val="0"/>
          <w:numId w:val="1"/>
        </w:numPr>
        <w:spacing w:line="360" w:lineRule="auto"/>
        <w:rPr>
          <w:rFonts w:ascii="仿宋" w:hAnsi="仿宋" w:eastAsia="仿宋" w:cs="仿宋"/>
          <w:b/>
          <w:color w:val="000000"/>
          <w:sz w:val="24"/>
        </w:rPr>
      </w:pPr>
      <w:r>
        <w:rPr>
          <w:rFonts w:hint="eastAsia" w:ascii="仿宋" w:hAnsi="仿宋" w:eastAsia="仿宋" w:cs="仿宋"/>
          <w:b/>
          <w:color w:val="000000"/>
          <w:sz w:val="24"/>
        </w:rPr>
        <w:t>视频制作内容：</w:t>
      </w:r>
    </w:p>
    <w:tbl>
      <w:tblPr>
        <w:tblStyle w:val="16"/>
        <w:tblW w:w="10879" w:type="dxa"/>
        <w:tblInd w:w="-1026" w:type="dxa"/>
        <w:tblLayout w:type="autofit"/>
        <w:tblCellMar>
          <w:top w:w="0" w:type="dxa"/>
          <w:left w:w="108" w:type="dxa"/>
          <w:bottom w:w="0" w:type="dxa"/>
          <w:right w:w="108" w:type="dxa"/>
        </w:tblCellMar>
      </w:tblPr>
      <w:tblGrid>
        <w:gridCol w:w="634"/>
        <w:gridCol w:w="1354"/>
        <w:gridCol w:w="1927"/>
        <w:gridCol w:w="698"/>
        <w:gridCol w:w="952"/>
        <w:gridCol w:w="2126"/>
        <w:gridCol w:w="3188"/>
      </w:tblGrid>
      <w:tr>
        <w:tblPrEx>
          <w:tblCellMar>
            <w:top w:w="0" w:type="dxa"/>
            <w:left w:w="108" w:type="dxa"/>
            <w:bottom w:w="0" w:type="dxa"/>
            <w:right w:w="108" w:type="dxa"/>
          </w:tblCellMar>
        </w:tblPrEx>
        <w:trPr>
          <w:trHeight w:val="483" w:hRule="atLeast"/>
        </w:trPr>
        <w:tc>
          <w:tcPr>
            <w:tcW w:w="634" w:type="dxa"/>
            <w:tcBorders>
              <w:top w:val="single" w:color="auto" w:sz="4" w:space="0"/>
              <w:left w:val="single" w:color="auto" w:sz="4" w:space="0"/>
              <w:bottom w:val="single" w:color="auto" w:sz="4" w:space="0"/>
              <w:right w:val="single" w:color="auto" w:sz="4" w:space="0"/>
            </w:tcBorders>
            <w:shd w:val="clear" w:color="000000" w:fill="D7D7D7"/>
            <w:noWrap w:val="0"/>
            <w:vAlign w:val="center"/>
          </w:tcPr>
          <w:p>
            <w:pPr>
              <w:widowControl/>
              <w:jc w:val="center"/>
              <w:rPr>
                <w:rFonts w:ascii="仿宋" w:hAnsi="仿宋" w:eastAsia="仿宋"/>
                <w:b/>
                <w:bCs/>
                <w:color w:val="000000"/>
                <w:sz w:val="20"/>
                <w:szCs w:val="20"/>
              </w:rPr>
            </w:pPr>
            <w:r>
              <w:rPr>
                <w:rFonts w:hint="eastAsia" w:ascii="仿宋" w:hAnsi="仿宋" w:eastAsia="仿宋"/>
                <w:b/>
                <w:bCs/>
                <w:color w:val="000000"/>
                <w:sz w:val="20"/>
                <w:szCs w:val="20"/>
              </w:rPr>
              <w:t>序号</w:t>
            </w:r>
          </w:p>
        </w:tc>
        <w:tc>
          <w:tcPr>
            <w:tcW w:w="1354" w:type="dxa"/>
            <w:tcBorders>
              <w:top w:val="single" w:color="auto" w:sz="4" w:space="0"/>
              <w:left w:val="nil"/>
              <w:bottom w:val="single" w:color="auto" w:sz="4" w:space="0"/>
              <w:right w:val="single" w:color="auto" w:sz="4" w:space="0"/>
            </w:tcBorders>
            <w:shd w:val="clear" w:color="000000" w:fill="D7D7D7"/>
            <w:noWrap w:val="0"/>
            <w:vAlign w:val="center"/>
          </w:tcPr>
          <w:p>
            <w:pPr>
              <w:widowControl/>
              <w:jc w:val="center"/>
              <w:rPr>
                <w:rFonts w:hint="eastAsia" w:ascii="仿宋" w:hAnsi="仿宋" w:eastAsia="仿宋"/>
                <w:b/>
                <w:bCs/>
                <w:color w:val="000000"/>
                <w:sz w:val="20"/>
                <w:szCs w:val="20"/>
              </w:rPr>
            </w:pPr>
            <w:r>
              <w:rPr>
                <w:rFonts w:hint="eastAsia" w:ascii="仿宋" w:hAnsi="仿宋" w:eastAsia="仿宋"/>
                <w:b/>
                <w:bCs/>
                <w:color w:val="000000"/>
                <w:sz w:val="20"/>
                <w:szCs w:val="20"/>
              </w:rPr>
              <w:t>项目名称</w:t>
            </w:r>
          </w:p>
        </w:tc>
        <w:tc>
          <w:tcPr>
            <w:tcW w:w="1927" w:type="dxa"/>
            <w:tcBorders>
              <w:top w:val="single" w:color="auto" w:sz="4" w:space="0"/>
              <w:left w:val="nil"/>
              <w:bottom w:val="single" w:color="auto" w:sz="4" w:space="0"/>
              <w:right w:val="single" w:color="auto" w:sz="4" w:space="0"/>
            </w:tcBorders>
            <w:shd w:val="clear" w:color="000000" w:fill="D7D7D7"/>
            <w:noWrap w:val="0"/>
            <w:vAlign w:val="center"/>
          </w:tcPr>
          <w:p>
            <w:pPr>
              <w:widowControl/>
              <w:jc w:val="center"/>
              <w:rPr>
                <w:rFonts w:hint="eastAsia" w:ascii="仿宋" w:hAnsi="仿宋" w:eastAsia="仿宋"/>
                <w:b/>
                <w:bCs/>
                <w:color w:val="000000"/>
                <w:sz w:val="20"/>
                <w:szCs w:val="20"/>
              </w:rPr>
            </w:pPr>
            <w:r>
              <w:rPr>
                <w:rFonts w:hint="eastAsia" w:ascii="仿宋" w:hAnsi="仿宋" w:eastAsia="仿宋"/>
                <w:b/>
                <w:bCs/>
                <w:color w:val="000000"/>
                <w:sz w:val="20"/>
                <w:szCs w:val="20"/>
              </w:rPr>
              <w:t>规格</w:t>
            </w:r>
          </w:p>
        </w:tc>
        <w:tc>
          <w:tcPr>
            <w:tcW w:w="698" w:type="dxa"/>
            <w:tcBorders>
              <w:top w:val="single" w:color="auto" w:sz="4" w:space="0"/>
              <w:left w:val="nil"/>
              <w:bottom w:val="single" w:color="auto" w:sz="4" w:space="0"/>
              <w:right w:val="single" w:color="auto" w:sz="4" w:space="0"/>
            </w:tcBorders>
            <w:shd w:val="clear" w:color="000000" w:fill="D7D7D7"/>
            <w:noWrap w:val="0"/>
            <w:vAlign w:val="center"/>
          </w:tcPr>
          <w:p>
            <w:pPr>
              <w:widowControl/>
              <w:jc w:val="center"/>
              <w:rPr>
                <w:rFonts w:hint="eastAsia" w:ascii="仿宋" w:hAnsi="仿宋" w:eastAsia="仿宋"/>
                <w:b/>
                <w:bCs/>
                <w:color w:val="000000"/>
                <w:sz w:val="20"/>
                <w:szCs w:val="20"/>
              </w:rPr>
            </w:pPr>
            <w:r>
              <w:rPr>
                <w:rFonts w:hint="eastAsia" w:ascii="仿宋" w:hAnsi="仿宋" w:eastAsia="仿宋"/>
                <w:b/>
                <w:bCs/>
                <w:color w:val="000000"/>
                <w:sz w:val="20"/>
                <w:szCs w:val="20"/>
              </w:rPr>
              <w:t>单位</w:t>
            </w:r>
          </w:p>
        </w:tc>
        <w:tc>
          <w:tcPr>
            <w:tcW w:w="952" w:type="dxa"/>
            <w:tcBorders>
              <w:top w:val="single" w:color="auto" w:sz="4" w:space="0"/>
              <w:left w:val="nil"/>
              <w:bottom w:val="single" w:color="auto" w:sz="4" w:space="0"/>
              <w:right w:val="single" w:color="auto" w:sz="4" w:space="0"/>
            </w:tcBorders>
            <w:shd w:val="clear" w:color="000000" w:fill="D7D7D7"/>
            <w:noWrap w:val="0"/>
            <w:vAlign w:val="center"/>
          </w:tcPr>
          <w:p>
            <w:pPr>
              <w:widowControl/>
              <w:jc w:val="center"/>
              <w:rPr>
                <w:rFonts w:hint="eastAsia" w:ascii="仿宋" w:hAnsi="仿宋" w:eastAsia="仿宋"/>
                <w:b/>
                <w:bCs/>
                <w:color w:val="000000"/>
                <w:sz w:val="20"/>
                <w:szCs w:val="20"/>
              </w:rPr>
            </w:pPr>
            <w:r>
              <w:rPr>
                <w:rFonts w:hint="eastAsia" w:ascii="仿宋" w:hAnsi="仿宋" w:eastAsia="仿宋"/>
                <w:b/>
                <w:bCs/>
                <w:color w:val="000000"/>
                <w:sz w:val="20"/>
                <w:szCs w:val="20"/>
              </w:rPr>
              <w:t>数量</w:t>
            </w:r>
          </w:p>
        </w:tc>
        <w:tc>
          <w:tcPr>
            <w:tcW w:w="2126" w:type="dxa"/>
            <w:tcBorders>
              <w:top w:val="single" w:color="auto" w:sz="4" w:space="0"/>
              <w:left w:val="nil"/>
              <w:bottom w:val="single" w:color="auto" w:sz="4" w:space="0"/>
              <w:right w:val="single" w:color="auto" w:sz="4" w:space="0"/>
            </w:tcBorders>
            <w:shd w:val="clear" w:color="000000" w:fill="D7D7D7"/>
            <w:noWrap w:val="0"/>
            <w:vAlign w:val="center"/>
          </w:tcPr>
          <w:p>
            <w:pPr>
              <w:widowControl/>
              <w:jc w:val="center"/>
              <w:rPr>
                <w:rFonts w:hint="eastAsia" w:ascii="仿宋" w:hAnsi="仿宋" w:eastAsia="仿宋"/>
                <w:b/>
                <w:bCs/>
                <w:color w:val="000000"/>
                <w:sz w:val="20"/>
                <w:szCs w:val="20"/>
              </w:rPr>
            </w:pPr>
            <w:r>
              <w:rPr>
                <w:rFonts w:hint="eastAsia" w:ascii="仿宋" w:hAnsi="仿宋" w:eastAsia="仿宋"/>
                <w:b/>
                <w:bCs/>
                <w:color w:val="000000"/>
                <w:sz w:val="20"/>
                <w:szCs w:val="20"/>
              </w:rPr>
              <w:t>拍摄时间</w:t>
            </w:r>
          </w:p>
        </w:tc>
        <w:tc>
          <w:tcPr>
            <w:tcW w:w="3188" w:type="dxa"/>
            <w:tcBorders>
              <w:top w:val="single" w:color="auto" w:sz="4" w:space="0"/>
              <w:left w:val="nil"/>
              <w:bottom w:val="single" w:color="auto" w:sz="4" w:space="0"/>
              <w:right w:val="single" w:color="auto" w:sz="4" w:space="0"/>
            </w:tcBorders>
            <w:shd w:val="clear" w:color="000000" w:fill="D7D7D7"/>
            <w:noWrap w:val="0"/>
            <w:vAlign w:val="center"/>
          </w:tcPr>
          <w:p>
            <w:pPr>
              <w:widowControl/>
              <w:jc w:val="center"/>
              <w:rPr>
                <w:rFonts w:hint="eastAsia" w:ascii="仿宋" w:hAnsi="仿宋" w:eastAsia="仿宋"/>
                <w:b/>
                <w:bCs/>
                <w:color w:val="000000"/>
                <w:sz w:val="20"/>
                <w:szCs w:val="20"/>
              </w:rPr>
            </w:pPr>
            <w:r>
              <w:rPr>
                <w:rFonts w:hint="eastAsia" w:ascii="仿宋" w:hAnsi="仿宋" w:eastAsia="仿宋"/>
                <w:b/>
                <w:bCs/>
                <w:color w:val="000000"/>
                <w:sz w:val="20"/>
                <w:szCs w:val="20"/>
              </w:rPr>
              <w:t>备注</w:t>
            </w:r>
          </w:p>
        </w:tc>
      </w:tr>
      <w:tr>
        <w:tblPrEx>
          <w:tblCellMar>
            <w:top w:w="0" w:type="dxa"/>
            <w:left w:w="108" w:type="dxa"/>
            <w:bottom w:w="0" w:type="dxa"/>
            <w:right w:w="108" w:type="dxa"/>
          </w:tblCellMar>
        </w:tblPrEx>
        <w:trPr>
          <w:trHeight w:val="536" w:hRule="atLeast"/>
        </w:trPr>
        <w:tc>
          <w:tcPr>
            <w:tcW w:w="634"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1</w:t>
            </w:r>
          </w:p>
        </w:tc>
        <w:tc>
          <w:tcPr>
            <w:tcW w:w="1354"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活动摄像</w:t>
            </w:r>
          </w:p>
        </w:tc>
        <w:tc>
          <w:tcPr>
            <w:tcW w:w="1927"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活动跟拍、后期</w:t>
            </w:r>
          </w:p>
        </w:tc>
        <w:tc>
          <w:tcPr>
            <w:tcW w:w="698"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条</w:t>
            </w:r>
          </w:p>
        </w:tc>
        <w:tc>
          <w:tcPr>
            <w:tcW w:w="952"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仿宋" w:hAnsi="仿宋" w:eastAsia="仿宋"/>
                <w:color w:val="000000"/>
                <w:sz w:val="20"/>
                <w:szCs w:val="20"/>
                <w:lang w:val="en-US" w:eastAsia="zh-CN"/>
              </w:rPr>
            </w:pPr>
            <w:r>
              <w:rPr>
                <w:rFonts w:hint="eastAsia" w:ascii="仿宋" w:hAnsi="仿宋" w:eastAsia="仿宋"/>
                <w:color w:val="000000"/>
                <w:sz w:val="20"/>
                <w:szCs w:val="20"/>
                <w:lang w:val="en-US" w:eastAsia="zh-CN"/>
              </w:rPr>
              <w:t>4</w:t>
            </w:r>
          </w:p>
        </w:tc>
        <w:tc>
          <w:tcPr>
            <w:tcW w:w="212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半天</w:t>
            </w:r>
            <w:r>
              <w:rPr>
                <w:rFonts w:hint="eastAsia" w:ascii="仿宋" w:hAnsi="仿宋" w:eastAsia="仿宋"/>
                <w:color w:val="000000"/>
                <w:sz w:val="20"/>
                <w:szCs w:val="20"/>
              </w:rPr>
              <w:br w:type="textWrapping"/>
            </w:r>
            <w:r>
              <w:rPr>
                <w:rFonts w:hint="eastAsia" w:ascii="仿宋" w:hAnsi="仿宋" w:eastAsia="仿宋"/>
                <w:color w:val="000000"/>
                <w:sz w:val="20"/>
                <w:szCs w:val="20"/>
              </w:rPr>
              <w:t>（4小时以内含）</w:t>
            </w:r>
          </w:p>
        </w:tc>
        <w:tc>
          <w:tcPr>
            <w:tcW w:w="3188"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视频时长不超45秒</w:t>
            </w:r>
            <w:r>
              <w:rPr>
                <w:rFonts w:hint="eastAsia" w:ascii="仿宋" w:hAnsi="仿宋" w:eastAsia="仿宋"/>
                <w:color w:val="000000"/>
                <w:sz w:val="20"/>
                <w:szCs w:val="20"/>
              </w:rPr>
              <w:br w:type="textWrapping"/>
            </w:r>
            <w:r>
              <w:rPr>
                <w:rFonts w:hint="eastAsia" w:ascii="仿宋" w:hAnsi="仿宋" w:eastAsia="仿宋"/>
                <w:color w:val="000000"/>
                <w:sz w:val="20"/>
                <w:szCs w:val="20"/>
              </w:rPr>
              <w:t>须在活动结束后2个小时内提供视频剪辑稿件</w:t>
            </w:r>
          </w:p>
        </w:tc>
      </w:tr>
      <w:tr>
        <w:tblPrEx>
          <w:tblCellMar>
            <w:top w:w="0" w:type="dxa"/>
            <w:left w:w="108" w:type="dxa"/>
            <w:bottom w:w="0" w:type="dxa"/>
            <w:right w:w="108" w:type="dxa"/>
          </w:tblCellMar>
        </w:tblPrEx>
        <w:trPr>
          <w:trHeight w:val="536" w:hRule="atLeast"/>
        </w:trPr>
        <w:tc>
          <w:tcPr>
            <w:tcW w:w="634"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2</w:t>
            </w:r>
          </w:p>
        </w:tc>
        <w:tc>
          <w:tcPr>
            <w:tcW w:w="1354"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活动摄像</w:t>
            </w:r>
          </w:p>
        </w:tc>
        <w:tc>
          <w:tcPr>
            <w:tcW w:w="1927"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活动跟拍、后期</w:t>
            </w:r>
          </w:p>
        </w:tc>
        <w:tc>
          <w:tcPr>
            <w:tcW w:w="698"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条</w:t>
            </w:r>
          </w:p>
        </w:tc>
        <w:tc>
          <w:tcPr>
            <w:tcW w:w="952"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lang w:val="en-US" w:eastAsia="zh-CN"/>
              </w:rPr>
            </w:pPr>
            <w:r>
              <w:rPr>
                <w:rFonts w:hint="eastAsia" w:ascii="仿宋" w:hAnsi="仿宋" w:eastAsia="仿宋"/>
                <w:color w:val="000000"/>
                <w:sz w:val="20"/>
                <w:szCs w:val="20"/>
                <w:lang w:val="en-US" w:eastAsia="zh-CN"/>
              </w:rPr>
              <w:t>4</w:t>
            </w:r>
          </w:p>
        </w:tc>
        <w:tc>
          <w:tcPr>
            <w:tcW w:w="212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全天</w:t>
            </w:r>
            <w:r>
              <w:rPr>
                <w:rFonts w:hint="eastAsia" w:ascii="仿宋" w:hAnsi="仿宋" w:eastAsia="仿宋"/>
                <w:color w:val="000000"/>
                <w:sz w:val="20"/>
                <w:szCs w:val="20"/>
              </w:rPr>
              <w:br w:type="textWrapping"/>
            </w:r>
            <w:r>
              <w:rPr>
                <w:rFonts w:hint="eastAsia" w:ascii="仿宋" w:hAnsi="仿宋" w:eastAsia="仿宋"/>
                <w:color w:val="000000"/>
                <w:sz w:val="20"/>
                <w:szCs w:val="20"/>
              </w:rPr>
              <w:t>（4小时以上）</w:t>
            </w:r>
          </w:p>
        </w:tc>
        <w:tc>
          <w:tcPr>
            <w:tcW w:w="3188" w:type="dxa"/>
            <w:vMerge w:val="continue"/>
            <w:tcBorders>
              <w:top w:val="nil"/>
              <w:left w:val="single" w:color="auto" w:sz="4" w:space="0"/>
              <w:bottom w:val="single" w:color="auto" w:sz="4" w:space="0"/>
              <w:right w:val="single" w:color="auto" w:sz="4" w:space="0"/>
            </w:tcBorders>
            <w:noWrap w:val="0"/>
            <w:vAlign w:val="center"/>
          </w:tcPr>
          <w:p>
            <w:pPr>
              <w:widowControl/>
              <w:rPr>
                <w:rFonts w:ascii="仿宋" w:hAnsi="仿宋" w:eastAsia="仿宋"/>
                <w:color w:val="000000"/>
                <w:sz w:val="20"/>
                <w:szCs w:val="20"/>
              </w:rPr>
            </w:pPr>
          </w:p>
        </w:tc>
      </w:tr>
      <w:tr>
        <w:tblPrEx>
          <w:tblCellMar>
            <w:top w:w="0" w:type="dxa"/>
            <w:left w:w="108" w:type="dxa"/>
            <w:bottom w:w="0" w:type="dxa"/>
            <w:right w:w="108" w:type="dxa"/>
          </w:tblCellMar>
        </w:tblPrEx>
        <w:trPr>
          <w:trHeight w:val="483" w:hRule="atLeast"/>
        </w:trPr>
        <w:tc>
          <w:tcPr>
            <w:tcW w:w="634"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3</w:t>
            </w:r>
          </w:p>
        </w:tc>
        <w:tc>
          <w:tcPr>
            <w:tcW w:w="1354" w:type="dxa"/>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宣传片</w:t>
            </w:r>
            <w:r>
              <w:rPr>
                <w:rFonts w:hint="eastAsia" w:ascii="仿宋" w:hAnsi="仿宋" w:eastAsia="仿宋"/>
                <w:color w:val="000000"/>
                <w:sz w:val="20"/>
                <w:szCs w:val="20"/>
              </w:rPr>
              <w:br w:type="textWrapping"/>
            </w:r>
            <w:r>
              <w:rPr>
                <w:rFonts w:hint="eastAsia" w:ascii="仿宋" w:hAnsi="仿宋" w:eastAsia="仿宋"/>
                <w:color w:val="000000"/>
                <w:sz w:val="20"/>
                <w:szCs w:val="20"/>
              </w:rPr>
              <w:t>（不含演员）</w:t>
            </w:r>
          </w:p>
        </w:tc>
        <w:tc>
          <w:tcPr>
            <w:tcW w:w="1927" w:type="dxa"/>
            <w:vMerge w:val="restart"/>
            <w:tcBorders>
              <w:top w:val="nil"/>
              <w:left w:val="single" w:color="auto" w:sz="4" w:space="0"/>
              <w:bottom w:val="single" w:color="000000"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脚本、拍摄、配音、配乐、剪辑等</w:t>
            </w:r>
          </w:p>
        </w:tc>
        <w:tc>
          <w:tcPr>
            <w:tcW w:w="698"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条</w:t>
            </w:r>
          </w:p>
        </w:tc>
        <w:tc>
          <w:tcPr>
            <w:tcW w:w="952"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仿宋" w:hAnsi="仿宋" w:eastAsia="仿宋"/>
                <w:color w:val="000000"/>
                <w:sz w:val="20"/>
                <w:szCs w:val="20"/>
                <w:lang w:val="en-US" w:eastAsia="zh-CN"/>
              </w:rPr>
            </w:pPr>
            <w:r>
              <w:rPr>
                <w:rFonts w:hint="eastAsia" w:ascii="仿宋" w:hAnsi="仿宋" w:eastAsia="仿宋"/>
                <w:color w:val="000000"/>
                <w:sz w:val="20"/>
                <w:szCs w:val="20"/>
                <w:lang w:val="en-US" w:eastAsia="zh-CN"/>
              </w:rPr>
              <w:t>4</w:t>
            </w:r>
          </w:p>
        </w:tc>
        <w:tc>
          <w:tcPr>
            <w:tcW w:w="212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时长≤90秒</w:t>
            </w:r>
          </w:p>
        </w:tc>
        <w:tc>
          <w:tcPr>
            <w:tcW w:w="3188"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　</w:t>
            </w:r>
          </w:p>
        </w:tc>
      </w:tr>
      <w:tr>
        <w:tblPrEx>
          <w:tblCellMar>
            <w:top w:w="0" w:type="dxa"/>
            <w:left w:w="108" w:type="dxa"/>
            <w:bottom w:w="0" w:type="dxa"/>
            <w:right w:w="108" w:type="dxa"/>
          </w:tblCellMar>
        </w:tblPrEx>
        <w:trPr>
          <w:trHeight w:val="483" w:hRule="atLeast"/>
        </w:trPr>
        <w:tc>
          <w:tcPr>
            <w:tcW w:w="634"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4</w:t>
            </w:r>
          </w:p>
        </w:tc>
        <w:tc>
          <w:tcPr>
            <w:tcW w:w="135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rPr>
                <w:rFonts w:ascii="仿宋" w:hAnsi="仿宋" w:eastAsia="仿宋"/>
                <w:color w:val="000000"/>
                <w:sz w:val="20"/>
                <w:szCs w:val="20"/>
              </w:rPr>
            </w:pPr>
          </w:p>
        </w:tc>
        <w:tc>
          <w:tcPr>
            <w:tcW w:w="1927"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rPr>
                <w:rFonts w:ascii="仿宋" w:hAnsi="仿宋" w:eastAsia="仿宋"/>
                <w:color w:val="000000"/>
                <w:sz w:val="20"/>
                <w:szCs w:val="20"/>
              </w:rPr>
            </w:pPr>
          </w:p>
        </w:tc>
        <w:tc>
          <w:tcPr>
            <w:tcW w:w="698"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条</w:t>
            </w:r>
          </w:p>
        </w:tc>
        <w:tc>
          <w:tcPr>
            <w:tcW w:w="952"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仿宋" w:hAnsi="仿宋" w:eastAsia="仿宋"/>
                <w:color w:val="000000"/>
                <w:sz w:val="20"/>
                <w:szCs w:val="20"/>
                <w:lang w:val="en-US" w:eastAsia="zh-CN"/>
              </w:rPr>
            </w:pPr>
            <w:r>
              <w:rPr>
                <w:rFonts w:hint="eastAsia" w:ascii="仿宋" w:hAnsi="仿宋" w:eastAsia="仿宋"/>
                <w:color w:val="000000"/>
                <w:sz w:val="20"/>
                <w:szCs w:val="20"/>
                <w:lang w:val="en-US" w:eastAsia="zh-CN"/>
              </w:rPr>
              <w:t>4</w:t>
            </w:r>
          </w:p>
        </w:tc>
        <w:tc>
          <w:tcPr>
            <w:tcW w:w="212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90秒＜时长≤</w:t>
            </w:r>
            <w:r>
              <w:rPr>
                <w:rFonts w:hint="eastAsia" w:ascii="仿宋" w:hAnsi="仿宋" w:eastAsia="仿宋"/>
                <w:color w:val="000000"/>
                <w:sz w:val="20"/>
                <w:szCs w:val="20"/>
                <w:lang w:val="en-US" w:eastAsia="zh-CN"/>
              </w:rPr>
              <w:t>240</w:t>
            </w:r>
            <w:r>
              <w:rPr>
                <w:rFonts w:hint="eastAsia" w:ascii="仿宋" w:hAnsi="仿宋" w:eastAsia="仿宋"/>
                <w:color w:val="000000"/>
                <w:sz w:val="20"/>
                <w:szCs w:val="20"/>
              </w:rPr>
              <w:t>秒</w:t>
            </w:r>
          </w:p>
        </w:tc>
        <w:tc>
          <w:tcPr>
            <w:tcW w:w="3188"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　</w:t>
            </w:r>
          </w:p>
        </w:tc>
      </w:tr>
      <w:tr>
        <w:tblPrEx>
          <w:tblCellMar>
            <w:top w:w="0" w:type="dxa"/>
            <w:left w:w="108" w:type="dxa"/>
            <w:bottom w:w="0" w:type="dxa"/>
            <w:right w:w="108" w:type="dxa"/>
          </w:tblCellMar>
        </w:tblPrEx>
        <w:trPr>
          <w:trHeight w:val="483" w:hRule="atLeast"/>
        </w:trPr>
        <w:tc>
          <w:tcPr>
            <w:tcW w:w="634"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5</w:t>
            </w:r>
          </w:p>
        </w:tc>
        <w:tc>
          <w:tcPr>
            <w:tcW w:w="135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rPr>
                <w:rFonts w:ascii="仿宋" w:hAnsi="仿宋" w:eastAsia="仿宋"/>
                <w:color w:val="000000"/>
                <w:sz w:val="20"/>
                <w:szCs w:val="20"/>
              </w:rPr>
            </w:pPr>
          </w:p>
        </w:tc>
        <w:tc>
          <w:tcPr>
            <w:tcW w:w="1927"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rPr>
                <w:rFonts w:ascii="仿宋" w:hAnsi="仿宋" w:eastAsia="仿宋"/>
                <w:color w:val="000000"/>
                <w:sz w:val="20"/>
                <w:szCs w:val="20"/>
              </w:rPr>
            </w:pPr>
          </w:p>
        </w:tc>
        <w:tc>
          <w:tcPr>
            <w:tcW w:w="698"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条</w:t>
            </w:r>
          </w:p>
        </w:tc>
        <w:tc>
          <w:tcPr>
            <w:tcW w:w="952"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lang w:val="en-US" w:eastAsia="zh-CN"/>
              </w:rPr>
            </w:pPr>
            <w:r>
              <w:rPr>
                <w:rFonts w:hint="eastAsia" w:ascii="仿宋" w:hAnsi="仿宋" w:eastAsia="仿宋"/>
                <w:color w:val="000000"/>
                <w:sz w:val="20"/>
                <w:szCs w:val="20"/>
                <w:lang w:val="en-US" w:eastAsia="zh-CN"/>
              </w:rPr>
              <w:t>3</w:t>
            </w:r>
          </w:p>
        </w:tc>
        <w:tc>
          <w:tcPr>
            <w:tcW w:w="212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lang w:val="en-US" w:eastAsia="zh-CN"/>
              </w:rPr>
              <w:t>240</w:t>
            </w:r>
            <w:r>
              <w:rPr>
                <w:rFonts w:hint="eastAsia" w:ascii="仿宋" w:hAnsi="仿宋" w:eastAsia="仿宋"/>
                <w:color w:val="000000"/>
                <w:sz w:val="20"/>
                <w:szCs w:val="20"/>
              </w:rPr>
              <w:t>秒＜时长</w:t>
            </w:r>
          </w:p>
        </w:tc>
        <w:tc>
          <w:tcPr>
            <w:tcW w:w="3188"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　</w:t>
            </w:r>
          </w:p>
        </w:tc>
      </w:tr>
      <w:tr>
        <w:tblPrEx>
          <w:tblCellMar>
            <w:top w:w="0" w:type="dxa"/>
            <w:left w:w="108" w:type="dxa"/>
            <w:bottom w:w="0" w:type="dxa"/>
            <w:right w:w="108" w:type="dxa"/>
          </w:tblCellMar>
        </w:tblPrEx>
        <w:trPr>
          <w:trHeight w:val="483" w:hRule="atLeast"/>
        </w:trPr>
        <w:tc>
          <w:tcPr>
            <w:tcW w:w="634"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6</w:t>
            </w:r>
          </w:p>
        </w:tc>
        <w:tc>
          <w:tcPr>
            <w:tcW w:w="1354" w:type="dxa"/>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宣传片</w:t>
            </w:r>
            <w:r>
              <w:rPr>
                <w:rFonts w:hint="eastAsia" w:ascii="仿宋" w:hAnsi="仿宋" w:eastAsia="仿宋"/>
                <w:color w:val="000000"/>
                <w:sz w:val="20"/>
                <w:szCs w:val="20"/>
              </w:rPr>
              <w:br w:type="textWrapping"/>
            </w:r>
            <w:r>
              <w:rPr>
                <w:rFonts w:hint="eastAsia" w:ascii="仿宋" w:hAnsi="仿宋" w:eastAsia="仿宋"/>
                <w:color w:val="000000"/>
                <w:sz w:val="20"/>
                <w:szCs w:val="20"/>
              </w:rPr>
              <w:t>（含演员）</w:t>
            </w:r>
          </w:p>
        </w:tc>
        <w:tc>
          <w:tcPr>
            <w:tcW w:w="1927" w:type="dxa"/>
            <w:vMerge w:val="restart"/>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脚本、拍摄、配音、配乐、剪辑</w:t>
            </w:r>
          </w:p>
        </w:tc>
        <w:tc>
          <w:tcPr>
            <w:tcW w:w="698"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条</w:t>
            </w:r>
          </w:p>
        </w:tc>
        <w:tc>
          <w:tcPr>
            <w:tcW w:w="952"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lang w:val="en-US" w:eastAsia="zh-CN"/>
              </w:rPr>
            </w:pPr>
            <w:r>
              <w:rPr>
                <w:rFonts w:hint="eastAsia" w:ascii="仿宋" w:hAnsi="仿宋" w:eastAsia="仿宋"/>
                <w:color w:val="000000"/>
                <w:sz w:val="20"/>
                <w:szCs w:val="20"/>
                <w:lang w:val="en-US" w:eastAsia="zh-CN"/>
              </w:rPr>
              <w:t>4</w:t>
            </w:r>
          </w:p>
        </w:tc>
        <w:tc>
          <w:tcPr>
            <w:tcW w:w="212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时长≤90秒</w:t>
            </w:r>
          </w:p>
        </w:tc>
        <w:tc>
          <w:tcPr>
            <w:tcW w:w="3188"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项目自行提供演员的不计入该项。外聘演员需包含服装、化妆、交通餐费、道具等一切费用，招标人不另行支付任何费用，服装及化妆需按招标人要求执行。</w:t>
            </w:r>
          </w:p>
        </w:tc>
      </w:tr>
      <w:tr>
        <w:tblPrEx>
          <w:tblCellMar>
            <w:top w:w="0" w:type="dxa"/>
            <w:left w:w="108" w:type="dxa"/>
            <w:bottom w:w="0" w:type="dxa"/>
            <w:right w:w="108" w:type="dxa"/>
          </w:tblCellMar>
        </w:tblPrEx>
        <w:trPr>
          <w:trHeight w:val="483" w:hRule="atLeast"/>
        </w:trPr>
        <w:tc>
          <w:tcPr>
            <w:tcW w:w="634"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7</w:t>
            </w:r>
          </w:p>
        </w:tc>
        <w:tc>
          <w:tcPr>
            <w:tcW w:w="135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rPr>
                <w:rFonts w:ascii="仿宋" w:hAnsi="仿宋" w:eastAsia="仿宋"/>
                <w:color w:val="000000"/>
                <w:sz w:val="20"/>
                <w:szCs w:val="20"/>
              </w:rPr>
            </w:pPr>
          </w:p>
        </w:tc>
        <w:tc>
          <w:tcPr>
            <w:tcW w:w="192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rPr>
                <w:rFonts w:ascii="仿宋" w:hAnsi="仿宋" w:eastAsia="仿宋"/>
                <w:color w:val="000000"/>
                <w:sz w:val="20"/>
                <w:szCs w:val="20"/>
              </w:rPr>
            </w:pPr>
          </w:p>
        </w:tc>
        <w:tc>
          <w:tcPr>
            <w:tcW w:w="698"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条</w:t>
            </w:r>
          </w:p>
        </w:tc>
        <w:tc>
          <w:tcPr>
            <w:tcW w:w="952"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lang w:val="en-US" w:eastAsia="zh-CN"/>
              </w:rPr>
            </w:pPr>
            <w:r>
              <w:rPr>
                <w:rFonts w:hint="eastAsia" w:ascii="仿宋" w:hAnsi="仿宋" w:eastAsia="仿宋"/>
                <w:color w:val="000000"/>
                <w:sz w:val="20"/>
                <w:szCs w:val="20"/>
                <w:lang w:val="en-US" w:eastAsia="zh-CN"/>
              </w:rPr>
              <w:t>4</w:t>
            </w:r>
          </w:p>
        </w:tc>
        <w:tc>
          <w:tcPr>
            <w:tcW w:w="212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90秒＜时长≤</w:t>
            </w:r>
            <w:r>
              <w:rPr>
                <w:rFonts w:hint="eastAsia" w:ascii="仿宋" w:hAnsi="仿宋" w:eastAsia="仿宋"/>
                <w:color w:val="000000"/>
                <w:sz w:val="20"/>
                <w:szCs w:val="20"/>
                <w:lang w:val="en-US" w:eastAsia="zh-CN"/>
              </w:rPr>
              <w:t>240</w:t>
            </w:r>
            <w:r>
              <w:rPr>
                <w:rFonts w:hint="eastAsia" w:ascii="仿宋" w:hAnsi="仿宋" w:eastAsia="仿宋"/>
                <w:color w:val="000000"/>
                <w:sz w:val="20"/>
                <w:szCs w:val="20"/>
              </w:rPr>
              <w:t>秒</w:t>
            </w:r>
          </w:p>
        </w:tc>
        <w:tc>
          <w:tcPr>
            <w:tcW w:w="3188" w:type="dxa"/>
            <w:vMerge w:val="continue"/>
            <w:tcBorders>
              <w:top w:val="nil"/>
              <w:left w:val="single" w:color="auto" w:sz="4" w:space="0"/>
              <w:bottom w:val="single" w:color="auto" w:sz="4" w:space="0"/>
              <w:right w:val="single" w:color="auto" w:sz="4" w:space="0"/>
            </w:tcBorders>
            <w:noWrap w:val="0"/>
            <w:vAlign w:val="center"/>
          </w:tcPr>
          <w:p>
            <w:pPr>
              <w:widowControl/>
              <w:rPr>
                <w:rFonts w:ascii="仿宋" w:hAnsi="仿宋" w:eastAsia="仿宋"/>
                <w:color w:val="000000"/>
                <w:sz w:val="20"/>
                <w:szCs w:val="20"/>
              </w:rPr>
            </w:pPr>
          </w:p>
        </w:tc>
      </w:tr>
      <w:tr>
        <w:tblPrEx>
          <w:tblCellMar>
            <w:top w:w="0" w:type="dxa"/>
            <w:left w:w="108" w:type="dxa"/>
            <w:bottom w:w="0" w:type="dxa"/>
            <w:right w:w="108" w:type="dxa"/>
          </w:tblCellMar>
        </w:tblPrEx>
        <w:trPr>
          <w:trHeight w:val="483" w:hRule="atLeast"/>
        </w:trPr>
        <w:tc>
          <w:tcPr>
            <w:tcW w:w="634"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8</w:t>
            </w:r>
          </w:p>
        </w:tc>
        <w:tc>
          <w:tcPr>
            <w:tcW w:w="1354"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rPr>
                <w:rFonts w:ascii="仿宋" w:hAnsi="仿宋" w:eastAsia="仿宋"/>
                <w:color w:val="000000"/>
                <w:sz w:val="20"/>
                <w:szCs w:val="20"/>
              </w:rPr>
            </w:pPr>
          </w:p>
        </w:tc>
        <w:tc>
          <w:tcPr>
            <w:tcW w:w="192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rPr>
                <w:rFonts w:ascii="仿宋" w:hAnsi="仿宋" w:eastAsia="仿宋"/>
                <w:color w:val="000000"/>
                <w:sz w:val="20"/>
                <w:szCs w:val="20"/>
              </w:rPr>
            </w:pPr>
          </w:p>
        </w:tc>
        <w:tc>
          <w:tcPr>
            <w:tcW w:w="698"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条</w:t>
            </w:r>
          </w:p>
        </w:tc>
        <w:tc>
          <w:tcPr>
            <w:tcW w:w="952"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lang w:val="en-US" w:eastAsia="zh-CN"/>
              </w:rPr>
            </w:pPr>
            <w:r>
              <w:rPr>
                <w:rFonts w:hint="eastAsia" w:ascii="仿宋" w:hAnsi="仿宋" w:eastAsia="仿宋"/>
                <w:color w:val="000000"/>
                <w:sz w:val="20"/>
                <w:szCs w:val="20"/>
                <w:lang w:val="en-US" w:eastAsia="zh-CN"/>
              </w:rPr>
              <w:t>4</w:t>
            </w:r>
          </w:p>
        </w:tc>
        <w:tc>
          <w:tcPr>
            <w:tcW w:w="2126"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lang w:val="en-US" w:eastAsia="zh-CN"/>
              </w:rPr>
              <w:t>240</w:t>
            </w:r>
            <w:r>
              <w:rPr>
                <w:rFonts w:hint="eastAsia" w:ascii="仿宋" w:hAnsi="仿宋" w:eastAsia="仿宋"/>
                <w:color w:val="000000"/>
                <w:sz w:val="20"/>
                <w:szCs w:val="20"/>
              </w:rPr>
              <w:t>秒＜时长</w:t>
            </w:r>
          </w:p>
        </w:tc>
        <w:tc>
          <w:tcPr>
            <w:tcW w:w="3188" w:type="dxa"/>
            <w:vMerge w:val="continue"/>
            <w:tcBorders>
              <w:top w:val="nil"/>
              <w:left w:val="single" w:color="auto" w:sz="4" w:space="0"/>
              <w:bottom w:val="single" w:color="auto" w:sz="4" w:space="0"/>
              <w:right w:val="single" w:color="auto" w:sz="4" w:space="0"/>
            </w:tcBorders>
            <w:noWrap w:val="0"/>
            <w:vAlign w:val="center"/>
          </w:tcPr>
          <w:p>
            <w:pPr>
              <w:widowControl/>
              <w:rPr>
                <w:rFonts w:ascii="仿宋" w:hAnsi="仿宋" w:eastAsia="仿宋"/>
                <w:color w:val="000000"/>
                <w:sz w:val="20"/>
                <w:szCs w:val="20"/>
              </w:rPr>
            </w:pPr>
          </w:p>
        </w:tc>
      </w:tr>
      <w:tr>
        <w:tblPrEx>
          <w:tblCellMar>
            <w:top w:w="0" w:type="dxa"/>
            <w:left w:w="108" w:type="dxa"/>
            <w:bottom w:w="0" w:type="dxa"/>
            <w:right w:w="108" w:type="dxa"/>
          </w:tblCellMar>
        </w:tblPrEx>
        <w:trPr>
          <w:trHeight w:val="807" w:hRule="atLeast"/>
        </w:trPr>
        <w:tc>
          <w:tcPr>
            <w:tcW w:w="63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9</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ind w:firstLine="200" w:firstLineChars="100"/>
              <w:rPr>
                <w:rFonts w:hint="eastAsia" w:ascii="仿宋" w:hAnsi="仿宋" w:eastAsia="仿宋"/>
                <w:color w:val="000000"/>
                <w:sz w:val="20"/>
                <w:szCs w:val="20"/>
              </w:rPr>
            </w:pPr>
            <w:r>
              <w:rPr>
                <w:rFonts w:hint="eastAsia" w:ascii="仿宋" w:hAnsi="仿宋" w:eastAsia="仿宋"/>
                <w:color w:val="000000"/>
                <w:sz w:val="20"/>
                <w:szCs w:val="20"/>
              </w:rPr>
              <w:t>视频剪辑</w:t>
            </w:r>
          </w:p>
        </w:tc>
        <w:tc>
          <w:tcPr>
            <w:tcW w:w="192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rPr>
                <w:rFonts w:ascii="仿宋" w:hAnsi="仿宋" w:eastAsia="仿宋"/>
                <w:color w:val="000000"/>
                <w:sz w:val="20"/>
                <w:szCs w:val="20"/>
              </w:rPr>
            </w:pPr>
            <w:r>
              <w:rPr>
                <w:rFonts w:hint="eastAsia" w:ascii="仿宋" w:hAnsi="仿宋" w:eastAsia="仿宋"/>
                <w:color w:val="000000"/>
                <w:sz w:val="20"/>
                <w:szCs w:val="20"/>
              </w:rPr>
              <w:t>脚本、剪辑、配音、配乐</w:t>
            </w:r>
          </w:p>
        </w:tc>
        <w:tc>
          <w:tcPr>
            <w:tcW w:w="698"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条</w:t>
            </w:r>
          </w:p>
        </w:tc>
        <w:tc>
          <w:tcPr>
            <w:tcW w:w="952"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lang w:val="en-US" w:eastAsia="zh-CN"/>
              </w:rPr>
            </w:pPr>
            <w:r>
              <w:rPr>
                <w:rFonts w:hint="eastAsia" w:ascii="仿宋" w:hAnsi="仿宋" w:eastAsia="仿宋"/>
                <w:color w:val="000000"/>
                <w:sz w:val="20"/>
                <w:szCs w:val="20"/>
                <w:lang w:val="en-US" w:eastAsia="zh-CN"/>
              </w:rPr>
              <w:t>5</w:t>
            </w:r>
          </w:p>
        </w:tc>
        <w:tc>
          <w:tcPr>
            <w:tcW w:w="2126"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根据项目需要</w:t>
            </w:r>
          </w:p>
        </w:tc>
        <w:tc>
          <w:tcPr>
            <w:tcW w:w="3188"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 w:hAnsi="仿宋" w:eastAsia="仿宋"/>
                <w:color w:val="000000"/>
                <w:sz w:val="20"/>
                <w:szCs w:val="20"/>
              </w:rPr>
            </w:pPr>
            <w:r>
              <w:rPr>
                <w:rFonts w:hint="eastAsia" w:ascii="仿宋" w:hAnsi="仿宋" w:eastAsia="仿宋"/>
                <w:color w:val="000000"/>
                <w:sz w:val="20"/>
                <w:szCs w:val="20"/>
              </w:rPr>
              <w:t>本项适用于该项视频无需拍摄，仅需提供根据招标人提供素材或网络素材进行的视频剪辑。</w:t>
            </w:r>
          </w:p>
        </w:tc>
      </w:tr>
    </w:tbl>
    <w:p>
      <w:pPr>
        <w:spacing w:line="360" w:lineRule="auto"/>
        <w:rPr>
          <w:rFonts w:ascii="仿宋" w:hAnsi="仿宋" w:eastAsia="仿宋" w:cs="仿宋"/>
          <w:color w:val="000000"/>
          <w:sz w:val="24"/>
          <w:szCs w:val="24"/>
        </w:rPr>
      </w:pPr>
      <w:r>
        <w:rPr>
          <w:rFonts w:hint="eastAsia" w:ascii="仿宋" w:hAnsi="仿宋" w:eastAsia="仿宋" w:cs="仿宋"/>
          <w:color w:val="000000"/>
          <w:sz w:val="24"/>
          <w:szCs w:val="24"/>
        </w:rPr>
        <w:t>备注：以上包含为完成视频制作工作需涉及的所有拍摄方式和剪辑手法。</w:t>
      </w:r>
    </w:p>
    <w:p>
      <w:pPr>
        <w:numPr>
          <w:ilvl w:val="0"/>
          <w:numId w:val="1"/>
        </w:numPr>
        <w:spacing w:line="360" w:lineRule="auto"/>
        <w:rPr>
          <w:rFonts w:ascii="仿宋" w:hAnsi="仿宋" w:eastAsia="仿宋" w:cs="仿宋"/>
          <w:b/>
          <w:color w:val="000000"/>
          <w:sz w:val="24"/>
        </w:rPr>
      </w:pPr>
      <w:r>
        <w:rPr>
          <w:rFonts w:hint="eastAsia" w:ascii="仿宋" w:hAnsi="仿宋" w:eastAsia="仿宋" w:cs="仿宋"/>
          <w:b/>
          <w:color w:val="000000"/>
          <w:sz w:val="24"/>
        </w:rPr>
        <w:t>视频运营服务</w:t>
      </w:r>
    </w:p>
    <w:p>
      <w:pPr>
        <w:pStyle w:val="2"/>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负责在视频制作完成并经招标人审核通过后，上架至指定的视频号、抖音号、小红书号等品牌及各项目官号，并负责品牌及</w:t>
      </w:r>
      <w:bookmarkStart w:id="0" w:name="_GoBack"/>
      <w:bookmarkEnd w:id="0"/>
      <w:r>
        <w:rPr>
          <w:rFonts w:hint="eastAsia" w:ascii="仿宋" w:hAnsi="仿宋" w:eastAsia="仿宋" w:cs="仿宋"/>
          <w:color w:val="000000"/>
          <w:sz w:val="24"/>
          <w:szCs w:val="24"/>
        </w:rPr>
        <w:t>各项目号的日常管理、维护。</w:t>
      </w:r>
    </w:p>
    <w:p>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以上为视频拍摄的常规性内容，根据招标人面临的具体问题，在与招标人深入沟通和合作的基础上，制定视频制作方案，经招标人同意，投标人可对服务内容进行适当调整，具体服务内容以甲乙双方合作签订服务合同为准。</w:t>
      </w:r>
    </w:p>
    <w:p>
      <w:pPr>
        <w:spacing w:before="240"/>
        <w:ind w:right="640"/>
        <w:rPr>
          <w:rFonts w:hint="eastAsia" w:ascii="仿宋" w:hAnsi="仿宋" w:eastAsia="仿宋" w:cs="仿宋"/>
          <w:b/>
          <w:bCs/>
          <w:sz w:val="32"/>
          <w:szCs w:val="32"/>
        </w:rPr>
      </w:pPr>
      <w:r>
        <w:rPr>
          <w:rFonts w:hint="eastAsia" w:ascii="仿宋" w:hAnsi="仿宋" w:eastAsia="仿宋" w:cs="仿宋"/>
          <w:b/>
          <w:bCs/>
          <w:sz w:val="32"/>
          <w:szCs w:val="32"/>
        </w:rPr>
        <w:t>二、质量成果要求</w:t>
      </w:r>
    </w:p>
    <w:p>
      <w:pPr>
        <w:spacing w:line="360" w:lineRule="auto"/>
        <w:ind w:firstLine="480" w:firstLineChars="200"/>
        <w:rPr>
          <w:rFonts w:hint="eastAsia" w:ascii="仿宋" w:hAnsi="仿宋" w:eastAsia="仿宋" w:cs="仿宋"/>
          <w:bCs/>
          <w:sz w:val="24"/>
          <w:szCs w:val="24"/>
        </w:rPr>
      </w:pPr>
      <w:r>
        <w:rPr>
          <w:rFonts w:hint="eastAsia" w:ascii="仿宋" w:hAnsi="仿宋" w:eastAsia="仿宋" w:cs="仿宋"/>
          <w:sz w:val="24"/>
          <w:szCs w:val="24"/>
        </w:rPr>
        <w:t>1、质量目标：达到国家现行规范、规定所要求的项目的深度要求，并满足招标人要求。</w:t>
      </w:r>
      <w:r>
        <w:rPr>
          <w:rFonts w:hint="eastAsia" w:ascii="仿宋" w:hAnsi="仿宋" w:eastAsia="仿宋" w:cs="仿宋"/>
          <w:bCs/>
          <w:sz w:val="24"/>
          <w:szCs w:val="24"/>
        </w:rPr>
        <w:t>结合项目定位，</w:t>
      </w:r>
      <w:r>
        <w:rPr>
          <w:rFonts w:hint="eastAsia" w:ascii="仿宋" w:hAnsi="仿宋" w:eastAsia="仿宋" w:cs="仿宋"/>
          <w:sz w:val="24"/>
          <w:szCs w:val="24"/>
        </w:rPr>
        <w:t>完成项目视频号运营的</w:t>
      </w:r>
      <w:r>
        <w:rPr>
          <w:rFonts w:hint="eastAsia" w:ascii="仿宋" w:hAnsi="仿宋" w:eastAsia="仿宋" w:cs="仿宋"/>
          <w:bCs/>
          <w:sz w:val="24"/>
          <w:szCs w:val="24"/>
        </w:rPr>
        <w:t>内容完善，内容优质创新；</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2、执行标准：执行国家、广东省、珠海市现行法律法规及相关规定要求。</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3、成果要求：所有图文、视频、软文、文案策划以招标人审核同意为准；</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版权要求：除招标人提供的素材以外，投标人设计制作所使用的素材内容均应合法，不侵犯任何其他权利人的合法权益；因投标人所使用的作品产生的版权或其它纠纷，使我司及合作的第三方陷入任何法律纠纷、行政处罚、诉讼或仲裁等，均由投标人公司负责解决和承担相关费用（包括但不限于律师费、赔偿金、行政罚金等），以及由于上述原因，造成我司的全部损失（包括但不限于任何直接、间接、附带衍生的损失）全部由投标人承担并赔偿。</w:t>
      </w:r>
      <w:r>
        <w:rPr>
          <w:rFonts w:ascii="仿宋" w:hAnsi="仿宋" w:eastAsia="仿宋" w:cs="仿宋"/>
          <w:sz w:val="24"/>
          <w:szCs w:val="24"/>
        </w:rPr>
        <w:t>本项目所有中间成果、最终成果及拍摄原始素材的知识产权均归</w:t>
      </w:r>
      <w:r>
        <w:rPr>
          <w:rFonts w:hint="eastAsia" w:ascii="仿宋" w:hAnsi="仿宋" w:eastAsia="仿宋" w:cs="仿宋"/>
          <w:sz w:val="24"/>
          <w:szCs w:val="24"/>
        </w:rPr>
        <w:t>招标人</w:t>
      </w:r>
      <w:r>
        <w:rPr>
          <w:rFonts w:ascii="仿宋" w:hAnsi="仿宋" w:eastAsia="仿宋" w:cs="仿宋"/>
          <w:sz w:val="24"/>
          <w:szCs w:val="24"/>
        </w:rPr>
        <w:t>所有，未经</w:t>
      </w:r>
      <w:r>
        <w:rPr>
          <w:rFonts w:hint="eastAsia" w:ascii="仿宋" w:hAnsi="仿宋" w:eastAsia="仿宋" w:cs="仿宋"/>
          <w:sz w:val="24"/>
          <w:szCs w:val="24"/>
        </w:rPr>
        <w:t>招标人</w:t>
      </w:r>
      <w:r>
        <w:rPr>
          <w:rFonts w:ascii="仿宋" w:hAnsi="仿宋" w:eastAsia="仿宋" w:cs="仿宋"/>
          <w:sz w:val="24"/>
          <w:szCs w:val="24"/>
        </w:rPr>
        <w:t>同意，</w:t>
      </w:r>
      <w:r>
        <w:rPr>
          <w:rFonts w:hint="eastAsia" w:ascii="仿宋" w:hAnsi="仿宋" w:eastAsia="仿宋" w:cs="仿宋"/>
          <w:sz w:val="24"/>
          <w:szCs w:val="24"/>
        </w:rPr>
        <w:t>投标人</w:t>
      </w:r>
      <w:r>
        <w:rPr>
          <w:rFonts w:ascii="仿宋" w:hAnsi="仿宋" w:eastAsia="仿宋" w:cs="仿宋"/>
          <w:sz w:val="24"/>
          <w:szCs w:val="24"/>
        </w:rPr>
        <w:t>不得外泄或用于本项目以外的其他用途。</w:t>
      </w:r>
    </w:p>
    <w:p>
      <w:pPr>
        <w:numPr>
          <w:ilvl w:val="0"/>
          <w:numId w:val="2"/>
        </w:numPr>
        <w:spacing w:before="240"/>
        <w:ind w:right="640"/>
        <w:rPr>
          <w:rFonts w:hint="eastAsia" w:ascii="仿宋" w:hAnsi="仿宋" w:eastAsia="仿宋" w:cs="仿宋"/>
          <w:b/>
          <w:bCs/>
          <w:sz w:val="32"/>
          <w:szCs w:val="32"/>
        </w:rPr>
      </w:pPr>
      <w:r>
        <w:rPr>
          <w:rFonts w:hint="eastAsia" w:ascii="仿宋" w:hAnsi="仿宋" w:eastAsia="仿宋" w:cs="仿宋"/>
          <w:b/>
          <w:bCs/>
          <w:sz w:val="32"/>
          <w:szCs w:val="32"/>
        </w:rPr>
        <w:t>运营公司资质要求</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w:t>
      </w:r>
      <w:r>
        <w:rPr>
          <w:rFonts w:ascii="仿宋" w:hAnsi="仿宋" w:eastAsia="仿宋" w:cs="仿宋"/>
          <w:sz w:val="24"/>
          <w:szCs w:val="24"/>
        </w:rPr>
        <w:t>投标人须为在中华人民共和国境内注册的法人或其他组织，具有独立承担民事责任的能力，提供有效的营业执照复印件</w:t>
      </w:r>
      <w:r>
        <w:rPr>
          <w:rFonts w:hint="eastAsia" w:ascii="仿宋" w:hAnsi="仿宋" w:eastAsia="仿宋" w:cs="仿宋"/>
          <w:sz w:val="24"/>
          <w:szCs w:val="24"/>
        </w:rPr>
        <w:t>；</w:t>
      </w:r>
      <w:r>
        <w:rPr>
          <w:rFonts w:ascii="仿宋" w:hAnsi="仿宋" w:eastAsia="仿宋" w:cs="仿宋"/>
          <w:sz w:val="24"/>
          <w:szCs w:val="24"/>
        </w:rPr>
        <w:t>本项目</w:t>
      </w:r>
      <w:r>
        <w:rPr>
          <w:rFonts w:ascii="仿宋" w:hAnsi="仿宋" w:eastAsia="仿宋" w:cs="仿宋"/>
          <w:b/>
          <w:bCs/>
          <w:sz w:val="24"/>
          <w:szCs w:val="24"/>
        </w:rPr>
        <w:t>不接受联合体投标</w:t>
      </w:r>
      <w:r>
        <w:rPr>
          <w:rFonts w:hint="eastAsia" w:ascii="仿宋" w:hAnsi="仿宋" w:eastAsia="仿宋" w:cs="仿宋"/>
          <w:sz w:val="24"/>
          <w:szCs w:val="24"/>
        </w:rPr>
        <w:t>；禁止中标单位以任何形式将本服务外包给第三方单位；</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w:t>
      </w:r>
      <w:r>
        <w:rPr>
          <w:rFonts w:ascii="仿宋" w:hAnsi="仿宋" w:eastAsia="仿宋" w:cs="仿宋"/>
          <w:sz w:val="24"/>
          <w:szCs w:val="24"/>
        </w:rPr>
        <w:t>近3年（</w:t>
      </w:r>
      <w:r>
        <w:rPr>
          <w:rFonts w:hint="eastAsia" w:ascii="仿宋" w:hAnsi="仿宋" w:eastAsia="仿宋" w:cs="仿宋"/>
          <w:sz w:val="24"/>
          <w:szCs w:val="24"/>
        </w:rPr>
        <w:t>招标通知书发出之日起</w:t>
      </w:r>
      <w:r>
        <w:rPr>
          <w:rFonts w:ascii="仿宋" w:hAnsi="仿宋" w:eastAsia="仿宋" w:cs="仿宋"/>
          <w:sz w:val="24"/>
          <w:szCs w:val="24"/>
        </w:rPr>
        <w:t>至今）</w:t>
      </w:r>
      <w:r>
        <w:rPr>
          <w:rFonts w:hint="eastAsia" w:ascii="仿宋" w:hAnsi="仿宋" w:eastAsia="仿宋" w:cs="仿宋"/>
          <w:sz w:val="24"/>
          <w:szCs w:val="24"/>
        </w:rPr>
        <w:t>签署的</w:t>
      </w:r>
      <w:r>
        <w:rPr>
          <w:rFonts w:ascii="仿宋" w:hAnsi="仿宋" w:eastAsia="仿宋" w:cs="仿宋"/>
          <w:sz w:val="24"/>
          <w:szCs w:val="24"/>
        </w:rPr>
        <w:t>视频拍摄/制作类业绩合同不少于</w:t>
      </w:r>
      <w:r>
        <w:rPr>
          <w:rFonts w:ascii="仿宋" w:hAnsi="仿宋" w:eastAsia="仿宋" w:cs="仿宋"/>
          <w:b/>
          <w:bCs/>
          <w:sz w:val="24"/>
          <w:szCs w:val="24"/>
        </w:rPr>
        <w:t>3个</w:t>
      </w:r>
      <w:r>
        <w:rPr>
          <w:rFonts w:ascii="仿宋" w:hAnsi="仿宋" w:eastAsia="仿宋" w:cs="仿宋"/>
          <w:sz w:val="24"/>
          <w:szCs w:val="24"/>
        </w:rPr>
        <w:t>，其中</w:t>
      </w:r>
      <w:r>
        <w:rPr>
          <w:rFonts w:hint="eastAsia" w:ascii="仿宋" w:hAnsi="仿宋" w:eastAsia="仿宋" w:cs="仿宋"/>
          <w:sz w:val="24"/>
          <w:szCs w:val="24"/>
        </w:rPr>
        <w:t>合同含视频拍摄服务内容的年框类</w:t>
      </w:r>
      <w:r>
        <w:rPr>
          <w:rFonts w:ascii="仿宋" w:hAnsi="仿宋" w:eastAsia="仿宋" w:cs="仿宋"/>
          <w:sz w:val="24"/>
          <w:szCs w:val="24"/>
        </w:rPr>
        <w:t>合同至少1个。</w:t>
      </w:r>
      <w:r>
        <w:rPr>
          <w:rFonts w:hint="eastAsia" w:ascii="仿宋" w:hAnsi="仿宋" w:eastAsia="仿宋" w:cs="仿宋"/>
          <w:sz w:val="24"/>
          <w:szCs w:val="24"/>
        </w:rPr>
        <w:t>业绩资料均需</w:t>
      </w:r>
      <w:r>
        <w:rPr>
          <w:rFonts w:ascii="仿宋" w:hAnsi="仿宋" w:eastAsia="仿宋" w:cs="仿宋"/>
          <w:sz w:val="24"/>
          <w:szCs w:val="24"/>
        </w:rPr>
        <w:t>提供完整业绩证明资料：合同首页、合同范围页、签字盖章页、合同金额页扫描件</w:t>
      </w:r>
      <w:r>
        <w:rPr>
          <w:rFonts w:hint="eastAsia" w:ascii="仿宋" w:hAnsi="仿宋" w:eastAsia="仿宋" w:cs="仿宋"/>
          <w:sz w:val="24"/>
          <w:szCs w:val="24"/>
        </w:rPr>
        <w:t>，并加盖公章；</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w:t>
      </w:r>
      <w:r>
        <w:rPr>
          <w:rFonts w:ascii="Segoe UI" w:hAnsi="Segoe UI" w:cs="Segoe UI"/>
          <w:color w:val="0F1115"/>
          <w:sz w:val="24"/>
          <w:szCs w:val="24"/>
        </w:rPr>
        <w:t xml:space="preserve"> </w:t>
      </w:r>
      <w:r>
        <w:rPr>
          <w:rFonts w:ascii="仿宋" w:hAnsi="仿宋" w:eastAsia="仿宋" w:cs="仿宋"/>
          <w:sz w:val="24"/>
          <w:szCs w:val="24"/>
        </w:rPr>
        <w:t>投标人需配备至少</w:t>
      </w:r>
      <w:r>
        <w:rPr>
          <w:rFonts w:hint="eastAsia" w:ascii="仿宋" w:hAnsi="仿宋" w:eastAsia="仿宋" w:cs="仿宋"/>
          <w:b/>
          <w:bCs/>
          <w:sz w:val="24"/>
          <w:szCs w:val="24"/>
        </w:rPr>
        <w:t>4</w:t>
      </w:r>
      <w:r>
        <w:rPr>
          <w:rFonts w:ascii="仿宋" w:hAnsi="仿宋" w:eastAsia="仿宋" w:cs="仿宋"/>
          <w:b/>
          <w:bCs/>
          <w:sz w:val="24"/>
          <w:szCs w:val="24"/>
        </w:rPr>
        <w:t>人</w:t>
      </w:r>
      <w:r>
        <w:rPr>
          <w:rFonts w:ascii="仿宋" w:hAnsi="仿宋" w:eastAsia="仿宋" w:cs="仿宋"/>
          <w:sz w:val="24"/>
          <w:szCs w:val="24"/>
        </w:rPr>
        <w:t>及以上团队为本项目提供服务，提供团队成员最近</w:t>
      </w:r>
      <w:r>
        <w:rPr>
          <w:rFonts w:hint="eastAsia" w:ascii="仿宋" w:hAnsi="仿宋" w:eastAsia="仿宋" w:cs="仿宋"/>
          <w:b/>
          <w:bCs/>
          <w:sz w:val="24"/>
          <w:szCs w:val="24"/>
        </w:rPr>
        <w:t>3</w:t>
      </w:r>
      <w:r>
        <w:rPr>
          <w:rFonts w:ascii="仿宋" w:hAnsi="仿宋" w:eastAsia="仿宋" w:cs="仿宋"/>
          <w:b/>
          <w:bCs/>
          <w:sz w:val="24"/>
          <w:szCs w:val="24"/>
        </w:rPr>
        <w:t>个月</w:t>
      </w:r>
      <w:r>
        <w:rPr>
          <w:rFonts w:ascii="仿宋" w:hAnsi="仿宋" w:eastAsia="仿宋" w:cs="仿宋"/>
          <w:sz w:val="24"/>
          <w:szCs w:val="24"/>
        </w:rPr>
        <w:t>的本单位社保证明</w:t>
      </w:r>
      <w:r>
        <w:rPr>
          <w:rFonts w:hint="eastAsia" w:ascii="仿宋" w:hAnsi="仿宋" w:eastAsia="仿宋" w:cs="仿宋"/>
          <w:sz w:val="24"/>
          <w:szCs w:val="24"/>
        </w:rPr>
        <w:t>；</w:t>
      </w:r>
    </w:p>
    <w:p>
      <w:pPr>
        <w:pStyle w:val="2"/>
        <w:ind w:firstLine="480" w:firstLineChars="200"/>
        <w:rPr>
          <w:rFonts w:hint="eastAsia" w:ascii="仿宋" w:hAnsi="仿宋" w:eastAsia="仿宋" w:cs="仿宋"/>
          <w:sz w:val="24"/>
          <w:szCs w:val="24"/>
        </w:rPr>
      </w:pPr>
      <w:r>
        <w:rPr>
          <w:rFonts w:hint="eastAsia" w:ascii="仿宋" w:hAnsi="仿宋" w:eastAsia="仿宋" w:cs="仿宋"/>
          <w:sz w:val="24"/>
          <w:szCs w:val="24"/>
        </w:rPr>
        <w:t>4.</w:t>
      </w:r>
      <w:r>
        <w:rPr>
          <w:rFonts w:ascii="仿宋" w:hAnsi="仿宋" w:eastAsia="仿宋" w:cs="仿宋"/>
          <w:sz w:val="24"/>
          <w:szCs w:val="24"/>
        </w:rPr>
        <w:t xml:space="preserve"> </w:t>
      </w:r>
      <w:r>
        <w:rPr>
          <w:rFonts w:hint="eastAsia" w:ascii="仿宋" w:hAnsi="仿宋" w:eastAsia="仿宋" w:cs="仿宋"/>
          <w:sz w:val="24"/>
          <w:szCs w:val="24"/>
        </w:rPr>
        <w:t>投标人未在</w:t>
      </w:r>
      <w:r>
        <w:rPr>
          <w:rFonts w:ascii="仿宋" w:hAnsi="仿宋" w:eastAsia="仿宋" w:cs="仿宋"/>
          <w:sz w:val="24"/>
          <w:szCs w:val="24"/>
        </w:rPr>
        <w:t>“信用中国”网站被列为失信被执行人</w:t>
      </w:r>
      <w:r>
        <w:rPr>
          <w:rFonts w:hint="eastAsia" w:ascii="仿宋" w:hAnsi="仿宋" w:eastAsia="仿宋" w:cs="仿宋"/>
          <w:sz w:val="24"/>
          <w:szCs w:val="24"/>
        </w:rPr>
        <w:t>，需提供信用中国网站截图；且</w:t>
      </w:r>
      <w:r>
        <w:rPr>
          <w:rFonts w:ascii="仿宋" w:hAnsi="仿宋" w:eastAsia="仿宋" w:cs="仿宋"/>
          <w:sz w:val="24"/>
          <w:szCs w:val="24"/>
        </w:rPr>
        <w:t>近三年内在经营活动中</w:t>
      </w:r>
      <w:r>
        <w:rPr>
          <w:rFonts w:hint="eastAsia" w:ascii="仿宋" w:hAnsi="仿宋" w:eastAsia="仿宋" w:cs="仿宋"/>
          <w:sz w:val="24"/>
          <w:szCs w:val="24"/>
        </w:rPr>
        <w:t>无</w:t>
      </w:r>
      <w:r>
        <w:rPr>
          <w:rFonts w:ascii="仿宋" w:hAnsi="仿宋" w:eastAsia="仿宋" w:cs="仿宋"/>
          <w:sz w:val="24"/>
          <w:szCs w:val="24"/>
        </w:rPr>
        <w:t>重大违法记录，</w:t>
      </w:r>
      <w:r>
        <w:rPr>
          <w:rFonts w:hint="eastAsia" w:ascii="仿宋" w:hAnsi="仿宋" w:eastAsia="仿宋" w:cs="仿宋"/>
          <w:sz w:val="24"/>
          <w:szCs w:val="24"/>
        </w:rPr>
        <w:t>需</w:t>
      </w:r>
      <w:r>
        <w:rPr>
          <w:rFonts w:ascii="仿宋" w:hAnsi="仿宋" w:eastAsia="仿宋" w:cs="仿宋"/>
          <w:sz w:val="24"/>
          <w:szCs w:val="24"/>
        </w:rPr>
        <w:t>提供书面声明</w:t>
      </w:r>
      <w:r>
        <w:rPr>
          <w:rFonts w:hint="eastAsia" w:ascii="仿宋" w:hAnsi="仿宋" w:eastAsia="仿宋" w:cs="仿宋"/>
          <w:sz w:val="24"/>
          <w:szCs w:val="24"/>
        </w:rPr>
        <w:t>。</w:t>
      </w:r>
    </w:p>
    <w:p>
      <w:pPr>
        <w:spacing w:before="240" w:line="360" w:lineRule="auto"/>
        <w:ind w:right="640"/>
        <w:rPr>
          <w:rFonts w:hint="eastAsia" w:ascii="仿宋" w:hAnsi="仿宋" w:eastAsia="仿宋" w:cs="仿宋"/>
          <w:b/>
          <w:bCs/>
          <w:sz w:val="32"/>
          <w:szCs w:val="32"/>
        </w:rPr>
      </w:pPr>
      <w:r>
        <w:rPr>
          <w:rFonts w:hint="eastAsia" w:ascii="仿宋" w:hAnsi="仿宋" w:eastAsia="仿宋" w:cs="仿宋"/>
          <w:b/>
          <w:bCs/>
          <w:sz w:val="32"/>
          <w:szCs w:val="32"/>
        </w:rPr>
        <w:t>四、工期及服务要求</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1.关于招标文件发出后，提交投标方案（含报价），同时投标人应按照招标人需求进行讲标，招标人据此进行评标；</w:t>
      </w:r>
    </w:p>
    <w:p>
      <w:pPr>
        <w:pStyle w:val="25"/>
        <w:spacing w:before="0" w:beforeAutospacing="0" w:after="0" w:afterAutospacing="0" w:line="360" w:lineRule="auto"/>
        <w:ind w:firstLine="480" w:firstLineChars="200"/>
        <w:rPr>
          <w:rFonts w:hint="eastAsia" w:ascii="仿宋" w:hAnsi="仿宋" w:eastAsia="仿宋" w:cs="仿宋"/>
        </w:rPr>
      </w:pPr>
      <w:r>
        <w:rPr>
          <w:rFonts w:hint="eastAsia" w:ascii="仿宋" w:hAnsi="仿宋" w:eastAsia="仿宋" w:cs="仿宋"/>
          <w:szCs w:val="24"/>
        </w:rPr>
        <w:t>2.</w:t>
      </w:r>
      <w:r>
        <w:rPr>
          <w:rFonts w:hint="eastAsia" w:ascii="仿宋" w:hAnsi="仿宋" w:eastAsia="仿宋" w:cs="仿宋"/>
        </w:rPr>
        <w:t>本次签订合同服务期限1年（暂定2026年8月1日至2027年7月31日，以合同具体约定时间为准），如果时间有变化，由甲、乙双方共同协商确定。以上时间，起始日期最终以我司的通知时间为准，不包括我司反馈意见的时间。含双方会议评审时间。且根据招标人通知及项目进度需求，投标人须配合完成相关工作；</w:t>
      </w:r>
    </w:p>
    <w:p>
      <w:pPr>
        <w:pStyle w:val="25"/>
        <w:spacing w:before="0" w:beforeAutospacing="0" w:after="0" w:afterAutospacing="0" w:line="360" w:lineRule="auto"/>
        <w:ind w:firstLine="480" w:firstLineChars="200"/>
        <w:rPr>
          <w:rFonts w:hint="eastAsia" w:ascii="仿宋" w:hAnsi="仿宋" w:eastAsia="仿宋" w:cs="仿宋"/>
          <w:bCs/>
          <w:color w:val="000000"/>
          <w:szCs w:val="24"/>
        </w:rPr>
      </w:pPr>
      <w:r>
        <w:rPr>
          <w:rFonts w:hint="eastAsia" w:ascii="仿宋" w:hAnsi="仿宋" w:eastAsia="仿宋" w:cs="仿宋"/>
          <w:bCs/>
          <w:color w:val="000000"/>
          <w:szCs w:val="24"/>
        </w:rPr>
        <w:t>备注：由于投标人各阶段出品质量、效果及其他因素达不到招标人原要求而造成服务增加，所产生的额外费用及服务招标人不承担。</w:t>
      </w:r>
    </w:p>
    <w:p>
      <w:pPr>
        <w:spacing w:before="240" w:line="360" w:lineRule="auto"/>
        <w:ind w:right="640"/>
        <w:rPr>
          <w:rFonts w:ascii="仿宋" w:hAnsi="仿宋" w:eastAsia="仿宋" w:cs="仿宋"/>
          <w:b/>
          <w:bCs/>
          <w:sz w:val="32"/>
          <w:szCs w:val="32"/>
        </w:rPr>
      </w:pPr>
      <w:r>
        <w:rPr>
          <w:rFonts w:hint="eastAsia" w:ascii="仿宋" w:hAnsi="仿宋" w:eastAsia="仿宋" w:cs="仿宋"/>
          <w:b/>
          <w:bCs/>
          <w:sz w:val="32"/>
          <w:szCs w:val="32"/>
        </w:rPr>
        <w:t>五、费用结算：</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投标人按月度将实际发生并完成验收的视频制作及运营服务事项在次月10日前提交相关验收资料至项目对接人，按项目所属公司进行费用结算。</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如因投标人提交资料缺漏导致无法结算的，在补齐资料后缺漏部分单独提请结算，结算时间顺延至资料齐全后次月。</w:t>
      </w:r>
    </w:p>
    <w:p>
      <w:pPr>
        <w:spacing w:before="240" w:line="360" w:lineRule="auto"/>
        <w:ind w:right="640"/>
        <w:rPr>
          <w:rFonts w:hint="eastAsia" w:ascii="仿宋" w:hAnsi="仿宋" w:eastAsia="仿宋" w:cs="仿宋"/>
          <w:b/>
          <w:bCs/>
          <w:sz w:val="32"/>
          <w:szCs w:val="32"/>
        </w:rPr>
      </w:pPr>
      <w:r>
        <w:rPr>
          <w:rFonts w:hint="eastAsia" w:ascii="仿宋" w:hAnsi="仿宋" w:eastAsia="仿宋" w:cs="仿宋"/>
          <w:b/>
          <w:bCs/>
          <w:sz w:val="32"/>
          <w:szCs w:val="32"/>
        </w:rPr>
        <w:t>六、其他事项</w:t>
      </w:r>
    </w:p>
    <w:p>
      <w:pPr>
        <w:spacing w:line="360" w:lineRule="auto"/>
        <w:ind w:firstLine="480" w:firstLineChars="200"/>
        <w:rPr>
          <w:rFonts w:hint="eastAsia" w:ascii="仿宋" w:hAnsi="仿宋" w:eastAsia="仿宋" w:cs="仿宋"/>
          <w:bCs/>
          <w:color w:val="000000"/>
          <w:sz w:val="24"/>
          <w:szCs w:val="24"/>
        </w:rPr>
      </w:pPr>
      <w:r>
        <w:rPr>
          <w:rFonts w:hint="eastAsia" w:ascii="仿宋" w:hAnsi="仿宋" w:eastAsia="仿宋" w:cs="仿宋"/>
          <w:bCs/>
          <w:color w:val="000000"/>
          <w:sz w:val="24"/>
          <w:szCs w:val="24"/>
        </w:rPr>
        <w:t>1.投标人在咨询服务过程中必须积极响应招标人的管理要求，否则招标人有权将其列入诚信黑名单。</w:t>
      </w:r>
    </w:p>
    <w:p>
      <w:pPr>
        <w:spacing w:line="360" w:lineRule="auto"/>
        <w:ind w:firstLine="480" w:firstLineChars="200"/>
        <w:rPr>
          <w:rFonts w:hint="eastAsia" w:ascii="仿宋" w:hAnsi="仿宋" w:eastAsia="仿宋" w:cs="仿宋"/>
          <w:bCs/>
          <w:color w:val="000000"/>
          <w:sz w:val="24"/>
          <w:szCs w:val="24"/>
        </w:rPr>
      </w:pPr>
      <w:r>
        <w:rPr>
          <w:rFonts w:hint="eastAsia" w:ascii="仿宋" w:hAnsi="仿宋" w:eastAsia="仿宋" w:cs="仿宋"/>
          <w:bCs/>
          <w:color w:val="000000"/>
          <w:sz w:val="24"/>
          <w:szCs w:val="24"/>
        </w:rPr>
        <w:t>2.中标方式：综合评标（商务标、经济标、技术标，商务标需提供相关证明资料，技术标需提供技术方案，经济标按服务费费率）</w:t>
      </w:r>
    </w:p>
    <w:p>
      <w:pPr>
        <w:spacing w:before="240" w:line="360" w:lineRule="auto"/>
        <w:ind w:right="640"/>
        <w:rPr>
          <w:rFonts w:hint="eastAsia" w:ascii="仿宋" w:hAnsi="仿宋" w:eastAsia="仿宋" w:cs="仿宋"/>
          <w:b/>
          <w:bCs/>
          <w:sz w:val="32"/>
          <w:szCs w:val="32"/>
        </w:rPr>
      </w:pPr>
      <w:r>
        <w:rPr>
          <w:rFonts w:hint="eastAsia" w:ascii="仿宋" w:hAnsi="仿宋" w:eastAsia="仿宋" w:cs="仿宋"/>
          <w:b/>
          <w:bCs/>
          <w:sz w:val="32"/>
          <w:szCs w:val="32"/>
        </w:rPr>
        <w:t>七、取费标准（价款或者报酬）：</w:t>
      </w:r>
    </w:p>
    <w:p>
      <w:pPr>
        <w:spacing w:line="360" w:lineRule="auto"/>
        <w:ind w:firstLine="480" w:firstLineChars="200"/>
        <w:rPr>
          <w:rFonts w:hint="eastAsia" w:ascii="宋体" w:hAnsi="宋体"/>
          <w:bCs/>
          <w:sz w:val="21"/>
          <w:szCs w:val="21"/>
        </w:rPr>
      </w:pPr>
      <w:r>
        <w:rPr>
          <w:rFonts w:hint="eastAsia" w:ascii="仿宋" w:hAnsi="仿宋" w:eastAsia="仿宋" w:cs="仿宋"/>
          <w:bCs/>
          <w:sz w:val="24"/>
        </w:rPr>
        <w:t>报价包括但不限于完成招标人视频号运营服务所发生</w:t>
      </w:r>
      <w:r>
        <w:rPr>
          <w:rFonts w:hint="eastAsia" w:ascii="仿宋" w:hAnsi="仿宋" w:eastAsia="仿宋" w:cs="仿宋"/>
          <w:sz w:val="24"/>
        </w:rPr>
        <w:t>团队交通、办公、通讯、住宿、餐饮、工资、奖金、福利、劳保、保险、税金、管理、利润、商业素材购买、演员聘请、拍摄器材、拍摄道具、服装、化妆等</w:t>
      </w:r>
      <w:r>
        <w:rPr>
          <w:rFonts w:hint="eastAsia" w:ascii="仿宋" w:hAnsi="仿宋" w:eastAsia="仿宋" w:cs="仿宋"/>
          <w:color w:val="000000"/>
          <w:sz w:val="24"/>
        </w:rPr>
        <w:t>。</w:t>
      </w:r>
      <w:r>
        <w:rPr>
          <w:rFonts w:hint="eastAsia" w:ascii="仿宋" w:hAnsi="仿宋" w:eastAsia="仿宋" w:cs="仿宋"/>
          <w:bCs/>
          <w:sz w:val="24"/>
        </w:rPr>
        <w:t>除非双方另有约定，招标人无需就本合同项下全部权益向中标人或其人员支付任何其他费用。</w:t>
      </w:r>
    </w:p>
    <w:p>
      <w:pPr>
        <w:pStyle w:val="2"/>
        <w:rPr>
          <w:rFonts w:hint="eastAsia" w:ascii="仿宋" w:hAnsi="仿宋" w:eastAsia="仿宋" w:cs="仿宋"/>
          <w:bCs/>
          <w:color w:val="000000"/>
          <w:sz w:val="24"/>
          <w:szCs w:val="24"/>
          <w:lang w:bidi="en-US"/>
        </w:rPr>
      </w:pPr>
      <w:r>
        <w:rPr>
          <w:rFonts w:hint="eastAsia" w:ascii="仿宋" w:hAnsi="仿宋" w:eastAsia="仿宋" w:cs="仿宋"/>
          <w:bCs/>
          <w:color w:val="000000"/>
          <w:sz w:val="24"/>
          <w:szCs w:val="24"/>
          <w:lang w:bidi="en-US"/>
        </w:rPr>
        <w:br w:type="page"/>
      </w:r>
      <w:r>
        <w:rPr>
          <w:rFonts w:hint="eastAsia" w:ascii="仿宋" w:hAnsi="仿宋" w:eastAsia="仿宋" w:cs="仿宋"/>
          <w:bCs/>
          <w:color w:val="000000"/>
          <w:sz w:val="24"/>
          <w:szCs w:val="24"/>
          <w:lang w:bidi="en-US"/>
        </w:rPr>
        <w:t>附件：《投标人服务情况考核表》</w:t>
      </w:r>
    </w:p>
    <w:p>
      <w:pPr>
        <w:pStyle w:val="2"/>
        <w:spacing w:line="240" w:lineRule="auto"/>
        <w:rPr>
          <w:rFonts w:hint="eastAsia" w:ascii="仿宋" w:hAnsi="仿宋" w:eastAsia="仿宋" w:cs="仿宋"/>
          <w:bCs/>
          <w:color w:val="000000"/>
          <w:sz w:val="24"/>
          <w:szCs w:val="24"/>
          <w:lang w:bidi="en-US"/>
        </w:rPr>
      </w:pPr>
    </w:p>
    <w:sectPr>
      <w:footerReference r:id="rId3" w:type="default"/>
      <w:pgSz w:w="11906" w:h="16838"/>
      <w:pgMar w:top="1417" w:right="1701" w:bottom="1417" w:left="1701" w:header="720" w:footer="720" w:gutter="0"/>
      <w:cols w:space="72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1" w:fontKey="{50955335-DAD3-403A-8229-ECCE1E24CD30}"/>
  </w:font>
  <w:font w:name="Segoe UI">
    <w:panose1 w:val="020B0502040204020203"/>
    <w:charset w:val="00"/>
    <w:family w:val="swiss"/>
    <w:pitch w:val="default"/>
    <w:sig w:usb0="E4002EFF" w:usb1="C000E47F" w:usb2="00000009" w:usb3="00000000" w:csb0="200001FF" w:csb1="00000000"/>
    <w:embedRegular r:id="rId2" w:fontKey="{A1D2BE4F-C2DD-4AD2-834E-1E280D334D63}"/>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hint="eastAsia"/>
      </w:rPr>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1470FF"/>
    <w:multiLevelType w:val="singleLevel"/>
    <w:tmpl w:val="691470FF"/>
    <w:lvl w:ilvl="0" w:tentative="0">
      <w:start w:val="1"/>
      <w:numFmt w:val="decimal"/>
      <w:lvlText w:val="%1."/>
      <w:lvlJc w:val="left"/>
      <w:pPr>
        <w:ind w:left="425" w:hanging="425"/>
      </w:pPr>
      <w:rPr>
        <w:rFonts w:hint="default"/>
      </w:rPr>
    </w:lvl>
  </w:abstractNum>
  <w:abstractNum w:abstractNumId="1">
    <w:nsid w:val="6C6C386D"/>
    <w:multiLevelType w:val="multilevel"/>
    <w:tmpl w:val="6C6C386D"/>
    <w:lvl w:ilvl="0" w:tentative="0">
      <w:start w:val="3"/>
      <w:numFmt w:val="japaneseCounting"/>
      <w:lvlText w:val="%1、"/>
      <w:lvlJc w:val="left"/>
      <w:pPr>
        <w:ind w:left="660" w:hanging="6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2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3N2Q3NGE4ZGQ3ODZkMjJmYTEwYzI0NTM1YTQ3N2IifQ=="/>
  </w:docVars>
  <w:rsids>
    <w:rsidRoot w:val="00A0499F"/>
    <w:rsid w:val="000027A6"/>
    <w:rsid w:val="00003CA5"/>
    <w:rsid w:val="00017F16"/>
    <w:rsid w:val="00027461"/>
    <w:rsid w:val="00045620"/>
    <w:rsid w:val="0006045F"/>
    <w:rsid w:val="00065397"/>
    <w:rsid w:val="0007202D"/>
    <w:rsid w:val="0007528B"/>
    <w:rsid w:val="000925D2"/>
    <w:rsid w:val="00096BD0"/>
    <w:rsid w:val="000B6AA1"/>
    <w:rsid w:val="000C2F04"/>
    <w:rsid w:val="000C5732"/>
    <w:rsid w:val="000D256F"/>
    <w:rsid w:val="000D50C5"/>
    <w:rsid w:val="000E4F53"/>
    <w:rsid w:val="000F4E3A"/>
    <w:rsid w:val="001054EF"/>
    <w:rsid w:val="00131213"/>
    <w:rsid w:val="001360C1"/>
    <w:rsid w:val="00141575"/>
    <w:rsid w:val="00145E9A"/>
    <w:rsid w:val="00152A48"/>
    <w:rsid w:val="001879E7"/>
    <w:rsid w:val="00191417"/>
    <w:rsid w:val="001959D5"/>
    <w:rsid w:val="001B477A"/>
    <w:rsid w:val="001B540A"/>
    <w:rsid w:val="001C2E93"/>
    <w:rsid w:val="001E0E0F"/>
    <w:rsid w:val="001E5A2A"/>
    <w:rsid w:val="001E7B3E"/>
    <w:rsid w:val="0021161A"/>
    <w:rsid w:val="00243165"/>
    <w:rsid w:val="00250D30"/>
    <w:rsid w:val="0025239F"/>
    <w:rsid w:val="00264DEC"/>
    <w:rsid w:val="00290F19"/>
    <w:rsid w:val="00292491"/>
    <w:rsid w:val="002C075B"/>
    <w:rsid w:val="002D698E"/>
    <w:rsid w:val="002E4F63"/>
    <w:rsid w:val="00310D7F"/>
    <w:rsid w:val="0034052E"/>
    <w:rsid w:val="003426E9"/>
    <w:rsid w:val="00350AFD"/>
    <w:rsid w:val="00355F7F"/>
    <w:rsid w:val="003A2D9C"/>
    <w:rsid w:val="003A60A9"/>
    <w:rsid w:val="003B097D"/>
    <w:rsid w:val="003C28B9"/>
    <w:rsid w:val="003C2E04"/>
    <w:rsid w:val="003F0789"/>
    <w:rsid w:val="00417795"/>
    <w:rsid w:val="0042087D"/>
    <w:rsid w:val="004215C3"/>
    <w:rsid w:val="0045698C"/>
    <w:rsid w:val="004702BB"/>
    <w:rsid w:val="00484247"/>
    <w:rsid w:val="00491C3D"/>
    <w:rsid w:val="004945B9"/>
    <w:rsid w:val="00497E46"/>
    <w:rsid w:val="004C5100"/>
    <w:rsid w:val="004F51D8"/>
    <w:rsid w:val="00511378"/>
    <w:rsid w:val="00511738"/>
    <w:rsid w:val="0053286A"/>
    <w:rsid w:val="00551673"/>
    <w:rsid w:val="00591C3C"/>
    <w:rsid w:val="005B56F9"/>
    <w:rsid w:val="005C0A39"/>
    <w:rsid w:val="005D5C65"/>
    <w:rsid w:val="005E4016"/>
    <w:rsid w:val="005F012D"/>
    <w:rsid w:val="005F5676"/>
    <w:rsid w:val="006168F4"/>
    <w:rsid w:val="00647487"/>
    <w:rsid w:val="006508B4"/>
    <w:rsid w:val="00656460"/>
    <w:rsid w:val="006843C1"/>
    <w:rsid w:val="006B5A1E"/>
    <w:rsid w:val="006C3205"/>
    <w:rsid w:val="006D7D02"/>
    <w:rsid w:val="006E3321"/>
    <w:rsid w:val="007142C5"/>
    <w:rsid w:val="00717E39"/>
    <w:rsid w:val="00747603"/>
    <w:rsid w:val="007476B3"/>
    <w:rsid w:val="00750A49"/>
    <w:rsid w:val="007667D4"/>
    <w:rsid w:val="00766E58"/>
    <w:rsid w:val="00770F16"/>
    <w:rsid w:val="00772045"/>
    <w:rsid w:val="007749E5"/>
    <w:rsid w:val="00784D4B"/>
    <w:rsid w:val="00792140"/>
    <w:rsid w:val="007B327A"/>
    <w:rsid w:val="00800EB0"/>
    <w:rsid w:val="00802E1E"/>
    <w:rsid w:val="008040DB"/>
    <w:rsid w:val="00806643"/>
    <w:rsid w:val="00812832"/>
    <w:rsid w:val="0082356B"/>
    <w:rsid w:val="00826EB1"/>
    <w:rsid w:val="00833067"/>
    <w:rsid w:val="00833091"/>
    <w:rsid w:val="008377A7"/>
    <w:rsid w:val="00862931"/>
    <w:rsid w:val="0087734C"/>
    <w:rsid w:val="00884182"/>
    <w:rsid w:val="0089090D"/>
    <w:rsid w:val="008A60AF"/>
    <w:rsid w:val="008B0F2E"/>
    <w:rsid w:val="008B1956"/>
    <w:rsid w:val="008B2D37"/>
    <w:rsid w:val="008B5B76"/>
    <w:rsid w:val="008C729A"/>
    <w:rsid w:val="008D1E17"/>
    <w:rsid w:val="008E36D7"/>
    <w:rsid w:val="008F0125"/>
    <w:rsid w:val="008F56DB"/>
    <w:rsid w:val="008F5D71"/>
    <w:rsid w:val="00907046"/>
    <w:rsid w:val="00925689"/>
    <w:rsid w:val="00942899"/>
    <w:rsid w:val="00967B7A"/>
    <w:rsid w:val="009763BB"/>
    <w:rsid w:val="00986373"/>
    <w:rsid w:val="009A2410"/>
    <w:rsid w:val="009C1739"/>
    <w:rsid w:val="009D366D"/>
    <w:rsid w:val="009D58BF"/>
    <w:rsid w:val="009F62AC"/>
    <w:rsid w:val="00A0499F"/>
    <w:rsid w:val="00A145AF"/>
    <w:rsid w:val="00A44327"/>
    <w:rsid w:val="00A44564"/>
    <w:rsid w:val="00A5473F"/>
    <w:rsid w:val="00A54E61"/>
    <w:rsid w:val="00A81877"/>
    <w:rsid w:val="00AA129C"/>
    <w:rsid w:val="00AA37C6"/>
    <w:rsid w:val="00AC222D"/>
    <w:rsid w:val="00AF3D6D"/>
    <w:rsid w:val="00AF4FDE"/>
    <w:rsid w:val="00B37383"/>
    <w:rsid w:val="00B42972"/>
    <w:rsid w:val="00B43216"/>
    <w:rsid w:val="00B5344E"/>
    <w:rsid w:val="00B603D0"/>
    <w:rsid w:val="00B84D68"/>
    <w:rsid w:val="00B9057D"/>
    <w:rsid w:val="00B90CE8"/>
    <w:rsid w:val="00BA5079"/>
    <w:rsid w:val="00BA5E6D"/>
    <w:rsid w:val="00BB20E2"/>
    <w:rsid w:val="00BF70B2"/>
    <w:rsid w:val="00C1139E"/>
    <w:rsid w:val="00C26E82"/>
    <w:rsid w:val="00C51F74"/>
    <w:rsid w:val="00C5419F"/>
    <w:rsid w:val="00C56469"/>
    <w:rsid w:val="00C64718"/>
    <w:rsid w:val="00C8388C"/>
    <w:rsid w:val="00C86848"/>
    <w:rsid w:val="00CA79E0"/>
    <w:rsid w:val="00CB5866"/>
    <w:rsid w:val="00CC19B4"/>
    <w:rsid w:val="00CE15A6"/>
    <w:rsid w:val="00CE2772"/>
    <w:rsid w:val="00CF5FB2"/>
    <w:rsid w:val="00D05AFD"/>
    <w:rsid w:val="00D1494D"/>
    <w:rsid w:val="00D30E4E"/>
    <w:rsid w:val="00D522CF"/>
    <w:rsid w:val="00D626A8"/>
    <w:rsid w:val="00DB0746"/>
    <w:rsid w:val="00DB394C"/>
    <w:rsid w:val="00DE0CBD"/>
    <w:rsid w:val="00E10698"/>
    <w:rsid w:val="00E1225C"/>
    <w:rsid w:val="00E15220"/>
    <w:rsid w:val="00E166A7"/>
    <w:rsid w:val="00E82EA3"/>
    <w:rsid w:val="00E84931"/>
    <w:rsid w:val="00E97B3F"/>
    <w:rsid w:val="00EA3E95"/>
    <w:rsid w:val="00EA3EE5"/>
    <w:rsid w:val="00EA5D8F"/>
    <w:rsid w:val="00EB0B6C"/>
    <w:rsid w:val="00EB267F"/>
    <w:rsid w:val="00EB299D"/>
    <w:rsid w:val="00EB664D"/>
    <w:rsid w:val="00EC7DC9"/>
    <w:rsid w:val="00ED21FE"/>
    <w:rsid w:val="00EE7CBE"/>
    <w:rsid w:val="00EF134A"/>
    <w:rsid w:val="00F1429C"/>
    <w:rsid w:val="00F23053"/>
    <w:rsid w:val="00F377F1"/>
    <w:rsid w:val="00F37E5F"/>
    <w:rsid w:val="00F53DA8"/>
    <w:rsid w:val="00F723BE"/>
    <w:rsid w:val="00F73AEA"/>
    <w:rsid w:val="00F74A77"/>
    <w:rsid w:val="00FB4B46"/>
    <w:rsid w:val="00FC6596"/>
    <w:rsid w:val="010D007F"/>
    <w:rsid w:val="011169C2"/>
    <w:rsid w:val="015F0A0E"/>
    <w:rsid w:val="01845373"/>
    <w:rsid w:val="01D34285"/>
    <w:rsid w:val="02966B99"/>
    <w:rsid w:val="02BE079D"/>
    <w:rsid w:val="02EC469F"/>
    <w:rsid w:val="0335040C"/>
    <w:rsid w:val="036A06B3"/>
    <w:rsid w:val="03962621"/>
    <w:rsid w:val="03B17E34"/>
    <w:rsid w:val="03C86B8C"/>
    <w:rsid w:val="03DE4D68"/>
    <w:rsid w:val="040A6652"/>
    <w:rsid w:val="05263815"/>
    <w:rsid w:val="053F00DB"/>
    <w:rsid w:val="06642A04"/>
    <w:rsid w:val="0670519C"/>
    <w:rsid w:val="06ED019D"/>
    <w:rsid w:val="073E3C65"/>
    <w:rsid w:val="08113396"/>
    <w:rsid w:val="08146BF9"/>
    <w:rsid w:val="08861E9B"/>
    <w:rsid w:val="089E68CD"/>
    <w:rsid w:val="08F018BF"/>
    <w:rsid w:val="09084A49"/>
    <w:rsid w:val="096A25E5"/>
    <w:rsid w:val="097C01EF"/>
    <w:rsid w:val="0A737B75"/>
    <w:rsid w:val="0AA029D5"/>
    <w:rsid w:val="0ACD170C"/>
    <w:rsid w:val="0ADD0910"/>
    <w:rsid w:val="0B2C4104"/>
    <w:rsid w:val="0B2C7D3C"/>
    <w:rsid w:val="0BA623F3"/>
    <w:rsid w:val="0CA62070"/>
    <w:rsid w:val="0CCD2724"/>
    <w:rsid w:val="0D0E59A2"/>
    <w:rsid w:val="0D1E2832"/>
    <w:rsid w:val="0D373BD4"/>
    <w:rsid w:val="0DC61665"/>
    <w:rsid w:val="0E2335F9"/>
    <w:rsid w:val="0E883238"/>
    <w:rsid w:val="0ECE6752"/>
    <w:rsid w:val="0F0923A3"/>
    <w:rsid w:val="100B02B2"/>
    <w:rsid w:val="10383452"/>
    <w:rsid w:val="1051146F"/>
    <w:rsid w:val="10741A1B"/>
    <w:rsid w:val="10C5401A"/>
    <w:rsid w:val="110269B9"/>
    <w:rsid w:val="12D60C91"/>
    <w:rsid w:val="14497467"/>
    <w:rsid w:val="14B75157"/>
    <w:rsid w:val="150B220B"/>
    <w:rsid w:val="152D239E"/>
    <w:rsid w:val="16C006B9"/>
    <w:rsid w:val="16F83058"/>
    <w:rsid w:val="172218AE"/>
    <w:rsid w:val="172F08EA"/>
    <w:rsid w:val="17B90437"/>
    <w:rsid w:val="17E94EB3"/>
    <w:rsid w:val="184F7ADC"/>
    <w:rsid w:val="1852643A"/>
    <w:rsid w:val="18B3587C"/>
    <w:rsid w:val="18CE7325"/>
    <w:rsid w:val="191711A0"/>
    <w:rsid w:val="19760B89"/>
    <w:rsid w:val="19F73228"/>
    <w:rsid w:val="1A127984"/>
    <w:rsid w:val="1A3C6BF2"/>
    <w:rsid w:val="1A7A706A"/>
    <w:rsid w:val="1B352A9B"/>
    <w:rsid w:val="1B4673BE"/>
    <w:rsid w:val="1B7D31A9"/>
    <w:rsid w:val="1BA5766D"/>
    <w:rsid w:val="1CBE38D8"/>
    <w:rsid w:val="1D1106BF"/>
    <w:rsid w:val="1DF8653A"/>
    <w:rsid w:val="1E5F3AA3"/>
    <w:rsid w:val="1E742F32"/>
    <w:rsid w:val="1ECF4F60"/>
    <w:rsid w:val="1F594AD6"/>
    <w:rsid w:val="1F7B65BD"/>
    <w:rsid w:val="204E3E42"/>
    <w:rsid w:val="21085A4E"/>
    <w:rsid w:val="21630B1E"/>
    <w:rsid w:val="21CC36D3"/>
    <w:rsid w:val="22B746AE"/>
    <w:rsid w:val="23420968"/>
    <w:rsid w:val="23702F6C"/>
    <w:rsid w:val="247973AD"/>
    <w:rsid w:val="24B9664F"/>
    <w:rsid w:val="24C17467"/>
    <w:rsid w:val="257555DE"/>
    <w:rsid w:val="25AF694B"/>
    <w:rsid w:val="263676FD"/>
    <w:rsid w:val="26714A99"/>
    <w:rsid w:val="26C16773"/>
    <w:rsid w:val="28283CE3"/>
    <w:rsid w:val="28661816"/>
    <w:rsid w:val="28A060EB"/>
    <w:rsid w:val="28C30287"/>
    <w:rsid w:val="28EF54C6"/>
    <w:rsid w:val="291F4576"/>
    <w:rsid w:val="295B1778"/>
    <w:rsid w:val="296A75D8"/>
    <w:rsid w:val="2A5A31B1"/>
    <w:rsid w:val="2B496814"/>
    <w:rsid w:val="2B6419C5"/>
    <w:rsid w:val="2C730AE7"/>
    <w:rsid w:val="2D066BB8"/>
    <w:rsid w:val="2D2D6F87"/>
    <w:rsid w:val="2D460C30"/>
    <w:rsid w:val="2D9E4A7D"/>
    <w:rsid w:val="2E465F28"/>
    <w:rsid w:val="2E5F4B93"/>
    <w:rsid w:val="2E8E2718"/>
    <w:rsid w:val="2EA41A41"/>
    <w:rsid w:val="2EAF6E43"/>
    <w:rsid w:val="2EE160A9"/>
    <w:rsid w:val="2EF00466"/>
    <w:rsid w:val="2EFD2732"/>
    <w:rsid w:val="2F001F08"/>
    <w:rsid w:val="2F095D30"/>
    <w:rsid w:val="2FE66FF2"/>
    <w:rsid w:val="30343261"/>
    <w:rsid w:val="30943E85"/>
    <w:rsid w:val="30C25B26"/>
    <w:rsid w:val="315956FD"/>
    <w:rsid w:val="31B30BE1"/>
    <w:rsid w:val="32845AF0"/>
    <w:rsid w:val="32954746"/>
    <w:rsid w:val="32B341D2"/>
    <w:rsid w:val="33366F16"/>
    <w:rsid w:val="33FE261D"/>
    <w:rsid w:val="34C92B3F"/>
    <w:rsid w:val="350D58C0"/>
    <w:rsid w:val="351B6A1D"/>
    <w:rsid w:val="354D1896"/>
    <w:rsid w:val="35857D37"/>
    <w:rsid w:val="35B55067"/>
    <w:rsid w:val="35C24308"/>
    <w:rsid w:val="35DC54AE"/>
    <w:rsid w:val="35E06A06"/>
    <w:rsid w:val="361D0A18"/>
    <w:rsid w:val="36CC5A63"/>
    <w:rsid w:val="372E0E9E"/>
    <w:rsid w:val="373A7D63"/>
    <w:rsid w:val="379C40F6"/>
    <w:rsid w:val="383D6B01"/>
    <w:rsid w:val="397228F1"/>
    <w:rsid w:val="39757597"/>
    <w:rsid w:val="39AC52E2"/>
    <w:rsid w:val="39D81FB0"/>
    <w:rsid w:val="3AAF2AEB"/>
    <w:rsid w:val="3ABD6899"/>
    <w:rsid w:val="3B132E63"/>
    <w:rsid w:val="3B4B4BA7"/>
    <w:rsid w:val="3BDB14C0"/>
    <w:rsid w:val="3BDB4052"/>
    <w:rsid w:val="3C8446EA"/>
    <w:rsid w:val="3F111BC9"/>
    <w:rsid w:val="3F1D7E41"/>
    <w:rsid w:val="3F28161B"/>
    <w:rsid w:val="3FA3545D"/>
    <w:rsid w:val="40557ED8"/>
    <w:rsid w:val="41240EBA"/>
    <w:rsid w:val="41437F45"/>
    <w:rsid w:val="426907A4"/>
    <w:rsid w:val="42B8402E"/>
    <w:rsid w:val="42D00EC8"/>
    <w:rsid w:val="42D5440C"/>
    <w:rsid w:val="42DF5199"/>
    <w:rsid w:val="4318223B"/>
    <w:rsid w:val="432920D7"/>
    <w:rsid w:val="43A80C8D"/>
    <w:rsid w:val="44092500"/>
    <w:rsid w:val="44780633"/>
    <w:rsid w:val="4526621D"/>
    <w:rsid w:val="4560787D"/>
    <w:rsid w:val="45832228"/>
    <w:rsid w:val="45E3599A"/>
    <w:rsid w:val="45E7500C"/>
    <w:rsid w:val="45F31A5E"/>
    <w:rsid w:val="464726C4"/>
    <w:rsid w:val="4654713F"/>
    <w:rsid w:val="46C978C9"/>
    <w:rsid w:val="47663048"/>
    <w:rsid w:val="47AF2DB7"/>
    <w:rsid w:val="47E80297"/>
    <w:rsid w:val="48174664"/>
    <w:rsid w:val="48323F82"/>
    <w:rsid w:val="48BE5CCA"/>
    <w:rsid w:val="496164DE"/>
    <w:rsid w:val="496A1DBD"/>
    <w:rsid w:val="496F1D7E"/>
    <w:rsid w:val="498B214C"/>
    <w:rsid w:val="49987014"/>
    <w:rsid w:val="49B70278"/>
    <w:rsid w:val="49E03D07"/>
    <w:rsid w:val="49F82E9C"/>
    <w:rsid w:val="4AAE65B5"/>
    <w:rsid w:val="4ADD33A5"/>
    <w:rsid w:val="4B43235C"/>
    <w:rsid w:val="4B7D2198"/>
    <w:rsid w:val="4B8C5977"/>
    <w:rsid w:val="4BB736FC"/>
    <w:rsid w:val="4BBD4583"/>
    <w:rsid w:val="4BCB3F9D"/>
    <w:rsid w:val="4BE51E4F"/>
    <w:rsid w:val="4C2F5EC6"/>
    <w:rsid w:val="4C7D5547"/>
    <w:rsid w:val="4CED5CC0"/>
    <w:rsid w:val="4D163234"/>
    <w:rsid w:val="4D593FEB"/>
    <w:rsid w:val="4E2F6BAB"/>
    <w:rsid w:val="4E495117"/>
    <w:rsid w:val="4E714BB0"/>
    <w:rsid w:val="4E9012B3"/>
    <w:rsid w:val="4EB244E8"/>
    <w:rsid w:val="4F9176D2"/>
    <w:rsid w:val="4F982E9F"/>
    <w:rsid w:val="502B65CD"/>
    <w:rsid w:val="5068093B"/>
    <w:rsid w:val="50B4405F"/>
    <w:rsid w:val="50F76FD1"/>
    <w:rsid w:val="50FF5EB5"/>
    <w:rsid w:val="52180C76"/>
    <w:rsid w:val="52237779"/>
    <w:rsid w:val="53797844"/>
    <w:rsid w:val="5383105F"/>
    <w:rsid w:val="538902D5"/>
    <w:rsid w:val="53AB7101"/>
    <w:rsid w:val="53F81AA1"/>
    <w:rsid w:val="54136A78"/>
    <w:rsid w:val="545676AA"/>
    <w:rsid w:val="54C0184E"/>
    <w:rsid w:val="55DA7D81"/>
    <w:rsid w:val="55DE45CE"/>
    <w:rsid w:val="57230A54"/>
    <w:rsid w:val="57623DD3"/>
    <w:rsid w:val="57BB41AE"/>
    <w:rsid w:val="57E73834"/>
    <w:rsid w:val="582E1C80"/>
    <w:rsid w:val="58F41B32"/>
    <w:rsid w:val="590D56CC"/>
    <w:rsid w:val="598B2E2E"/>
    <w:rsid w:val="59907C7F"/>
    <w:rsid w:val="5A1E41AE"/>
    <w:rsid w:val="5A7A7400"/>
    <w:rsid w:val="5AA62029"/>
    <w:rsid w:val="5AC945BD"/>
    <w:rsid w:val="5B341B1C"/>
    <w:rsid w:val="5BED2483"/>
    <w:rsid w:val="5C72503F"/>
    <w:rsid w:val="5D0C78BA"/>
    <w:rsid w:val="5DC5516A"/>
    <w:rsid w:val="5DC60FED"/>
    <w:rsid w:val="5E5153C1"/>
    <w:rsid w:val="5E943B56"/>
    <w:rsid w:val="5E9865E8"/>
    <w:rsid w:val="5F497470"/>
    <w:rsid w:val="5F5D54F6"/>
    <w:rsid w:val="5FD255E8"/>
    <w:rsid w:val="61397D57"/>
    <w:rsid w:val="61412466"/>
    <w:rsid w:val="616D66E9"/>
    <w:rsid w:val="617A1FD3"/>
    <w:rsid w:val="61A22024"/>
    <w:rsid w:val="61B12AEB"/>
    <w:rsid w:val="61EA7457"/>
    <w:rsid w:val="622E740F"/>
    <w:rsid w:val="624E5C94"/>
    <w:rsid w:val="625E16BA"/>
    <w:rsid w:val="628E68C3"/>
    <w:rsid w:val="62C22570"/>
    <w:rsid w:val="63004E64"/>
    <w:rsid w:val="6351585D"/>
    <w:rsid w:val="638F25B8"/>
    <w:rsid w:val="639E480E"/>
    <w:rsid w:val="64164F69"/>
    <w:rsid w:val="64176BC2"/>
    <w:rsid w:val="66A22ED2"/>
    <w:rsid w:val="66D5095F"/>
    <w:rsid w:val="675810D9"/>
    <w:rsid w:val="678C216F"/>
    <w:rsid w:val="67B71360"/>
    <w:rsid w:val="680A4E74"/>
    <w:rsid w:val="682849AD"/>
    <w:rsid w:val="68D3776D"/>
    <w:rsid w:val="68DA51DF"/>
    <w:rsid w:val="68FC4604"/>
    <w:rsid w:val="69303AF3"/>
    <w:rsid w:val="69BB4518"/>
    <w:rsid w:val="6A2A4F61"/>
    <w:rsid w:val="6A9B46FC"/>
    <w:rsid w:val="6AAE009A"/>
    <w:rsid w:val="6AEF7D52"/>
    <w:rsid w:val="6B3346E7"/>
    <w:rsid w:val="6B435851"/>
    <w:rsid w:val="6B4A1C49"/>
    <w:rsid w:val="6B6E7D7D"/>
    <w:rsid w:val="6BD84C0F"/>
    <w:rsid w:val="6C147864"/>
    <w:rsid w:val="6C59324E"/>
    <w:rsid w:val="6D1750EC"/>
    <w:rsid w:val="6D296515"/>
    <w:rsid w:val="6D6735AE"/>
    <w:rsid w:val="6D843E1E"/>
    <w:rsid w:val="6DA046F6"/>
    <w:rsid w:val="6E0448F8"/>
    <w:rsid w:val="6E7E3A59"/>
    <w:rsid w:val="6F373105"/>
    <w:rsid w:val="6FCF3C6D"/>
    <w:rsid w:val="6FDC247A"/>
    <w:rsid w:val="702637A6"/>
    <w:rsid w:val="704E7081"/>
    <w:rsid w:val="706E503F"/>
    <w:rsid w:val="707673A1"/>
    <w:rsid w:val="70AF557B"/>
    <w:rsid w:val="712B7D4D"/>
    <w:rsid w:val="71512D43"/>
    <w:rsid w:val="71A41354"/>
    <w:rsid w:val="724F16DD"/>
    <w:rsid w:val="72B27245"/>
    <w:rsid w:val="732467DA"/>
    <w:rsid w:val="733361AD"/>
    <w:rsid w:val="736A4B95"/>
    <w:rsid w:val="739B0375"/>
    <w:rsid w:val="73CE6966"/>
    <w:rsid w:val="73EB398A"/>
    <w:rsid w:val="73EB755D"/>
    <w:rsid w:val="74062120"/>
    <w:rsid w:val="74BE348D"/>
    <w:rsid w:val="75666D23"/>
    <w:rsid w:val="759F0B5D"/>
    <w:rsid w:val="75B23006"/>
    <w:rsid w:val="75FD77B6"/>
    <w:rsid w:val="76116002"/>
    <w:rsid w:val="779663B2"/>
    <w:rsid w:val="780F5D65"/>
    <w:rsid w:val="782E366E"/>
    <w:rsid w:val="789F69EC"/>
    <w:rsid w:val="798F0EC5"/>
    <w:rsid w:val="79A54773"/>
    <w:rsid w:val="79E952AF"/>
    <w:rsid w:val="79F0178C"/>
    <w:rsid w:val="79F27FA6"/>
    <w:rsid w:val="7A257966"/>
    <w:rsid w:val="7AED2FCB"/>
    <w:rsid w:val="7B0D34C7"/>
    <w:rsid w:val="7B553736"/>
    <w:rsid w:val="7C052EB6"/>
    <w:rsid w:val="7CDE06D3"/>
    <w:rsid w:val="7D7E02AC"/>
    <w:rsid w:val="7D7F5738"/>
    <w:rsid w:val="7DCF57EE"/>
    <w:rsid w:val="7E0659E1"/>
    <w:rsid w:val="7E7C4978"/>
    <w:rsid w:val="7E9559A2"/>
    <w:rsid w:val="7E9C632E"/>
    <w:rsid w:val="7EA96035"/>
    <w:rsid w:val="7ED32D3B"/>
    <w:rsid w:val="7F4C268A"/>
    <w:rsid w:val="7FA55834"/>
    <w:rsid w:val="7FB66F8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qFormat="1" w:unhideWhenUsed="0" w:uiPriority="0" w:name="toc 3"/>
    <w:lsdException w:qFormat="1" w:unhideWhenUsed="0" w:uiPriority="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Calibri" w:hAnsi="Calibri" w:eastAsia="宋体" w:cs="宋体"/>
      <w:sz w:val="22"/>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bCs/>
      <w:kern w:val="44"/>
      <w:sz w:val="44"/>
      <w:szCs w:val="44"/>
    </w:rPr>
  </w:style>
  <w:style w:type="paragraph" w:styleId="4">
    <w:name w:val="heading 2"/>
    <w:basedOn w:val="1"/>
    <w:next w:val="1"/>
    <w:qFormat/>
    <w:uiPriority w:val="0"/>
    <w:pPr>
      <w:keepNext/>
      <w:keepLines/>
      <w:spacing w:before="260" w:beforeLines="0" w:after="260" w:afterLines="0" w:line="416" w:lineRule="auto"/>
      <w:jc w:val="center"/>
      <w:outlineLvl w:val="1"/>
    </w:pPr>
    <w:rPr>
      <w:rFonts w:ascii="Arial" w:hAnsi="Arial" w:eastAsia="黑体"/>
      <w:b/>
      <w:bCs/>
      <w:sz w:val="32"/>
      <w:szCs w:val="32"/>
    </w:rPr>
  </w:style>
  <w:style w:type="paragraph" w:styleId="5">
    <w:name w:val="heading 3"/>
    <w:basedOn w:val="1"/>
    <w:next w:val="1"/>
    <w:qFormat/>
    <w:uiPriority w:val="0"/>
    <w:pPr>
      <w:spacing w:before="18" w:after="100" w:afterAutospacing="1"/>
      <w:ind w:left="162"/>
      <w:outlineLvl w:val="2"/>
    </w:pPr>
    <w:rPr>
      <w:rFonts w:ascii="宋体" w:hAnsi="宋体"/>
      <w:sz w:val="28"/>
      <w:szCs w:val="28"/>
    </w:rPr>
  </w:style>
  <w:style w:type="paragraph" w:styleId="6">
    <w:name w:val="heading 4"/>
    <w:basedOn w:val="1"/>
    <w:next w:val="1"/>
    <w:qFormat/>
    <w:uiPriority w:val="0"/>
    <w:pPr>
      <w:keepNext/>
      <w:keepLines/>
      <w:spacing w:before="280" w:after="290" w:line="374" w:lineRule="auto"/>
      <w:outlineLvl w:val="3"/>
    </w:pPr>
    <w:rPr>
      <w:rFonts w:ascii="Arial" w:hAnsi="Arial" w:eastAsia="黑体" w:cs="Times New Roman"/>
      <w:b/>
      <w:bCs/>
      <w:sz w:val="28"/>
      <w:szCs w:val="28"/>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spacing w:line="480" w:lineRule="exact"/>
      <w:jc w:val="left"/>
    </w:pPr>
    <w:rPr>
      <w:rFonts w:ascii="宋体" w:hAnsi="宋体"/>
    </w:rPr>
  </w:style>
  <w:style w:type="paragraph" w:styleId="7">
    <w:name w:val="Document Map"/>
    <w:basedOn w:val="1"/>
    <w:semiHidden/>
    <w:qFormat/>
    <w:uiPriority w:val="0"/>
    <w:pPr>
      <w:shd w:val="clear" w:color="auto" w:fill="000080"/>
    </w:pPr>
  </w:style>
  <w:style w:type="paragraph" w:styleId="8">
    <w:name w:val="Body Text Indent"/>
    <w:basedOn w:val="1"/>
    <w:qFormat/>
    <w:uiPriority w:val="0"/>
    <w:pPr>
      <w:spacing w:after="120" w:afterLines="0"/>
      <w:ind w:left="420" w:leftChars="200"/>
    </w:pPr>
    <w:rPr>
      <w:szCs w:val="20"/>
    </w:rPr>
  </w:style>
  <w:style w:type="paragraph" w:styleId="9">
    <w:name w:val="toc 3"/>
    <w:basedOn w:val="1"/>
    <w:next w:val="1"/>
    <w:semiHidden/>
    <w:qFormat/>
    <w:uiPriority w:val="0"/>
    <w:pPr>
      <w:spacing w:before="100" w:beforeAutospacing="1" w:after="100" w:afterAutospacing="1"/>
      <w:ind w:leftChars="400"/>
    </w:pPr>
  </w:style>
  <w:style w:type="paragraph" w:styleId="10">
    <w:name w:val="Balloon Text"/>
    <w:basedOn w:val="1"/>
    <w:semiHidden/>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semiHidden/>
    <w:qFormat/>
    <w:uiPriority w:val="0"/>
  </w:style>
  <w:style w:type="paragraph" w:styleId="14">
    <w:name w:val="toc 4"/>
    <w:basedOn w:val="1"/>
    <w:next w:val="1"/>
    <w:semiHidden/>
    <w:qFormat/>
    <w:uiPriority w:val="0"/>
    <w:pPr>
      <w:spacing w:before="100" w:beforeAutospacing="1" w:after="100" w:afterAutospacing="1"/>
      <w:ind w:leftChars="600"/>
    </w:pPr>
  </w:style>
  <w:style w:type="paragraph" w:styleId="15">
    <w:name w:val="Normal (Web)"/>
    <w:basedOn w:val="1"/>
    <w:qFormat/>
    <w:uiPriority w:val="99"/>
    <w:pPr>
      <w:spacing w:before="100" w:beforeAutospacing="1" w:after="100" w:afterAutospacing="1"/>
      <w:ind w:left="0" w:right="0"/>
      <w:jc w:val="left"/>
    </w:pPr>
    <w:rPr>
      <w:kern w:val="0"/>
      <w:sz w:val="24"/>
      <w:lang w:val="en-US" w:eastAsia="zh-CN" w:bidi="ar"/>
    </w:rPr>
  </w:style>
  <w:style w:type="table" w:styleId="17">
    <w:name w:val="Table Grid"/>
    <w:basedOn w:val="1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0"/>
    <w:rPr>
      <w:b/>
      <w:bCs/>
    </w:rPr>
  </w:style>
  <w:style w:type="character" w:styleId="20">
    <w:name w:val="page number"/>
    <w:uiPriority w:val="0"/>
  </w:style>
  <w:style w:type="character" w:styleId="21">
    <w:name w:val="Hyperlink"/>
    <w:uiPriority w:val="0"/>
    <w:rPr>
      <w:color w:val="0000FF"/>
      <w:u w:val="single"/>
    </w:rPr>
  </w:style>
  <w:style w:type="paragraph" w:styleId="22">
    <w:name w:val="List Paragraph"/>
    <w:basedOn w:val="1"/>
    <w:qFormat/>
    <w:uiPriority w:val="34"/>
    <w:pPr>
      <w:ind w:firstLine="420" w:firstLineChars="200"/>
    </w:pPr>
  </w:style>
  <w:style w:type="paragraph" w:customStyle="1" w:styleId="23">
    <w:name w:val="Default"/>
    <w:qFormat/>
    <w:uiPriority w:val="0"/>
    <w:pPr>
      <w:widowControl w:val="0"/>
      <w:autoSpaceDE w:val="0"/>
      <w:autoSpaceDN w:val="0"/>
      <w:adjustRightInd w:val="0"/>
    </w:pPr>
    <w:rPr>
      <w:rFonts w:ascii="微软雅黑" w:hAnsi="微软雅黑" w:eastAsia="宋体" w:cs="微软雅黑"/>
      <w:color w:val="000000"/>
      <w:sz w:val="24"/>
      <w:szCs w:val="24"/>
      <w:lang w:val="en-US" w:eastAsia="zh-CN" w:bidi="ar-SA"/>
    </w:rPr>
  </w:style>
  <w:style w:type="paragraph" w:customStyle="1" w:styleId="24">
    <w:name w:val="Table Paragraph"/>
    <w:basedOn w:val="1"/>
    <w:qFormat/>
    <w:uiPriority w:val="0"/>
  </w:style>
  <w:style w:type="paragraph" w:customStyle="1" w:styleId="25">
    <w:name w:val="普通 (Web)"/>
    <w:basedOn w:val="1"/>
    <w:qFormat/>
    <w:uiPriority w:val="0"/>
    <w:pPr>
      <w:widowControl/>
      <w:spacing w:before="100" w:beforeLines="0" w:beforeAutospacing="1" w:after="100" w:afterLines="0" w:afterAutospacing="1"/>
      <w:jc w:val="left"/>
    </w:pPr>
    <w:rPr>
      <w:rFonts w:ascii="宋体" w:hAnsi="宋体"/>
      <w:kern w:val="0"/>
      <w:sz w:val="24"/>
    </w:rPr>
  </w:style>
  <w:style w:type="character" w:customStyle="1" w:styleId="26">
    <w:name w:val="font21"/>
    <w:qFormat/>
    <w:uiPriority w:val="0"/>
    <w:rPr>
      <w:rFonts w:ascii="微软雅黑" w:hAnsi="微软雅黑" w:eastAsia="微软雅黑" w:cs="微软雅黑"/>
      <w:b/>
      <w:bCs/>
      <w:color w:val="000000"/>
      <w:sz w:val="20"/>
      <w:szCs w:val="20"/>
      <w:u w:val="none"/>
    </w:rPr>
  </w:style>
  <w:style w:type="character" w:customStyle="1" w:styleId="27">
    <w:name w:val="font31"/>
    <w:qFormat/>
    <w:uiPriority w:val="0"/>
    <w:rPr>
      <w:rFonts w:ascii="宋体" w:hAnsi="宋体" w:eastAsia="宋体" w:cs="宋体"/>
      <w:color w:val="000000"/>
      <w:sz w:val="18"/>
      <w:szCs w:val="18"/>
      <w:u w:val="none"/>
    </w:rPr>
  </w:style>
  <w:style w:type="paragraph" w:customStyle="1" w:styleId="28">
    <w:name w:val="表格文字"/>
    <w:basedOn w:val="1"/>
    <w:qFormat/>
    <w:uiPriority w:val="0"/>
    <w:pPr>
      <w:spacing w:before="25" w:beforeLines="0" w:after="25" w:afterLines="0"/>
      <w:jc w:val="left"/>
    </w:pPr>
    <w:rPr>
      <w:bCs/>
      <w:spacing w:val="10"/>
      <w:kern w:val="0"/>
      <w:sz w:val="24"/>
      <w:szCs w:val="20"/>
    </w:rPr>
  </w:style>
  <w:style w:type="character" w:customStyle="1" w:styleId="29">
    <w:name w:val="font11"/>
    <w:qFormat/>
    <w:uiPriority w:val="0"/>
    <w:rPr>
      <w:rFonts w:hint="eastAsia" w:ascii="宋体" w:hAnsi="宋体" w:eastAsia="宋体" w:cs="宋体"/>
      <w:b/>
      <w:bCs/>
      <w:color w:val="000000"/>
      <w:sz w:val="24"/>
      <w:szCs w:val="24"/>
      <w:u w:val="none"/>
    </w:rPr>
  </w:style>
  <w:style w:type="character" w:customStyle="1" w:styleId="30">
    <w:name w:val="font41"/>
    <w:uiPriority w:val="0"/>
    <w:rPr>
      <w:rFonts w:hint="eastAsia" w:ascii="宋体" w:hAnsi="宋体" w:eastAsia="宋体" w:cs="宋体"/>
      <w:color w:val="000000"/>
      <w:sz w:val="18"/>
      <w:szCs w:val="18"/>
      <w:u w:val="none"/>
    </w:rPr>
  </w:style>
  <w:style w:type="character" w:customStyle="1" w:styleId="31">
    <w:name w:val="font51"/>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5</Pages>
  <Words>2074</Words>
  <Characters>2112</Characters>
  <Lines>77</Lines>
  <Paragraphs>48</Paragraphs>
  <TotalTime>990</TotalTime>
  <ScaleCrop>false</ScaleCrop>
  <LinksUpToDate>false</LinksUpToDate>
  <CharactersWithSpaces>2118</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2026-06-18T07:04:00Z</dcterms:created>
  <dc:creator>X</dc:creator>
  <cp:lastModifiedBy>林辉昭</cp:lastModifiedBy>
  <cp:lastPrinted>2026-07-23T01:19:00Z</cp:lastPrinted>
  <dcterms:modified xsi:type="dcterms:W3CDTF">2026-08-04T09:07:04Z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273B60DB15FF4210B9DAA9CF6014F8C5</vt:lpwstr>
  </property>
  <property fmtid="{D5CDD505-2E9C-101B-9397-08002B2CF9AE}" pid="4" name="KSOTemplateDocerSaveRecord">
    <vt:lpwstr>eyJoZGlkIjoiOWJkNjhkODFmY2YyYmFiNzQ4YTlmYmU1MzY1ZmJiZDgiLCJ1c2VySWQiOiI0NzQ0NjE3NjYifQ==</vt:lpwstr>
  </property>
</Properties>
</file>