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40F77">
      <w:pPr>
        <w:widowControl w:val="0"/>
        <w:kinsoku/>
        <w:autoSpaceDE/>
        <w:autoSpaceDN/>
        <w:adjustRightInd/>
        <w:snapToGrid/>
        <w:spacing w:line="240" w:lineRule="auto"/>
        <w:jc w:val="center"/>
        <w:textAlignment w:val="auto"/>
        <w:rPr>
          <w:rFonts w:hint="default" w:ascii="Times New Roman" w:hAnsi="Times New Roman" w:eastAsia="宋体" w:cs="Times New Roman"/>
          <w:b/>
          <w:bCs/>
          <w:snapToGrid/>
          <w:kern w:val="2"/>
          <w:sz w:val="44"/>
          <w:szCs w:val="44"/>
          <w:lang w:val="en-US" w:eastAsia="zh-CN"/>
        </w:rPr>
      </w:pPr>
    </w:p>
    <w:p w14:paraId="3B83C897">
      <w:pPr>
        <w:widowControl w:val="0"/>
        <w:kinsoku/>
        <w:autoSpaceDE/>
        <w:autoSpaceDN/>
        <w:adjustRightInd/>
        <w:snapToGrid/>
        <w:spacing w:line="240" w:lineRule="auto"/>
        <w:jc w:val="center"/>
        <w:textAlignment w:val="auto"/>
        <w:rPr>
          <w:rFonts w:hint="default" w:ascii="Times New Roman" w:hAnsi="Times New Roman" w:eastAsia="宋体" w:cs="Times New Roman"/>
          <w:b/>
          <w:bCs/>
          <w:snapToGrid/>
          <w:kern w:val="2"/>
          <w:sz w:val="44"/>
          <w:szCs w:val="44"/>
          <w:lang w:val="en-US" w:eastAsia="zh-CN"/>
        </w:rPr>
      </w:pPr>
    </w:p>
    <w:p w14:paraId="41031704">
      <w:pPr>
        <w:widowControl w:val="0"/>
        <w:kinsoku/>
        <w:autoSpaceDE/>
        <w:autoSpaceDN/>
        <w:adjustRightInd/>
        <w:snapToGrid/>
        <w:spacing w:line="240" w:lineRule="auto"/>
        <w:jc w:val="center"/>
        <w:textAlignment w:val="auto"/>
        <w:rPr>
          <w:rFonts w:hint="default" w:ascii="Times New Roman" w:hAnsi="Times New Roman" w:eastAsia="宋体" w:cs="Times New Roman"/>
          <w:b/>
          <w:bCs/>
          <w:snapToGrid/>
          <w:kern w:val="2"/>
          <w:sz w:val="44"/>
          <w:szCs w:val="44"/>
          <w:lang w:val="en-US" w:eastAsia="zh-CN"/>
        </w:rPr>
      </w:pPr>
    </w:p>
    <w:p w14:paraId="1C179800">
      <w:pPr>
        <w:rPr>
          <w:rFonts w:hint="default" w:ascii="Times New Roman" w:hAnsi="Times New Roman" w:cs="Times New Roman"/>
          <w:lang w:val="en-US" w:eastAsia="zh-CN"/>
        </w:rPr>
      </w:pPr>
    </w:p>
    <w:p w14:paraId="43DFB4D2">
      <w:pPr>
        <w:rPr>
          <w:rFonts w:hint="default" w:ascii="Times New Roman" w:hAnsi="Times New Roman" w:cs="Times New Roman"/>
          <w:lang w:val="en-US" w:eastAsia="zh-CN"/>
        </w:rPr>
      </w:pPr>
    </w:p>
    <w:p w14:paraId="799F85F3">
      <w:pPr>
        <w:rPr>
          <w:rFonts w:hint="default" w:ascii="Times New Roman" w:hAnsi="Times New Roman" w:cs="Times New Roman"/>
          <w:lang w:val="en-US" w:eastAsia="zh-CN"/>
        </w:rPr>
      </w:pPr>
    </w:p>
    <w:p w14:paraId="5A77EC00">
      <w:pPr>
        <w:widowControl w:val="0"/>
        <w:kinsoku/>
        <w:autoSpaceDE/>
        <w:autoSpaceDN/>
        <w:adjustRightInd/>
        <w:snapToGrid/>
        <w:spacing w:line="240" w:lineRule="auto"/>
        <w:jc w:val="center"/>
        <w:textAlignment w:val="auto"/>
        <w:rPr>
          <w:rFonts w:hint="default" w:ascii="Times New Roman" w:hAnsi="Times New Roman" w:eastAsia="宋体" w:cs="Times New Roman"/>
          <w:b/>
          <w:bCs/>
          <w:snapToGrid/>
          <w:kern w:val="2"/>
          <w:sz w:val="48"/>
          <w:szCs w:val="48"/>
          <w:lang w:val="en-US" w:eastAsia="zh-CN"/>
        </w:rPr>
      </w:pPr>
      <w:r>
        <w:rPr>
          <w:rFonts w:hint="default" w:ascii="Times New Roman" w:hAnsi="Times New Roman" w:eastAsia="宋体" w:cs="Times New Roman"/>
          <w:b/>
          <w:bCs/>
          <w:snapToGrid/>
          <w:kern w:val="2"/>
          <w:sz w:val="48"/>
          <w:szCs w:val="48"/>
          <w:lang w:val="en-US" w:eastAsia="zh-CN"/>
        </w:rPr>
        <w:t>南屏村历史文化街区风貌整治工程二期项目开挖土</w:t>
      </w:r>
      <w:r>
        <w:rPr>
          <w:rFonts w:hint="eastAsia" w:ascii="Times New Roman" w:hAnsi="Times New Roman" w:eastAsia="宋体" w:cs="Times New Roman"/>
          <w:b/>
          <w:bCs/>
          <w:snapToGrid/>
          <w:kern w:val="2"/>
          <w:sz w:val="48"/>
          <w:szCs w:val="48"/>
          <w:lang w:val="en-US" w:eastAsia="zh-CN"/>
        </w:rPr>
        <w:t>方</w:t>
      </w:r>
      <w:r>
        <w:rPr>
          <w:rFonts w:hint="default" w:ascii="Times New Roman" w:hAnsi="Times New Roman" w:eastAsia="宋体" w:cs="Times New Roman"/>
          <w:b/>
          <w:bCs/>
          <w:snapToGrid/>
          <w:kern w:val="2"/>
          <w:sz w:val="48"/>
          <w:szCs w:val="48"/>
          <w:lang w:val="en-US" w:eastAsia="zh-CN"/>
        </w:rPr>
        <w:t>作农用地土壤检测任务书</w:t>
      </w:r>
    </w:p>
    <w:p w14:paraId="4F26BCF0">
      <w:pPr>
        <w:rPr>
          <w:rFonts w:hint="default" w:ascii="Times New Roman" w:hAnsi="Times New Roman" w:cs="Times New Roman"/>
          <w:lang w:val="en-US" w:eastAsia="zh-CN"/>
        </w:rPr>
      </w:pPr>
    </w:p>
    <w:p w14:paraId="170C1797">
      <w:pPr>
        <w:rPr>
          <w:rFonts w:hint="default" w:ascii="Times New Roman" w:hAnsi="Times New Roman" w:cs="Times New Roman"/>
          <w:lang w:val="en-US" w:eastAsia="zh-CN"/>
        </w:rPr>
      </w:pPr>
    </w:p>
    <w:p w14:paraId="57E4C573">
      <w:pPr>
        <w:rPr>
          <w:rFonts w:hint="default" w:ascii="Times New Roman" w:hAnsi="Times New Roman" w:cs="Times New Roman"/>
          <w:lang w:val="en-US" w:eastAsia="zh-CN"/>
        </w:rPr>
      </w:pPr>
    </w:p>
    <w:p w14:paraId="06DB946A">
      <w:pPr>
        <w:rPr>
          <w:rFonts w:hint="default" w:ascii="Times New Roman" w:hAnsi="Times New Roman" w:cs="Times New Roman"/>
          <w:lang w:val="en-US" w:eastAsia="zh-CN"/>
        </w:rPr>
      </w:pPr>
    </w:p>
    <w:p w14:paraId="014404A8">
      <w:pPr>
        <w:rPr>
          <w:rFonts w:hint="default" w:ascii="Times New Roman" w:hAnsi="Times New Roman" w:cs="Times New Roman"/>
          <w:lang w:val="en-US" w:eastAsia="zh-CN"/>
        </w:rPr>
      </w:pPr>
    </w:p>
    <w:p w14:paraId="09D053FD">
      <w:pPr>
        <w:rPr>
          <w:rFonts w:hint="default" w:ascii="Times New Roman" w:hAnsi="Times New Roman" w:cs="Times New Roman"/>
          <w:lang w:val="en-US" w:eastAsia="zh-CN"/>
        </w:rPr>
      </w:pPr>
    </w:p>
    <w:p w14:paraId="373F506F">
      <w:pPr>
        <w:rPr>
          <w:rFonts w:hint="default" w:ascii="Times New Roman" w:hAnsi="Times New Roman" w:cs="Times New Roman"/>
          <w:lang w:val="en-US" w:eastAsia="zh-CN"/>
        </w:rPr>
      </w:pPr>
    </w:p>
    <w:p w14:paraId="173D8DC7">
      <w:pPr>
        <w:rPr>
          <w:rFonts w:hint="default" w:ascii="Times New Roman" w:hAnsi="Times New Roman" w:cs="Times New Roman"/>
          <w:lang w:val="en-US" w:eastAsia="zh-CN"/>
        </w:rPr>
      </w:pPr>
    </w:p>
    <w:p w14:paraId="4A8F85BD">
      <w:pPr>
        <w:rPr>
          <w:rFonts w:hint="default" w:ascii="Times New Roman" w:hAnsi="Times New Roman" w:cs="Times New Roman"/>
          <w:lang w:val="en-US" w:eastAsia="zh-CN"/>
        </w:rPr>
      </w:pPr>
    </w:p>
    <w:p w14:paraId="0E67B501">
      <w:pPr>
        <w:rPr>
          <w:rFonts w:hint="default" w:ascii="Times New Roman" w:hAnsi="Times New Roman" w:cs="Times New Roman"/>
          <w:lang w:val="en-US" w:eastAsia="zh-CN"/>
        </w:rPr>
      </w:pPr>
    </w:p>
    <w:p w14:paraId="1A9B7526">
      <w:pPr>
        <w:pStyle w:val="4"/>
        <w:rPr>
          <w:rFonts w:hint="default" w:ascii="Times New Roman" w:hAnsi="Times New Roman" w:cs="Times New Roman"/>
          <w:lang w:val="en-US" w:eastAsia="zh-CN"/>
        </w:rPr>
      </w:pPr>
    </w:p>
    <w:p w14:paraId="30FA2F90">
      <w:pPr>
        <w:rPr>
          <w:rFonts w:hint="default" w:ascii="Times New Roman" w:hAnsi="Times New Roman" w:cs="Times New Roman"/>
          <w:lang w:val="en-US" w:eastAsia="zh-CN"/>
        </w:rPr>
      </w:pPr>
    </w:p>
    <w:p w14:paraId="4A4A6E48">
      <w:pPr>
        <w:pStyle w:val="4"/>
        <w:rPr>
          <w:rFonts w:hint="default" w:ascii="Times New Roman" w:hAnsi="Times New Roman" w:cs="Times New Roman"/>
          <w:lang w:val="en-US" w:eastAsia="zh-CN"/>
        </w:rPr>
      </w:pPr>
    </w:p>
    <w:p w14:paraId="134594EE">
      <w:pPr>
        <w:rPr>
          <w:rFonts w:hint="default" w:ascii="Times New Roman" w:hAnsi="Times New Roman" w:cs="Times New Roman"/>
          <w:lang w:val="en-US" w:eastAsia="zh-CN"/>
        </w:rPr>
      </w:pPr>
    </w:p>
    <w:p w14:paraId="72554123">
      <w:pPr>
        <w:pStyle w:val="4"/>
        <w:rPr>
          <w:rFonts w:hint="default"/>
          <w:lang w:val="en-US" w:eastAsia="zh-CN"/>
        </w:rPr>
      </w:pPr>
    </w:p>
    <w:p w14:paraId="23A813CB">
      <w:pPr>
        <w:rPr>
          <w:rFonts w:hint="default" w:ascii="Times New Roman" w:hAnsi="Times New Roman" w:cs="Times New Roman"/>
          <w:lang w:val="en-US" w:eastAsia="zh-CN"/>
        </w:rPr>
      </w:pPr>
    </w:p>
    <w:p w14:paraId="4AAF7F5C">
      <w:pPr>
        <w:rPr>
          <w:rFonts w:hint="default" w:ascii="Times New Roman" w:hAnsi="Times New Roman" w:cs="Times New Roman"/>
          <w:lang w:val="en-US" w:eastAsia="zh-CN"/>
        </w:rPr>
      </w:pPr>
    </w:p>
    <w:p w14:paraId="6C044C07">
      <w:pPr>
        <w:rPr>
          <w:rFonts w:hint="default" w:ascii="Times New Roman" w:hAnsi="Times New Roman" w:cs="Times New Roman"/>
          <w:lang w:val="en-US" w:eastAsia="zh-CN"/>
        </w:rPr>
      </w:pPr>
    </w:p>
    <w:p w14:paraId="798DAAEE">
      <w:pPr>
        <w:rPr>
          <w:rFonts w:hint="default" w:ascii="Times New Roman" w:hAnsi="Times New Roman" w:cs="Times New Roman"/>
          <w:lang w:val="en-US" w:eastAsia="zh-CN"/>
        </w:rPr>
      </w:pPr>
    </w:p>
    <w:p w14:paraId="2046473B">
      <w:pPr>
        <w:rPr>
          <w:rFonts w:hint="default" w:ascii="Times New Roman" w:hAnsi="Times New Roman" w:cs="Times New Roman"/>
          <w:lang w:val="en-US" w:eastAsia="zh-CN"/>
        </w:rPr>
      </w:pPr>
    </w:p>
    <w:p w14:paraId="08322703">
      <w:pPr>
        <w:rPr>
          <w:rFonts w:hint="default" w:ascii="Times New Roman" w:hAnsi="Times New Roman" w:cs="Times New Roman"/>
          <w:lang w:val="en-US" w:eastAsia="zh-CN"/>
        </w:rPr>
      </w:pPr>
    </w:p>
    <w:p w14:paraId="5C83BBF8">
      <w:pPr>
        <w:rPr>
          <w:rFonts w:hint="default" w:ascii="Times New Roman" w:hAnsi="Times New Roman" w:cs="Times New Roman"/>
          <w:lang w:val="en-US" w:eastAsia="zh-CN"/>
        </w:rPr>
      </w:pPr>
    </w:p>
    <w:p w14:paraId="45D6F8A3">
      <w:pPr>
        <w:rPr>
          <w:rFonts w:hint="default" w:ascii="Times New Roman" w:hAnsi="Times New Roman" w:cs="Times New Roman"/>
          <w:lang w:val="en-US" w:eastAsia="zh-CN"/>
        </w:rPr>
      </w:pPr>
    </w:p>
    <w:p w14:paraId="592883CB">
      <w:pPr>
        <w:rPr>
          <w:rFonts w:hint="default" w:ascii="Times New Roman" w:hAnsi="Times New Roman" w:cs="Times New Roman"/>
          <w:lang w:val="en-US" w:eastAsia="zh-CN"/>
        </w:rPr>
      </w:pPr>
    </w:p>
    <w:p w14:paraId="5B00CF97">
      <w:pPr>
        <w:spacing w:line="360" w:lineRule="auto"/>
        <w:jc w:val="center"/>
        <w:rPr>
          <w:rFonts w:hint="default"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珠海正方建设投资有</w:t>
      </w:r>
      <w:r>
        <w:rPr>
          <w:rFonts w:hint="default" w:ascii="Times New Roman" w:hAnsi="Times New Roman" w:cs="Times New Roman"/>
          <w:b/>
          <w:bCs/>
          <w:sz w:val="32"/>
          <w:szCs w:val="32"/>
          <w:lang w:val="en-US" w:eastAsia="zh-CN"/>
        </w:rPr>
        <w:t>限公司</w:t>
      </w:r>
    </w:p>
    <w:p w14:paraId="7A07AE03">
      <w:pPr>
        <w:spacing w:line="360" w:lineRule="auto"/>
        <w:ind w:firstLine="3213" w:firstLineChars="1000"/>
        <w:rPr>
          <w:rFonts w:hint="default" w:ascii="Times New Roman" w:hAnsi="Times New Roman" w:cs="Times New Roman"/>
          <w:b/>
          <w:bCs/>
          <w:sz w:val="32"/>
          <w:szCs w:val="32"/>
          <w:lang w:val="en-US" w:eastAsia="zh-CN"/>
        </w:rPr>
      </w:pPr>
      <w:r>
        <w:rPr>
          <w:rFonts w:hint="default" w:ascii="Times New Roman" w:hAnsi="Times New Roman" w:cs="Times New Roman"/>
          <w:b/>
          <w:bCs/>
          <w:sz w:val="32"/>
          <w:szCs w:val="32"/>
          <w:lang w:val="en-US" w:eastAsia="zh-CN"/>
        </w:rPr>
        <w:t>202</w:t>
      </w:r>
      <w:r>
        <w:rPr>
          <w:rFonts w:hint="eastAsia" w:ascii="Times New Roman" w:hAnsi="Times New Roman" w:cs="Times New Roman"/>
          <w:b/>
          <w:bCs/>
          <w:sz w:val="32"/>
          <w:szCs w:val="32"/>
          <w:lang w:val="en-US" w:eastAsia="zh-CN"/>
        </w:rPr>
        <w:t>6</w:t>
      </w:r>
      <w:r>
        <w:rPr>
          <w:rFonts w:hint="default" w:ascii="Times New Roman" w:hAnsi="Times New Roman" w:cs="Times New Roman"/>
          <w:b/>
          <w:bCs/>
          <w:sz w:val="32"/>
          <w:szCs w:val="32"/>
          <w:lang w:val="en-US" w:eastAsia="zh-CN"/>
        </w:rPr>
        <w:t>年7月</w:t>
      </w:r>
    </w:p>
    <w:p w14:paraId="35411DB0">
      <w:pPr>
        <w:rPr>
          <w:rFonts w:hint="default" w:ascii="Times New Roman" w:hAnsi="Times New Roman" w:eastAsia="仿宋" w:cs="Times New Roman"/>
          <w:snapToGrid w:val="0"/>
          <w:color w:val="auto"/>
          <w:kern w:val="0"/>
          <w:sz w:val="32"/>
          <w:szCs w:val="32"/>
          <w:highlight w:val="none"/>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0D46C82">
      <w:pPr>
        <w:keepNext w:val="0"/>
        <w:keepLines w:val="0"/>
        <w:pageBreakBefore w:val="0"/>
        <w:kinsoku/>
        <w:wordWrap/>
        <w:overflowPunct/>
        <w:topLinePunct w:val="0"/>
        <w:autoSpaceDE/>
        <w:autoSpaceDN/>
        <w:bidi w:val="0"/>
        <w:adjustRightInd/>
        <w:snapToGrid/>
        <w:spacing w:line="579" w:lineRule="exact"/>
        <w:ind w:firstLine="600" w:firstLineChars="200"/>
        <w:outlineLvl w:val="0"/>
        <w:rPr>
          <w:rFonts w:hint="default" w:ascii="Times New Roman" w:hAnsi="Times New Roman" w:eastAsia="黑体" w:cs="Times New Roman"/>
          <w:kern w:val="0"/>
          <w:sz w:val="30"/>
          <w:szCs w:val="20"/>
          <w:lang w:val="en-US" w:eastAsia="zh-CN"/>
        </w:rPr>
      </w:pPr>
      <w:r>
        <w:rPr>
          <w:rFonts w:hint="eastAsia" w:ascii="Times New Roman" w:hAnsi="Times New Roman" w:eastAsia="黑体" w:cs="Times New Roman"/>
          <w:kern w:val="0"/>
          <w:sz w:val="30"/>
          <w:szCs w:val="20"/>
          <w:lang w:val="en-US" w:eastAsia="zh-CN"/>
        </w:rPr>
        <w:t>1.项目概况</w:t>
      </w:r>
    </w:p>
    <w:p w14:paraId="634BE7F5">
      <w:pPr>
        <w:pageBreakBefore w:val="0"/>
        <w:wordWrap/>
        <w:overflowPunct/>
        <w:topLinePunct w:val="0"/>
        <w:bidi w:val="0"/>
        <w:spacing w:line="579" w:lineRule="exact"/>
        <w:ind w:firstLine="600" w:firstLineChars="200"/>
        <w:rPr>
          <w:rFonts w:hint="eastAsia" w:ascii="Times New Roman" w:hAnsi="Times New Roman" w:eastAsia="仿宋" w:cs="Times New Roman"/>
          <w:snapToGrid w:val="0"/>
          <w:color w:val="auto"/>
          <w:kern w:val="0"/>
          <w:sz w:val="30"/>
          <w:szCs w:val="30"/>
          <w:highlight w:val="none"/>
          <w:lang w:val="en-US" w:eastAsia="zh-CN" w:bidi="ar-SA"/>
        </w:rPr>
      </w:pPr>
      <w:r>
        <w:rPr>
          <w:rFonts w:hint="eastAsia" w:ascii="Times New Roman" w:hAnsi="Times New Roman" w:eastAsia="仿宋" w:cs="Times New Roman"/>
          <w:snapToGrid w:val="0"/>
          <w:color w:val="auto"/>
          <w:kern w:val="0"/>
          <w:sz w:val="30"/>
          <w:szCs w:val="30"/>
          <w:highlight w:val="none"/>
          <w:lang w:val="en-US" w:eastAsia="zh-CN" w:bidi="ar-SA"/>
        </w:rPr>
        <w:t>（1）项目名称：南屏村历史文化街区风貌整治工程二期</w:t>
      </w:r>
    </w:p>
    <w:p w14:paraId="5E98180C">
      <w:pPr>
        <w:pageBreakBefore w:val="0"/>
        <w:wordWrap/>
        <w:overflowPunct/>
        <w:topLinePunct w:val="0"/>
        <w:bidi w:val="0"/>
        <w:spacing w:line="579" w:lineRule="exact"/>
        <w:ind w:firstLine="600" w:firstLineChars="200"/>
        <w:rPr>
          <w:rFonts w:hint="eastAsia" w:ascii="Times New Roman" w:hAnsi="Times New Roman" w:eastAsia="仿宋" w:cs="Times New Roman"/>
          <w:snapToGrid w:val="0"/>
          <w:color w:val="auto"/>
          <w:kern w:val="0"/>
          <w:sz w:val="30"/>
          <w:szCs w:val="30"/>
          <w:highlight w:val="none"/>
          <w:lang w:val="en-US" w:eastAsia="zh-CN" w:bidi="ar-SA"/>
        </w:rPr>
      </w:pPr>
      <w:r>
        <w:rPr>
          <w:rFonts w:hint="eastAsia" w:ascii="Times New Roman" w:hAnsi="Times New Roman" w:eastAsia="仿宋" w:cs="Times New Roman"/>
          <w:snapToGrid w:val="0"/>
          <w:color w:val="auto"/>
          <w:kern w:val="0"/>
          <w:sz w:val="30"/>
          <w:szCs w:val="30"/>
          <w:highlight w:val="none"/>
          <w:lang w:val="en-US" w:eastAsia="zh-CN" w:bidi="ar-SA"/>
        </w:rPr>
        <w:t>（2）项目地点：珠海市香洲区南屏镇南屏村</w:t>
      </w:r>
    </w:p>
    <w:p w14:paraId="11FFE570">
      <w:pPr>
        <w:pageBreakBefore w:val="0"/>
        <w:wordWrap/>
        <w:overflowPunct/>
        <w:topLinePunct w:val="0"/>
        <w:bidi w:val="0"/>
        <w:spacing w:line="579" w:lineRule="exact"/>
        <w:ind w:firstLine="600" w:firstLineChars="200"/>
        <w:rPr>
          <w:rFonts w:hint="default" w:ascii="Times New Roman" w:hAnsi="Times New Roman" w:eastAsia="仿宋" w:cs="Times New Roman"/>
          <w:snapToGrid w:val="0"/>
          <w:color w:val="auto"/>
          <w:kern w:val="0"/>
          <w:sz w:val="30"/>
          <w:szCs w:val="30"/>
          <w:highlight w:val="none"/>
          <w:lang w:val="en-US" w:eastAsia="zh-CN" w:bidi="ar-SA"/>
        </w:rPr>
      </w:pPr>
      <w:r>
        <w:rPr>
          <w:rFonts w:hint="eastAsia" w:ascii="Times New Roman" w:hAnsi="Times New Roman" w:eastAsia="仿宋" w:cs="Times New Roman"/>
          <w:snapToGrid w:val="0"/>
          <w:color w:val="auto"/>
          <w:kern w:val="0"/>
          <w:sz w:val="30"/>
          <w:szCs w:val="30"/>
          <w:highlight w:val="none"/>
          <w:lang w:val="en-US" w:eastAsia="zh-CN" w:bidi="ar-SA"/>
        </w:rPr>
        <w:t>（3）项目概况：依据《</w:t>
      </w:r>
      <w:r>
        <w:rPr>
          <w:rFonts w:hint="default" w:ascii="Times New Roman" w:hAnsi="Times New Roman" w:eastAsia="仿宋" w:cs="Times New Roman"/>
          <w:snapToGrid w:val="0"/>
          <w:color w:val="auto"/>
          <w:kern w:val="0"/>
          <w:sz w:val="30"/>
          <w:szCs w:val="30"/>
          <w:highlight w:val="none"/>
          <w:lang w:val="en-US" w:eastAsia="zh-CN" w:bidi="ar-SA"/>
        </w:rPr>
        <w:t>南屏村历史文化街区风貌整治工程二期项目勘察设计阶段</w:t>
      </w:r>
      <w:r>
        <w:rPr>
          <w:rFonts w:hint="eastAsia" w:ascii="Times New Roman" w:hAnsi="Times New Roman" w:eastAsia="仿宋" w:cs="Times New Roman"/>
          <w:snapToGrid w:val="0"/>
          <w:color w:val="auto"/>
          <w:kern w:val="0"/>
          <w:sz w:val="30"/>
          <w:szCs w:val="30"/>
          <w:highlight w:val="none"/>
          <w:lang w:val="en-US" w:eastAsia="zh-CN" w:bidi="ar-SA"/>
        </w:rPr>
        <w:t>土石方方量估算表》，二层和五层地下室区域开挖，挖方量65197.1立方米，后续计划外运用作农用地土壤。根据相关规范要求，需开展土壤检测，并出具报告。</w:t>
      </w:r>
    </w:p>
    <w:p w14:paraId="12866749">
      <w:pPr>
        <w:keepNext w:val="0"/>
        <w:keepLines w:val="0"/>
        <w:pageBreakBefore w:val="0"/>
        <w:kinsoku/>
        <w:wordWrap/>
        <w:overflowPunct/>
        <w:topLinePunct w:val="0"/>
        <w:autoSpaceDE/>
        <w:autoSpaceDN/>
        <w:bidi w:val="0"/>
        <w:adjustRightInd/>
        <w:snapToGrid/>
        <w:spacing w:line="579" w:lineRule="exact"/>
        <w:ind w:firstLine="600" w:firstLineChars="200"/>
        <w:outlineLvl w:val="0"/>
        <w:rPr>
          <w:rFonts w:hint="eastAsia" w:ascii="Times New Roman" w:hAnsi="Times New Roman" w:eastAsia="黑体" w:cs="Times New Roman"/>
          <w:kern w:val="0"/>
          <w:sz w:val="30"/>
          <w:szCs w:val="20"/>
          <w:lang w:val="en-US" w:eastAsia="zh-CN"/>
        </w:rPr>
      </w:pPr>
      <w:r>
        <w:rPr>
          <w:rFonts w:hint="eastAsia" w:ascii="Times New Roman" w:hAnsi="Times New Roman" w:eastAsia="黑体" w:cs="Times New Roman"/>
          <w:kern w:val="0"/>
          <w:sz w:val="30"/>
          <w:szCs w:val="20"/>
          <w:lang w:val="en-US" w:eastAsia="zh-CN"/>
        </w:rPr>
        <w:t>2.编制依据</w:t>
      </w:r>
    </w:p>
    <w:p w14:paraId="5D7C3299">
      <w:pPr>
        <w:pageBreakBefore w:val="0"/>
        <w:wordWrap/>
        <w:overflowPunct/>
        <w:topLinePunct w:val="0"/>
        <w:bidi w:val="0"/>
        <w:spacing w:line="579" w:lineRule="exact"/>
        <w:ind w:firstLine="600" w:firstLineChars="200"/>
        <w:rPr>
          <w:rFonts w:hint="default" w:ascii="Times New Roman" w:hAnsi="Times New Roman" w:eastAsia="仿宋" w:cs="Times New Roman"/>
          <w:snapToGrid w:val="0"/>
          <w:color w:val="auto"/>
          <w:kern w:val="0"/>
          <w:sz w:val="30"/>
          <w:szCs w:val="30"/>
          <w:highlight w:val="none"/>
          <w:lang w:val="en-US" w:eastAsia="zh-CN" w:bidi="ar-SA"/>
        </w:rPr>
      </w:pPr>
      <w:r>
        <w:rPr>
          <w:rFonts w:hint="eastAsia" w:ascii="Times New Roman" w:hAnsi="Times New Roman" w:eastAsia="仿宋" w:cs="Times New Roman"/>
          <w:snapToGrid w:val="0"/>
          <w:color w:val="auto"/>
          <w:kern w:val="0"/>
          <w:sz w:val="30"/>
          <w:szCs w:val="30"/>
          <w:highlight w:val="none"/>
          <w:lang w:val="en-US" w:eastAsia="zh-CN" w:bidi="ar-SA"/>
        </w:rPr>
        <w:t>《中华人民共和国环境保护法》</w:t>
      </w:r>
      <w:r>
        <w:rPr>
          <w:rFonts w:hint="default" w:ascii="Times New Roman" w:hAnsi="Times New Roman" w:eastAsia="仿宋" w:cs="Times New Roman"/>
          <w:snapToGrid w:val="0"/>
          <w:color w:val="auto"/>
          <w:kern w:val="0"/>
          <w:sz w:val="30"/>
          <w:szCs w:val="30"/>
          <w:highlight w:val="none"/>
          <w:lang w:val="en-US" w:eastAsia="zh-CN" w:bidi="ar-SA"/>
        </w:rPr>
        <w:t>；</w:t>
      </w:r>
    </w:p>
    <w:p w14:paraId="4B043737">
      <w:pPr>
        <w:pageBreakBefore w:val="0"/>
        <w:wordWrap/>
        <w:overflowPunct/>
        <w:topLinePunct w:val="0"/>
        <w:bidi w:val="0"/>
        <w:spacing w:line="579" w:lineRule="exact"/>
        <w:ind w:firstLine="600" w:firstLineChars="200"/>
        <w:rPr>
          <w:rFonts w:hint="default" w:ascii="Times New Roman" w:hAnsi="Times New Roman" w:eastAsia="仿宋" w:cs="Times New Roman"/>
          <w:snapToGrid w:val="0"/>
          <w:color w:val="auto"/>
          <w:kern w:val="0"/>
          <w:sz w:val="30"/>
          <w:szCs w:val="30"/>
          <w:highlight w:val="none"/>
          <w:lang w:val="en-US" w:eastAsia="zh-CN" w:bidi="ar-SA"/>
        </w:rPr>
      </w:pPr>
      <w:r>
        <w:rPr>
          <w:rFonts w:hint="default" w:ascii="Times New Roman" w:hAnsi="Times New Roman" w:eastAsia="仿宋" w:cs="Times New Roman"/>
          <w:snapToGrid w:val="0"/>
          <w:color w:val="auto"/>
          <w:kern w:val="0"/>
          <w:sz w:val="30"/>
          <w:szCs w:val="30"/>
          <w:highlight w:val="none"/>
          <w:lang w:val="en-US" w:eastAsia="zh-CN" w:bidi="ar-SA"/>
        </w:rPr>
        <w:t>《中华人民共和国土壤污染防治法》；</w:t>
      </w:r>
    </w:p>
    <w:p w14:paraId="114439B3">
      <w:pPr>
        <w:pageBreakBefore w:val="0"/>
        <w:wordWrap/>
        <w:overflowPunct/>
        <w:topLinePunct w:val="0"/>
        <w:bidi w:val="0"/>
        <w:spacing w:line="579" w:lineRule="exact"/>
        <w:ind w:firstLine="600" w:firstLineChars="200"/>
        <w:rPr>
          <w:rFonts w:hint="default" w:ascii="Times New Roman" w:hAnsi="Times New Roman" w:eastAsia="仿宋" w:cs="Times New Roman"/>
          <w:snapToGrid w:val="0"/>
          <w:color w:val="auto"/>
          <w:kern w:val="0"/>
          <w:sz w:val="30"/>
          <w:szCs w:val="30"/>
          <w:highlight w:val="none"/>
          <w:lang w:val="en-US" w:eastAsia="zh-CN" w:bidi="ar-SA"/>
        </w:rPr>
      </w:pPr>
      <w:r>
        <w:rPr>
          <w:rFonts w:hint="default" w:ascii="Times New Roman" w:hAnsi="Times New Roman" w:eastAsia="仿宋" w:cs="Times New Roman"/>
          <w:snapToGrid w:val="0"/>
          <w:color w:val="auto"/>
          <w:kern w:val="0"/>
          <w:sz w:val="30"/>
          <w:szCs w:val="30"/>
          <w:highlight w:val="none"/>
          <w:lang w:val="en-US" w:eastAsia="zh-CN" w:bidi="ar-SA"/>
        </w:rPr>
        <w:t>《中华人民共和国固体废物污染环境防治法》；</w:t>
      </w:r>
    </w:p>
    <w:p w14:paraId="6474B764">
      <w:pPr>
        <w:pageBreakBefore w:val="0"/>
        <w:wordWrap/>
        <w:overflowPunct/>
        <w:topLinePunct w:val="0"/>
        <w:bidi w:val="0"/>
        <w:spacing w:line="579" w:lineRule="exact"/>
        <w:ind w:firstLine="600" w:firstLineChars="200"/>
        <w:rPr>
          <w:rFonts w:hint="default" w:ascii="Times New Roman" w:hAnsi="Times New Roman" w:eastAsia="仿宋" w:cs="Times New Roman"/>
          <w:snapToGrid w:val="0"/>
          <w:color w:val="auto"/>
          <w:kern w:val="0"/>
          <w:sz w:val="30"/>
          <w:szCs w:val="30"/>
          <w:highlight w:val="none"/>
          <w:lang w:val="en-US" w:eastAsia="zh-CN" w:bidi="ar-SA"/>
        </w:rPr>
      </w:pPr>
      <w:r>
        <w:rPr>
          <w:rFonts w:hint="default" w:ascii="Times New Roman" w:hAnsi="Times New Roman" w:eastAsia="仿宋" w:cs="Times New Roman"/>
          <w:snapToGrid w:val="0"/>
          <w:color w:val="auto"/>
          <w:kern w:val="0"/>
          <w:sz w:val="30"/>
          <w:szCs w:val="30"/>
          <w:highlight w:val="none"/>
          <w:lang w:val="en-US" w:eastAsia="zh-CN" w:bidi="ar-SA"/>
        </w:rPr>
        <w:t>《广东省建设用地土壤污染状况调查、风险评估及效果评估报告技</w:t>
      </w:r>
      <w:r>
        <w:rPr>
          <w:rFonts w:hint="eastAsia" w:ascii="Times New Roman" w:hAnsi="Times New Roman" w:eastAsia="仿宋" w:cs="Times New Roman"/>
          <w:snapToGrid w:val="0"/>
          <w:color w:val="auto"/>
          <w:kern w:val="0"/>
          <w:sz w:val="30"/>
          <w:szCs w:val="30"/>
          <w:highlight w:val="none"/>
          <w:lang w:val="en-US" w:eastAsia="zh-CN" w:bidi="ar-SA"/>
        </w:rPr>
        <w:t>术</w:t>
      </w:r>
      <w:r>
        <w:rPr>
          <w:rFonts w:hint="default" w:ascii="Times New Roman" w:hAnsi="Times New Roman" w:eastAsia="仿宋" w:cs="Times New Roman"/>
          <w:snapToGrid w:val="0"/>
          <w:color w:val="auto"/>
          <w:kern w:val="0"/>
          <w:sz w:val="30"/>
          <w:szCs w:val="30"/>
          <w:highlight w:val="none"/>
          <w:lang w:val="en-US" w:eastAsia="zh-CN" w:bidi="ar-SA"/>
        </w:rPr>
        <w:t>审查要点</w:t>
      </w:r>
      <w:r>
        <w:rPr>
          <w:rFonts w:hint="eastAsia" w:ascii="Times New Roman" w:hAnsi="Times New Roman" w:eastAsia="仿宋" w:cs="Times New Roman"/>
          <w:snapToGrid w:val="0"/>
          <w:color w:val="auto"/>
          <w:kern w:val="0"/>
          <w:sz w:val="30"/>
          <w:szCs w:val="30"/>
          <w:highlight w:val="none"/>
          <w:lang w:val="en-US" w:eastAsia="zh-CN" w:bidi="ar-SA"/>
        </w:rPr>
        <w:t>（</w:t>
      </w:r>
      <w:r>
        <w:rPr>
          <w:rFonts w:hint="default" w:ascii="Times New Roman" w:hAnsi="Times New Roman" w:eastAsia="仿宋" w:cs="Times New Roman"/>
          <w:snapToGrid w:val="0"/>
          <w:color w:val="auto"/>
          <w:kern w:val="0"/>
          <w:sz w:val="30"/>
          <w:szCs w:val="30"/>
          <w:highlight w:val="none"/>
          <w:lang w:val="en-US" w:eastAsia="zh-CN" w:bidi="ar-SA"/>
        </w:rPr>
        <w:t>修订版</w:t>
      </w:r>
      <w:r>
        <w:rPr>
          <w:rFonts w:hint="eastAsia" w:ascii="Times New Roman" w:hAnsi="Times New Roman" w:eastAsia="仿宋" w:cs="Times New Roman"/>
          <w:snapToGrid w:val="0"/>
          <w:color w:val="auto"/>
          <w:kern w:val="0"/>
          <w:sz w:val="30"/>
          <w:szCs w:val="30"/>
          <w:highlight w:val="none"/>
          <w:lang w:val="en-US" w:eastAsia="zh-CN" w:bidi="ar-SA"/>
        </w:rPr>
        <w:t>）</w:t>
      </w:r>
      <w:r>
        <w:rPr>
          <w:rFonts w:hint="default" w:ascii="Times New Roman" w:hAnsi="Times New Roman" w:eastAsia="仿宋" w:cs="Times New Roman"/>
          <w:snapToGrid w:val="0"/>
          <w:color w:val="auto"/>
          <w:kern w:val="0"/>
          <w:sz w:val="30"/>
          <w:szCs w:val="30"/>
          <w:highlight w:val="none"/>
          <w:lang w:val="en-US" w:eastAsia="zh-CN" w:bidi="ar-SA"/>
        </w:rPr>
        <w:t>》；</w:t>
      </w:r>
    </w:p>
    <w:p w14:paraId="0B8FE95D">
      <w:pPr>
        <w:pageBreakBefore w:val="0"/>
        <w:wordWrap/>
        <w:overflowPunct/>
        <w:topLinePunct w:val="0"/>
        <w:bidi w:val="0"/>
        <w:spacing w:line="579" w:lineRule="exact"/>
        <w:ind w:firstLine="600" w:firstLineChars="200"/>
        <w:rPr>
          <w:rFonts w:hint="default" w:ascii="Times New Roman" w:hAnsi="Times New Roman" w:eastAsia="仿宋" w:cs="Times New Roman"/>
          <w:snapToGrid w:val="0"/>
          <w:color w:val="auto"/>
          <w:kern w:val="0"/>
          <w:sz w:val="30"/>
          <w:szCs w:val="30"/>
          <w:highlight w:val="none"/>
          <w:lang w:val="en-US" w:eastAsia="zh-CN" w:bidi="ar-SA"/>
        </w:rPr>
      </w:pPr>
      <w:r>
        <w:rPr>
          <w:rFonts w:hint="default" w:ascii="Times New Roman" w:hAnsi="Times New Roman" w:eastAsia="仿宋" w:cs="Times New Roman"/>
          <w:snapToGrid w:val="0"/>
          <w:color w:val="auto"/>
          <w:kern w:val="0"/>
          <w:sz w:val="30"/>
          <w:szCs w:val="30"/>
          <w:highlight w:val="none"/>
          <w:lang w:val="en-US" w:eastAsia="zh-CN" w:bidi="ar-SA"/>
        </w:rPr>
        <w:t>《土壤环境监测技术规范》</w:t>
      </w:r>
      <w:r>
        <w:rPr>
          <w:rFonts w:hint="eastAsia" w:ascii="Times New Roman" w:hAnsi="Times New Roman" w:eastAsia="仿宋" w:cs="Times New Roman"/>
          <w:snapToGrid w:val="0"/>
          <w:color w:val="auto"/>
          <w:kern w:val="0"/>
          <w:sz w:val="30"/>
          <w:szCs w:val="30"/>
          <w:highlight w:val="none"/>
          <w:lang w:val="en-US" w:eastAsia="zh-CN" w:bidi="ar-SA"/>
        </w:rPr>
        <w:t>（HJ 166-2026）</w:t>
      </w:r>
      <w:r>
        <w:rPr>
          <w:rFonts w:hint="default" w:ascii="Times New Roman" w:hAnsi="Times New Roman" w:eastAsia="仿宋" w:cs="Times New Roman"/>
          <w:snapToGrid w:val="0"/>
          <w:color w:val="auto"/>
          <w:kern w:val="0"/>
          <w:sz w:val="30"/>
          <w:szCs w:val="30"/>
          <w:highlight w:val="none"/>
          <w:lang w:val="en-US" w:eastAsia="zh-CN" w:bidi="ar-SA"/>
        </w:rPr>
        <w:t>；</w:t>
      </w:r>
    </w:p>
    <w:p w14:paraId="1A83E7E1">
      <w:pPr>
        <w:pageBreakBefore w:val="0"/>
        <w:wordWrap/>
        <w:overflowPunct/>
        <w:topLinePunct w:val="0"/>
        <w:bidi w:val="0"/>
        <w:spacing w:line="579" w:lineRule="exact"/>
        <w:ind w:firstLine="600" w:firstLineChars="200"/>
        <w:jc w:val="distribute"/>
        <w:rPr>
          <w:rFonts w:hint="default" w:ascii="Times New Roman" w:hAnsi="Times New Roman" w:eastAsia="仿宋" w:cs="Times New Roman"/>
          <w:snapToGrid w:val="0"/>
          <w:color w:val="auto"/>
          <w:kern w:val="0"/>
          <w:sz w:val="30"/>
          <w:szCs w:val="30"/>
          <w:highlight w:val="none"/>
          <w:lang w:val="en-US" w:eastAsia="zh-CN" w:bidi="ar-SA"/>
        </w:rPr>
      </w:pPr>
      <w:r>
        <w:rPr>
          <w:rFonts w:hint="default" w:ascii="Times New Roman" w:hAnsi="Times New Roman" w:eastAsia="仿宋" w:cs="Times New Roman"/>
          <w:snapToGrid w:val="0"/>
          <w:color w:val="auto"/>
          <w:kern w:val="0"/>
          <w:sz w:val="30"/>
          <w:szCs w:val="30"/>
          <w:highlight w:val="none"/>
          <w:lang w:val="en-US" w:eastAsia="zh-CN" w:bidi="ar-SA"/>
        </w:rPr>
        <w:t>《地块土壤和地下水中挥发性有机物采样技术导则》</w:t>
      </w:r>
    </w:p>
    <w:p w14:paraId="447E0A7D">
      <w:pPr>
        <w:pageBreakBefore w:val="0"/>
        <w:wordWrap/>
        <w:overflowPunct/>
        <w:topLinePunct w:val="0"/>
        <w:bidi w:val="0"/>
        <w:spacing w:line="579" w:lineRule="exact"/>
        <w:ind w:firstLine="600" w:firstLineChars="200"/>
        <w:rPr>
          <w:rFonts w:hint="default" w:ascii="Times New Roman" w:hAnsi="Times New Roman" w:eastAsia="仿宋" w:cs="Times New Roman"/>
          <w:snapToGrid w:val="0"/>
          <w:color w:val="auto"/>
          <w:kern w:val="0"/>
          <w:sz w:val="30"/>
          <w:szCs w:val="30"/>
          <w:highlight w:val="none"/>
          <w:lang w:val="en-US" w:eastAsia="zh-CN" w:bidi="ar-SA"/>
        </w:rPr>
      </w:pPr>
      <w:r>
        <w:rPr>
          <w:rFonts w:hint="default" w:ascii="Times New Roman" w:hAnsi="Times New Roman" w:eastAsia="仿宋" w:cs="Times New Roman"/>
          <w:snapToGrid w:val="0"/>
          <w:color w:val="auto"/>
          <w:kern w:val="0"/>
          <w:sz w:val="30"/>
          <w:szCs w:val="30"/>
          <w:highlight w:val="none"/>
          <w:lang w:val="en-US" w:eastAsia="zh-CN" w:bidi="ar-SA"/>
        </w:rPr>
        <w:t>（</w:t>
      </w:r>
      <w:r>
        <w:rPr>
          <w:rFonts w:hint="eastAsia" w:ascii="Times New Roman" w:hAnsi="Times New Roman" w:eastAsia="仿宋" w:cs="Times New Roman"/>
          <w:snapToGrid w:val="0"/>
          <w:color w:val="auto"/>
          <w:kern w:val="0"/>
          <w:sz w:val="30"/>
          <w:szCs w:val="30"/>
          <w:highlight w:val="none"/>
          <w:lang w:val="en-US" w:eastAsia="zh-CN" w:bidi="ar-SA"/>
        </w:rPr>
        <w:t>HJ 1019-2019</w:t>
      </w:r>
      <w:r>
        <w:rPr>
          <w:rFonts w:hint="default" w:ascii="Times New Roman" w:hAnsi="Times New Roman" w:eastAsia="仿宋" w:cs="Times New Roman"/>
          <w:snapToGrid w:val="0"/>
          <w:color w:val="auto"/>
          <w:kern w:val="0"/>
          <w:sz w:val="30"/>
          <w:szCs w:val="30"/>
          <w:highlight w:val="none"/>
          <w:lang w:val="en-US" w:eastAsia="zh-CN" w:bidi="ar-SA"/>
        </w:rPr>
        <w:t>）</w:t>
      </w:r>
    </w:p>
    <w:p w14:paraId="11C63F8A">
      <w:pPr>
        <w:pageBreakBefore w:val="0"/>
        <w:wordWrap/>
        <w:overflowPunct/>
        <w:topLinePunct w:val="0"/>
        <w:bidi w:val="0"/>
        <w:spacing w:line="579" w:lineRule="exact"/>
        <w:ind w:firstLine="600" w:firstLineChars="200"/>
        <w:rPr>
          <w:rFonts w:hint="default" w:ascii="Times New Roman" w:hAnsi="Times New Roman" w:eastAsia="仿宋" w:cs="Times New Roman"/>
          <w:snapToGrid w:val="0"/>
          <w:color w:val="auto"/>
          <w:kern w:val="0"/>
          <w:sz w:val="30"/>
          <w:szCs w:val="30"/>
          <w:highlight w:val="none"/>
          <w:lang w:val="en-US" w:eastAsia="zh-CN" w:bidi="ar-SA"/>
        </w:rPr>
      </w:pPr>
      <w:r>
        <w:rPr>
          <w:rFonts w:hint="default" w:ascii="Times New Roman" w:hAnsi="Times New Roman" w:eastAsia="仿宋" w:cs="Times New Roman"/>
          <w:snapToGrid w:val="0"/>
          <w:color w:val="auto"/>
          <w:kern w:val="0"/>
          <w:sz w:val="30"/>
          <w:szCs w:val="30"/>
          <w:highlight w:val="none"/>
          <w:lang w:val="en-US" w:eastAsia="zh-CN" w:bidi="ar-SA"/>
        </w:rPr>
        <w:t>《建设用地土壤污染状况调查技术导则》</w:t>
      </w:r>
      <w:r>
        <w:rPr>
          <w:rFonts w:hint="eastAsia" w:ascii="Times New Roman" w:hAnsi="Times New Roman" w:eastAsia="仿宋" w:cs="Times New Roman"/>
          <w:snapToGrid w:val="0"/>
          <w:color w:val="auto"/>
          <w:kern w:val="0"/>
          <w:sz w:val="30"/>
          <w:szCs w:val="30"/>
          <w:highlight w:val="none"/>
          <w:lang w:val="en-US" w:eastAsia="zh-CN" w:bidi="ar-SA"/>
        </w:rPr>
        <w:t>（</w:t>
      </w:r>
      <w:r>
        <w:rPr>
          <w:rFonts w:hint="default" w:ascii="Times New Roman" w:hAnsi="Times New Roman" w:eastAsia="仿宋" w:cs="Times New Roman"/>
          <w:snapToGrid w:val="0"/>
          <w:color w:val="auto"/>
          <w:kern w:val="0"/>
          <w:sz w:val="30"/>
          <w:szCs w:val="30"/>
          <w:highlight w:val="none"/>
          <w:lang w:val="en-US" w:eastAsia="zh-CN" w:bidi="ar-SA"/>
        </w:rPr>
        <w:t>HJ 25.1-2019</w:t>
      </w:r>
      <w:r>
        <w:rPr>
          <w:rFonts w:hint="eastAsia" w:ascii="Times New Roman" w:hAnsi="Times New Roman" w:eastAsia="仿宋" w:cs="Times New Roman"/>
          <w:snapToGrid w:val="0"/>
          <w:color w:val="auto"/>
          <w:kern w:val="0"/>
          <w:sz w:val="30"/>
          <w:szCs w:val="30"/>
          <w:highlight w:val="none"/>
          <w:lang w:val="en-US" w:eastAsia="zh-CN" w:bidi="ar-SA"/>
        </w:rPr>
        <w:t>）；</w:t>
      </w:r>
    </w:p>
    <w:p w14:paraId="20D1FFCE">
      <w:pPr>
        <w:pageBreakBefore w:val="0"/>
        <w:wordWrap/>
        <w:overflowPunct/>
        <w:topLinePunct w:val="0"/>
        <w:bidi w:val="0"/>
        <w:spacing w:line="579" w:lineRule="exact"/>
        <w:ind w:firstLine="600" w:firstLineChars="200"/>
        <w:jc w:val="distribute"/>
        <w:rPr>
          <w:rFonts w:hint="default" w:ascii="Times New Roman" w:hAnsi="Times New Roman" w:eastAsia="仿宋" w:cs="Times New Roman"/>
          <w:snapToGrid w:val="0"/>
          <w:color w:val="auto"/>
          <w:kern w:val="0"/>
          <w:sz w:val="30"/>
          <w:szCs w:val="30"/>
          <w:highlight w:val="none"/>
          <w:lang w:val="en-US" w:eastAsia="zh-CN" w:bidi="ar-SA"/>
        </w:rPr>
      </w:pPr>
      <w:r>
        <w:rPr>
          <w:rFonts w:hint="default" w:ascii="Times New Roman" w:hAnsi="Times New Roman" w:eastAsia="仿宋" w:cs="Times New Roman"/>
          <w:snapToGrid w:val="0"/>
          <w:color w:val="auto"/>
          <w:kern w:val="0"/>
          <w:sz w:val="30"/>
          <w:szCs w:val="30"/>
          <w:highlight w:val="none"/>
          <w:lang w:val="en-US" w:eastAsia="zh-CN" w:bidi="ar-SA"/>
        </w:rPr>
        <w:t>《土壤环境质量 农用地土壤污染风险管控标准》</w:t>
      </w:r>
    </w:p>
    <w:p w14:paraId="0DF2E907">
      <w:pPr>
        <w:pageBreakBefore w:val="0"/>
        <w:wordWrap/>
        <w:overflowPunct/>
        <w:topLinePunct w:val="0"/>
        <w:bidi w:val="0"/>
        <w:spacing w:line="579" w:lineRule="exact"/>
        <w:ind w:firstLine="600" w:firstLineChars="200"/>
        <w:rPr>
          <w:rFonts w:hint="default" w:ascii="Times New Roman" w:hAnsi="Times New Roman" w:eastAsia="仿宋" w:cs="Times New Roman"/>
          <w:snapToGrid w:val="0"/>
          <w:color w:val="auto"/>
          <w:kern w:val="0"/>
          <w:sz w:val="30"/>
          <w:szCs w:val="30"/>
          <w:highlight w:val="none"/>
          <w:lang w:val="en-US" w:eastAsia="zh-CN" w:bidi="ar-SA"/>
        </w:rPr>
      </w:pPr>
      <w:r>
        <w:rPr>
          <w:rFonts w:hint="eastAsia" w:ascii="Times New Roman" w:hAnsi="Times New Roman" w:eastAsia="仿宋" w:cs="Times New Roman"/>
          <w:snapToGrid w:val="0"/>
          <w:color w:val="auto"/>
          <w:kern w:val="0"/>
          <w:sz w:val="30"/>
          <w:szCs w:val="30"/>
          <w:highlight w:val="none"/>
          <w:lang w:val="en-US" w:eastAsia="zh-CN" w:bidi="ar-SA"/>
        </w:rPr>
        <w:t>（GB</w:t>
      </w:r>
      <w:r>
        <w:rPr>
          <w:rFonts w:hint="default" w:ascii="Times New Roman" w:hAnsi="Times New Roman" w:eastAsia="仿宋" w:cs="Times New Roman"/>
          <w:snapToGrid w:val="0"/>
          <w:color w:val="auto"/>
          <w:kern w:val="0"/>
          <w:sz w:val="30"/>
          <w:szCs w:val="30"/>
          <w:highlight w:val="none"/>
          <w:lang w:val="en-US" w:eastAsia="zh-CN" w:bidi="ar-SA"/>
        </w:rPr>
        <w:t xml:space="preserve"> 15618-2018</w:t>
      </w:r>
      <w:r>
        <w:rPr>
          <w:rFonts w:hint="eastAsia" w:ascii="Times New Roman" w:hAnsi="Times New Roman" w:eastAsia="仿宋" w:cs="Times New Roman"/>
          <w:snapToGrid w:val="0"/>
          <w:color w:val="auto"/>
          <w:kern w:val="0"/>
          <w:sz w:val="30"/>
          <w:szCs w:val="30"/>
          <w:highlight w:val="none"/>
          <w:lang w:val="en-US" w:eastAsia="zh-CN" w:bidi="ar-SA"/>
        </w:rPr>
        <w:t>)</w:t>
      </w:r>
    </w:p>
    <w:p w14:paraId="1D048383">
      <w:pPr>
        <w:keepNext w:val="0"/>
        <w:keepLines w:val="0"/>
        <w:pageBreakBefore w:val="0"/>
        <w:kinsoku/>
        <w:wordWrap/>
        <w:overflowPunct/>
        <w:topLinePunct w:val="0"/>
        <w:autoSpaceDE/>
        <w:autoSpaceDN/>
        <w:bidi w:val="0"/>
        <w:adjustRightInd/>
        <w:snapToGrid/>
        <w:spacing w:line="579" w:lineRule="exact"/>
        <w:ind w:firstLine="600" w:firstLineChars="200"/>
        <w:outlineLvl w:val="0"/>
        <w:rPr>
          <w:rFonts w:hint="default" w:ascii="Times New Roman" w:hAnsi="Times New Roman" w:eastAsia="黑体" w:cs="Times New Roman"/>
          <w:kern w:val="0"/>
          <w:sz w:val="30"/>
          <w:szCs w:val="20"/>
          <w:lang w:val="en-US" w:eastAsia="zh-CN"/>
        </w:rPr>
      </w:pPr>
      <w:r>
        <w:rPr>
          <w:rFonts w:hint="eastAsia" w:ascii="Times New Roman" w:hAnsi="Times New Roman" w:eastAsia="黑体" w:cs="Times New Roman"/>
          <w:kern w:val="0"/>
          <w:sz w:val="30"/>
          <w:szCs w:val="20"/>
          <w:lang w:val="en-US" w:eastAsia="zh-CN"/>
        </w:rPr>
        <w:t>3.主要任务</w:t>
      </w:r>
    </w:p>
    <w:p w14:paraId="2F5F40CC">
      <w:pPr>
        <w:pageBreakBefore w:val="0"/>
        <w:wordWrap/>
        <w:overflowPunct/>
        <w:topLinePunct w:val="0"/>
        <w:bidi w:val="0"/>
        <w:spacing w:line="579" w:lineRule="exact"/>
        <w:ind w:firstLine="600" w:firstLineChars="200"/>
        <w:rPr>
          <w:rFonts w:hint="default" w:ascii="Times New Roman" w:hAnsi="Times New Roman" w:eastAsia="仿宋" w:cs="Times New Roman"/>
          <w:snapToGrid w:val="0"/>
          <w:color w:val="auto"/>
          <w:kern w:val="0"/>
          <w:sz w:val="30"/>
          <w:szCs w:val="30"/>
          <w:highlight w:val="none"/>
          <w:lang w:val="en-US" w:eastAsia="zh-CN" w:bidi="ar-SA"/>
        </w:rPr>
      </w:pPr>
      <w:r>
        <w:rPr>
          <w:rFonts w:hint="default" w:ascii="Times New Roman" w:hAnsi="Times New Roman" w:eastAsia="仿宋" w:cs="Times New Roman"/>
          <w:snapToGrid w:val="0"/>
          <w:color w:val="auto"/>
          <w:kern w:val="0"/>
          <w:sz w:val="30"/>
          <w:szCs w:val="30"/>
          <w:highlight w:val="none"/>
          <w:lang w:val="en-US" w:eastAsia="zh-CN" w:bidi="ar-SA"/>
        </w:rPr>
        <w:t>根据</w:t>
      </w:r>
      <w:r>
        <w:rPr>
          <w:rFonts w:hint="eastAsia" w:ascii="Times New Roman" w:hAnsi="Times New Roman" w:eastAsia="仿宋" w:cs="Times New Roman"/>
          <w:snapToGrid w:val="0"/>
          <w:color w:val="auto"/>
          <w:kern w:val="0"/>
          <w:sz w:val="30"/>
          <w:szCs w:val="30"/>
          <w:highlight w:val="none"/>
          <w:lang w:val="en-US" w:eastAsia="zh-CN" w:bidi="ar-SA"/>
        </w:rPr>
        <w:t>土壤</w:t>
      </w:r>
      <w:r>
        <w:rPr>
          <w:rFonts w:hint="default" w:ascii="Times New Roman" w:hAnsi="Times New Roman" w:eastAsia="仿宋" w:cs="Times New Roman"/>
          <w:snapToGrid w:val="0"/>
          <w:color w:val="auto"/>
          <w:kern w:val="0"/>
          <w:sz w:val="30"/>
          <w:szCs w:val="30"/>
          <w:highlight w:val="none"/>
          <w:lang w:val="en-US" w:eastAsia="zh-CN" w:bidi="ar-SA"/>
        </w:rPr>
        <w:t>用途，确定检测点位数量、采样深度及检测项目。对于大面积堆填区域，应按照网格法或分区法布设采样点，确保数据代表性。</w:t>
      </w:r>
    </w:p>
    <w:p w14:paraId="75415227">
      <w:pPr>
        <w:pageBreakBefore w:val="0"/>
        <w:wordWrap/>
        <w:overflowPunct/>
        <w:topLinePunct w:val="0"/>
        <w:bidi w:val="0"/>
        <w:spacing w:line="579" w:lineRule="exact"/>
        <w:ind w:firstLine="600" w:firstLineChars="200"/>
        <w:rPr>
          <w:rFonts w:hint="default" w:ascii="Times New Roman" w:hAnsi="Times New Roman" w:eastAsia="仿宋" w:cs="Times New Roman"/>
          <w:snapToGrid w:val="0"/>
          <w:color w:val="auto"/>
          <w:kern w:val="0"/>
          <w:sz w:val="30"/>
          <w:szCs w:val="30"/>
          <w:highlight w:val="none"/>
          <w:lang w:val="en-US" w:eastAsia="zh-CN" w:bidi="ar-SA"/>
        </w:rPr>
      </w:pPr>
      <w:r>
        <w:rPr>
          <w:rFonts w:hint="eastAsia" w:ascii="Times New Roman" w:hAnsi="Times New Roman" w:eastAsia="仿宋" w:cs="Times New Roman"/>
          <w:snapToGrid w:val="0"/>
          <w:color w:val="auto"/>
          <w:kern w:val="0"/>
          <w:sz w:val="30"/>
          <w:szCs w:val="30"/>
          <w:highlight w:val="none"/>
          <w:lang w:val="en-US" w:eastAsia="zh-CN" w:bidi="ar-SA"/>
        </w:rPr>
        <w:t>（1）</w:t>
      </w:r>
      <w:r>
        <w:rPr>
          <w:rFonts w:hint="default" w:ascii="Times New Roman" w:hAnsi="Times New Roman" w:eastAsia="仿宋" w:cs="Times New Roman"/>
          <w:snapToGrid w:val="0"/>
          <w:color w:val="auto"/>
          <w:kern w:val="0"/>
          <w:sz w:val="30"/>
          <w:szCs w:val="30"/>
          <w:highlight w:val="none"/>
          <w:lang w:val="en-US" w:eastAsia="zh-CN" w:bidi="ar-SA"/>
        </w:rPr>
        <w:t>点位布设</w:t>
      </w:r>
    </w:p>
    <w:p w14:paraId="2AB947D4">
      <w:pPr>
        <w:pStyle w:val="4"/>
        <w:ind w:firstLine="600" w:firstLineChars="200"/>
        <w:rPr>
          <w:rFonts w:hint="default" w:ascii="Times New Roman" w:hAnsi="Times New Roman" w:eastAsia="仿宋" w:cs="Times New Roman"/>
          <w:snapToGrid w:val="0"/>
          <w:color w:val="auto"/>
          <w:kern w:val="0"/>
          <w:sz w:val="30"/>
          <w:szCs w:val="30"/>
          <w:highlight w:val="none"/>
          <w:lang w:val="en-US" w:eastAsia="zh-CN" w:bidi="ar-SA"/>
        </w:rPr>
      </w:pPr>
      <w:r>
        <w:rPr>
          <w:rFonts w:hint="default" w:ascii="Times New Roman" w:hAnsi="Times New Roman" w:eastAsia="仿宋" w:cs="Times New Roman"/>
          <w:snapToGrid w:val="0"/>
          <w:color w:val="auto"/>
          <w:kern w:val="0"/>
          <w:sz w:val="30"/>
          <w:szCs w:val="30"/>
          <w:highlight w:val="none"/>
          <w:lang w:val="en-US" w:eastAsia="zh-CN" w:bidi="ar-SA"/>
        </w:rPr>
        <w:t>鉴于本项目基坑开挖深度涉及地下二层及五层区域，本次调查对象为开挖后的堆填土方量，而非原位土壤。因此，点位布设将采用方形堆体布点法，根据堆土体积进行网格化布点。若后续具备条件在开挖前开展原位检测，则需另行提供各层级的基底面积数据，以重新调整布点方案。</w:t>
      </w:r>
    </w:p>
    <w:p w14:paraId="50D3F648">
      <w:pPr>
        <w:keepNext w:val="0"/>
        <w:keepLines w:val="0"/>
        <w:pageBreakBefore w:val="0"/>
        <w:widowControl/>
        <w:suppressLineNumbers w:val="0"/>
        <w:wordWrap/>
        <w:overflowPunct/>
        <w:topLinePunct w:val="0"/>
        <w:bidi w:val="0"/>
        <w:spacing w:line="579" w:lineRule="exact"/>
        <w:ind w:firstLine="600" w:firstLineChars="200"/>
        <w:jc w:val="left"/>
        <w:rPr>
          <w:rFonts w:hint="default" w:ascii="Times New Roman" w:hAnsi="Times New Roman" w:eastAsia="仿宋" w:cs="Times New Roman"/>
          <w:snapToGrid w:val="0"/>
          <w:color w:val="auto"/>
          <w:kern w:val="0"/>
          <w:sz w:val="30"/>
          <w:szCs w:val="30"/>
          <w:highlight w:val="none"/>
          <w:lang w:val="en-US" w:eastAsia="zh-CN" w:bidi="ar-SA"/>
        </w:rPr>
      </w:pPr>
      <w:r>
        <w:rPr>
          <w:rFonts w:hint="eastAsia" w:ascii="Times New Roman" w:hAnsi="Times New Roman" w:eastAsia="仿宋" w:cs="Times New Roman"/>
          <w:snapToGrid w:val="0"/>
          <w:color w:val="auto"/>
          <w:kern w:val="0"/>
          <w:sz w:val="30"/>
          <w:szCs w:val="30"/>
          <w:highlight w:val="none"/>
          <w:lang w:val="en-US" w:eastAsia="zh-CN" w:bidi="ar-SA"/>
        </w:rPr>
        <w:t>参照</w:t>
      </w:r>
      <w:r>
        <w:rPr>
          <w:rFonts w:hint="default" w:ascii="Times New Roman" w:hAnsi="Times New Roman" w:eastAsia="仿宋" w:cs="Times New Roman"/>
          <w:snapToGrid w:val="0"/>
          <w:color w:val="auto"/>
          <w:kern w:val="0"/>
          <w:sz w:val="30"/>
          <w:szCs w:val="30"/>
          <w:highlight w:val="none"/>
          <w:lang w:val="en-US" w:eastAsia="zh-CN" w:bidi="ar-SA"/>
        </w:rPr>
        <w:t>《广东省建设用地土壤污染状况调查、风险评估及效果评估报告技术审查要点（修订版）》（2024.10.</w:t>
      </w:r>
      <w:r>
        <w:rPr>
          <w:rFonts w:hint="eastAsia" w:ascii="Times New Roman" w:hAnsi="Times New Roman" w:eastAsia="仿宋" w:cs="Times New Roman"/>
          <w:snapToGrid w:val="0"/>
          <w:color w:val="auto"/>
          <w:kern w:val="0"/>
          <w:sz w:val="30"/>
          <w:szCs w:val="30"/>
          <w:highlight w:val="none"/>
          <w:lang w:val="en-US" w:eastAsia="zh-CN" w:bidi="ar-SA"/>
        </w:rPr>
        <w:t>15）、</w:t>
      </w:r>
      <w:r>
        <w:rPr>
          <w:rFonts w:hint="default" w:ascii="Times New Roman" w:hAnsi="Times New Roman" w:eastAsia="仿宋" w:cs="Times New Roman"/>
          <w:snapToGrid w:val="0"/>
          <w:color w:val="auto"/>
          <w:kern w:val="0"/>
          <w:sz w:val="30"/>
          <w:szCs w:val="30"/>
          <w:highlight w:val="none"/>
          <w:lang w:val="en-US" w:eastAsia="zh-CN" w:bidi="ar-SA"/>
        </w:rPr>
        <w:t>HJ 25.1-2019</w:t>
      </w:r>
      <w:r>
        <w:rPr>
          <w:rFonts w:hint="eastAsia" w:ascii="Times New Roman" w:hAnsi="Times New Roman" w:eastAsia="仿宋" w:cs="Times New Roman"/>
          <w:snapToGrid w:val="0"/>
          <w:color w:val="auto"/>
          <w:kern w:val="0"/>
          <w:sz w:val="30"/>
          <w:szCs w:val="30"/>
          <w:highlight w:val="none"/>
          <w:lang w:val="en-US" w:eastAsia="zh-CN" w:bidi="ar-SA"/>
        </w:rPr>
        <w:t>、HJ166-2026</w:t>
      </w:r>
      <w:r>
        <w:rPr>
          <w:rFonts w:hint="default" w:ascii="Times New Roman" w:hAnsi="Times New Roman" w:eastAsia="仿宋" w:cs="Times New Roman"/>
          <w:snapToGrid w:val="0"/>
          <w:color w:val="auto"/>
          <w:kern w:val="0"/>
          <w:sz w:val="30"/>
          <w:szCs w:val="30"/>
          <w:highlight w:val="none"/>
          <w:lang w:val="en-US" w:eastAsia="zh-CN" w:bidi="ar-SA"/>
        </w:rPr>
        <w:t>等标准规范中的要求布设。</w:t>
      </w:r>
    </w:p>
    <w:p w14:paraId="34C07F3D">
      <w:pPr>
        <w:keepNext w:val="0"/>
        <w:keepLines w:val="0"/>
        <w:pageBreakBefore w:val="0"/>
        <w:widowControl/>
        <w:suppressLineNumbers w:val="0"/>
        <w:wordWrap/>
        <w:overflowPunct/>
        <w:topLinePunct w:val="0"/>
        <w:bidi w:val="0"/>
        <w:spacing w:line="579" w:lineRule="exact"/>
        <w:ind w:firstLine="600" w:firstLineChars="200"/>
        <w:jc w:val="left"/>
        <w:rPr>
          <w:rFonts w:hint="default" w:ascii="Times New Roman" w:hAnsi="Times New Roman" w:eastAsia="仿宋" w:cs="Times New Roman"/>
          <w:snapToGrid w:val="0"/>
          <w:color w:val="auto"/>
          <w:kern w:val="0"/>
          <w:sz w:val="30"/>
          <w:szCs w:val="30"/>
          <w:highlight w:val="none"/>
          <w:lang w:val="en-US" w:eastAsia="zh-CN" w:bidi="ar-SA"/>
        </w:rPr>
      </w:pPr>
      <w:r>
        <w:rPr>
          <w:rFonts w:hint="default" w:ascii="Times New Roman" w:hAnsi="Times New Roman" w:eastAsia="仿宋" w:cs="Times New Roman"/>
          <w:snapToGrid w:val="0"/>
          <w:color w:val="auto"/>
          <w:kern w:val="0"/>
          <w:sz w:val="30"/>
          <w:szCs w:val="30"/>
          <w:highlight w:val="none"/>
          <w:lang w:val="en-US" w:eastAsia="zh-CN" w:bidi="ar-SA"/>
        </w:rPr>
        <w:t>按照每500m³</w:t>
      </w:r>
      <w:r>
        <w:rPr>
          <w:rFonts w:hint="eastAsia" w:ascii="Times New Roman" w:hAnsi="Times New Roman" w:eastAsia="仿宋" w:cs="Times New Roman"/>
          <w:snapToGrid w:val="0"/>
          <w:color w:val="auto"/>
          <w:kern w:val="0"/>
          <w:sz w:val="30"/>
          <w:szCs w:val="30"/>
          <w:highlight w:val="none"/>
          <w:lang w:val="en-US" w:eastAsia="zh-CN" w:bidi="ar-SA"/>
        </w:rPr>
        <w:t>土方量</w:t>
      </w:r>
      <w:r>
        <w:rPr>
          <w:rFonts w:hint="default" w:ascii="Times New Roman" w:hAnsi="Times New Roman" w:eastAsia="仿宋" w:cs="Times New Roman"/>
          <w:snapToGrid w:val="0"/>
          <w:color w:val="auto"/>
          <w:kern w:val="0"/>
          <w:sz w:val="30"/>
          <w:szCs w:val="30"/>
          <w:highlight w:val="none"/>
          <w:lang w:val="en-US" w:eastAsia="zh-CN" w:bidi="ar-SA"/>
        </w:rPr>
        <w:t>采集不少于1个样品；堆高超过3m时，应在不同深度分层采样。</w:t>
      </w:r>
    </w:p>
    <w:p w14:paraId="3FBC03B7">
      <w:pPr>
        <w:keepNext w:val="0"/>
        <w:keepLines w:val="0"/>
        <w:pageBreakBefore w:val="0"/>
        <w:widowControl/>
        <w:suppressLineNumbers w:val="0"/>
        <w:wordWrap/>
        <w:overflowPunct/>
        <w:topLinePunct w:val="0"/>
        <w:bidi w:val="0"/>
        <w:spacing w:line="579" w:lineRule="exact"/>
        <w:ind w:firstLine="600" w:firstLineChars="200"/>
        <w:jc w:val="left"/>
        <w:rPr>
          <w:rFonts w:hint="eastAsia" w:ascii="Times New Roman" w:hAnsi="Times New Roman" w:eastAsia="仿宋" w:cs="Times New Roman"/>
          <w:snapToGrid w:val="0"/>
          <w:color w:val="auto"/>
          <w:kern w:val="0"/>
          <w:sz w:val="30"/>
          <w:szCs w:val="30"/>
          <w:highlight w:val="none"/>
          <w:lang w:val="en-US" w:eastAsia="zh-CN" w:bidi="ar-SA"/>
        </w:rPr>
      </w:pPr>
      <w:r>
        <w:rPr>
          <w:rFonts w:hint="eastAsia" w:ascii="Times New Roman" w:hAnsi="Times New Roman" w:eastAsia="仿宋" w:cs="Times New Roman"/>
          <w:snapToGrid w:val="0"/>
          <w:color w:val="auto"/>
          <w:kern w:val="0"/>
          <w:sz w:val="30"/>
          <w:szCs w:val="30"/>
          <w:highlight w:val="none"/>
          <w:lang w:val="en-US" w:eastAsia="zh-CN" w:bidi="ar-SA"/>
        </w:rPr>
        <w:t>本项目</w:t>
      </w:r>
      <w:r>
        <w:rPr>
          <w:rFonts w:hint="default" w:ascii="Times New Roman" w:hAnsi="Times New Roman" w:eastAsia="仿宋" w:cs="Times New Roman"/>
          <w:snapToGrid w:val="0"/>
          <w:color w:val="auto"/>
          <w:kern w:val="0"/>
          <w:sz w:val="30"/>
          <w:szCs w:val="30"/>
          <w:highlight w:val="none"/>
          <w:lang w:val="en-US" w:eastAsia="zh-CN" w:bidi="ar-SA"/>
        </w:rPr>
        <w:t>土</w:t>
      </w:r>
      <w:r>
        <w:rPr>
          <w:rFonts w:hint="eastAsia" w:ascii="Times New Roman" w:hAnsi="Times New Roman" w:eastAsia="仿宋" w:cs="Times New Roman"/>
          <w:snapToGrid w:val="0"/>
          <w:color w:val="auto"/>
          <w:kern w:val="0"/>
          <w:sz w:val="30"/>
          <w:szCs w:val="30"/>
          <w:highlight w:val="none"/>
          <w:lang w:val="en-US" w:eastAsia="zh-CN" w:bidi="ar-SA"/>
        </w:rPr>
        <w:t>方量为65197.1立方米，按堆土高不超过3</w:t>
      </w:r>
      <w:r>
        <w:rPr>
          <w:rFonts w:hint="default" w:ascii="Times New Roman" w:hAnsi="Times New Roman" w:eastAsia="仿宋" w:cs="Times New Roman"/>
          <w:snapToGrid w:val="0"/>
          <w:color w:val="auto"/>
          <w:kern w:val="0"/>
          <w:sz w:val="30"/>
          <w:szCs w:val="30"/>
          <w:highlight w:val="none"/>
          <w:lang w:val="en-US" w:eastAsia="zh-CN" w:bidi="ar-SA"/>
        </w:rPr>
        <w:t>m</w:t>
      </w:r>
      <w:r>
        <w:rPr>
          <w:rFonts w:hint="eastAsia" w:ascii="Times New Roman" w:hAnsi="Times New Roman" w:eastAsia="仿宋" w:cs="Times New Roman"/>
          <w:snapToGrid w:val="0"/>
          <w:color w:val="auto"/>
          <w:kern w:val="0"/>
          <w:sz w:val="30"/>
          <w:szCs w:val="30"/>
          <w:highlight w:val="none"/>
          <w:lang w:val="en-US" w:eastAsia="zh-CN" w:bidi="ar-SA"/>
        </w:rPr>
        <w:t>，</w:t>
      </w:r>
      <w:r>
        <w:rPr>
          <w:rFonts w:hint="default" w:ascii="Times New Roman" w:hAnsi="Times New Roman" w:eastAsia="仿宋" w:cs="Times New Roman"/>
          <w:snapToGrid w:val="0"/>
          <w:color w:val="auto"/>
          <w:kern w:val="0"/>
          <w:sz w:val="30"/>
          <w:szCs w:val="30"/>
          <w:highlight w:val="none"/>
          <w:lang w:val="en-US" w:eastAsia="zh-CN" w:bidi="ar-SA"/>
        </w:rPr>
        <w:t>500m³</w:t>
      </w:r>
      <w:r>
        <w:rPr>
          <w:rFonts w:hint="eastAsia" w:ascii="Times New Roman" w:hAnsi="Times New Roman" w:eastAsia="仿宋" w:cs="Times New Roman"/>
          <w:snapToGrid w:val="0"/>
          <w:color w:val="auto"/>
          <w:kern w:val="0"/>
          <w:sz w:val="30"/>
          <w:szCs w:val="30"/>
          <w:highlight w:val="none"/>
          <w:lang w:val="en-US" w:eastAsia="zh-CN" w:bidi="ar-SA"/>
        </w:rPr>
        <w:t>土方量</w:t>
      </w:r>
      <w:r>
        <w:rPr>
          <w:rFonts w:hint="default" w:ascii="Times New Roman" w:hAnsi="Times New Roman" w:eastAsia="仿宋" w:cs="Times New Roman"/>
          <w:snapToGrid w:val="0"/>
          <w:color w:val="auto"/>
          <w:kern w:val="0"/>
          <w:sz w:val="30"/>
          <w:szCs w:val="30"/>
          <w:highlight w:val="none"/>
          <w:lang w:val="en-US" w:eastAsia="zh-CN" w:bidi="ar-SA"/>
        </w:rPr>
        <w:t>采集1个样品</w:t>
      </w:r>
      <w:r>
        <w:rPr>
          <w:rFonts w:hint="eastAsia" w:ascii="Times New Roman" w:hAnsi="Times New Roman" w:eastAsia="仿宋" w:cs="Times New Roman"/>
          <w:snapToGrid w:val="0"/>
          <w:color w:val="auto"/>
          <w:kern w:val="0"/>
          <w:sz w:val="30"/>
          <w:szCs w:val="30"/>
          <w:highlight w:val="none"/>
          <w:lang w:val="en-US" w:eastAsia="zh-CN" w:bidi="ar-SA"/>
        </w:rPr>
        <w:t>，共需检测131个土壤样品。</w:t>
      </w:r>
    </w:p>
    <w:p w14:paraId="6938AE33">
      <w:pPr>
        <w:pageBreakBefore w:val="0"/>
        <w:wordWrap/>
        <w:overflowPunct/>
        <w:topLinePunct w:val="0"/>
        <w:bidi w:val="0"/>
        <w:spacing w:line="579" w:lineRule="exact"/>
        <w:ind w:firstLine="600" w:firstLineChars="200"/>
        <w:rPr>
          <w:rFonts w:hint="default" w:ascii="Times New Roman" w:hAnsi="Times New Roman" w:eastAsia="仿宋" w:cs="Times New Roman"/>
          <w:snapToGrid w:val="0"/>
          <w:color w:val="auto"/>
          <w:kern w:val="0"/>
          <w:sz w:val="30"/>
          <w:szCs w:val="30"/>
          <w:highlight w:val="none"/>
          <w:lang w:val="en-US" w:eastAsia="zh-CN" w:bidi="ar-SA"/>
        </w:rPr>
      </w:pPr>
      <w:r>
        <w:rPr>
          <w:rFonts w:hint="default" w:ascii="Times New Roman" w:hAnsi="Times New Roman" w:eastAsia="仿宋" w:cs="Times New Roman"/>
          <w:snapToGrid w:val="0"/>
          <w:color w:val="auto"/>
          <w:kern w:val="0"/>
          <w:sz w:val="30"/>
          <w:szCs w:val="30"/>
          <w:highlight w:val="none"/>
          <w:lang w:val="en-US" w:eastAsia="zh-CN" w:bidi="ar-SA"/>
        </w:rPr>
        <w:t>（</w:t>
      </w:r>
      <w:r>
        <w:rPr>
          <w:rFonts w:hint="eastAsia" w:ascii="Times New Roman" w:hAnsi="Times New Roman" w:eastAsia="仿宋" w:cs="Times New Roman"/>
          <w:snapToGrid w:val="0"/>
          <w:color w:val="auto"/>
          <w:kern w:val="0"/>
          <w:sz w:val="30"/>
          <w:szCs w:val="30"/>
          <w:highlight w:val="none"/>
          <w:lang w:val="en-US" w:eastAsia="zh-CN" w:bidi="ar-SA"/>
        </w:rPr>
        <w:t>2</w:t>
      </w:r>
      <w:r>
        <w:rPr>
          <w:rFonts w:hint="default" w:ascii="Times New Roman" w:hAnsi="Times New Roman" w:eastAsia="仿宋" w:cs="Times New Roman"/>
          <w:snapToGrid w:val="0"/>
          <w:color w:val="auto"/>
          <w:kern w:val="0"/>
          <w:sz w:val="30"/>
          <w:szCs w:val="30"/>
          <w:highlight w:val="none"/>
          <w:lang w:val="en-US" w:eastAsia="zh-CN" w:bidi="ar-SA"/>
        </w:rPr>
        <w:t>）</w:t>
      </w:r>
      <w:r>
        <w:rPr>
          <w:rFonts w:hint="eastAsia" w:ascii="Times New Roman" w:hAnsi="Times New Roman" w:eastAsia="仿宋" w:cs="Times New Roman"/>
          <w:snapToGrid w:val="0"/>
          <w:color w:val="auto"/>
          <w:kern w:val="0"/>
          <w:sz w:val="30"/>
          <w:szCs w:val="30"/>
          <w:highlight w:val="none"/>
          <w:lang w:val="en-US" w:eastAsia="zh-CN" w:bidi="ar-SA"/>
        </w:rPr>
        <w:t>执行</w:t>
      </w:r>
      <w:r>
        <w:rPr>
          <w:rFonts w:hint="default" w:ascii="Times New Roman" w:hAnsi="Times New Roman" w:eastAsia="仿宋" w:cs="Times New Roman"/>
          <w:snapToGrid w:val="0"/>
          <w:color w:val="auto"/>
          <w:kern w:val="0"/>
          <w:sz w:val="30"/>
          <w:szCs w:val="30"/>
          <w:highlight w:val="none"/>
          <w:lang w:val="en-US" w:eastAsia="zh-CN" w:bidi="ar-SA"/>
        </w:rPr>
        <w:t>标准选择</w:t>
      </w:r>
    </w:p>
    <w:p w14:paraId="77BCF40A">
      <w:pPr>
        <w:keepNext w:val="0"/>
        <w:keepLines w:val="0"/>
        <w:pageBreakBefore w:val="0"/>
        <w:widowControl w:val="0"/>
        <w:kinsoku/>
        <w:wordWrap/>
        <w:overflowPunct/>
        <w:topLinePunct w:val="0"/>
        <w:autoSpaceDE/>
        <w:autoSpaceDN/>
        <w:bidi w:val="0"/>
        <w:adjustRightInd/>
        <w:snapToGrid/>
        <w:spacing w:line="579" w:lineRule="exact"/>
        <w:ind w:firstLine="600" w:firstLineChars="200"/>
        <w:textAlignment w:val="auto"/>
        <w:rPr>
          <w:rFonts w:hint="eastAsia" w:ascii="Times New Roman" w:hAnsi="Times New Roman" w:eastAsia="仿宋" w:cs="Times New Roman"/>
          <w:snapToGrid w:val="0"/>
          <w:color w:val="auto"/>
          <w:kern w:val="0"/>
          <w:sz w:val="30"/>
          <w:szCs w:val="30"/>
          <w:highlight w:val="none"/>
          <w:lang w:val="en-US" w:eastAsia="zh-CN" w:bidi="ar-SA"/>
        </w:rPr>
      </w:pPr>
      <w:r>
        <w:rPr>
          <w:rFonts w:hint="eastAsia" w:ascii="Times New Roman" w:hAnsi="Times New Roman" w:eastAsia="仿宋" w:cs="Times New Roman"/>
          <w:snapToGrid w:val="0"/>
          <w:color w:val="auto"/>
          <w:kern w:val="0"/>
          <w:sz w:val="30"/>
          <w:szCs w:val="30"/>
          <w:highlight w:val="none"/>
          <w:lang w:val="en-US" w:eastAsia="zh-CN" w:bidi="ar-SA"/>
        </w:rPr>
        <w:t>挖方土壤后续计划用作农用地土壤</w:t>
      </w:r>
      <w:r>
        <w:rPr>
          <w:rFonts w:hint="default" w:ascii="Times New Roman" w:hAnsi="Times New Roman" w:eastAsia="仿宋" w:cs="Times New Roman"/>
          <w:snapToGrid w:val="0"/>
          <w:color w:val="auto"/>
          <w:kern w:val="0"/>
          <w:sz w:val="30"/>
          <w:szCs w:val="30"/>
          <w:highlight w:val="none"/>
          <w:lang w:val="en-US" w:eastAsia="zh-CN" w:bidi="ar-SA"/>
        </w:rPr>
        <w:t>，</w:t>
      </w:r>
      <w:r>
        <w:rPr>
          <w:rFonts w:hint="eastAsia" w:ascii="Times New Roman" w:hAnsi="Times New Roman" w:eastAsia="仿宋" w:cs="Times New Roman"/>
          <w:snapToGrid w:val="0"/>
          <w:color w:val="auto"/>
          <w:kern w:val="0"/>
          <w:sz w:val="30"/>
          <w:szCs w:val="30"/>
          <w:highlight w:val="none"/>
          <w:lang w:val="en-US" w:eastAsia="zh-CN" w:bidi="ar-SA"/>
        </w:rPr>
        <w:t>土壤质量</w:t>
      </w:r>
      <w:r>
        <w:rPr>
          <w:rFonts w:hint="default" w:ascii="Times New Roman" w:hAnsi="Times New Roman" w:eastAsia="仿宋" w:cs="Times New Roman"/>
          <w:snapToGrid w:val="0"/>
          <w:color w:val="auto"/>
          <w:kern w:val="0"/>
          <w:sz w:val="30"/>
          <w:szCs w:val="30"/>
          <w:highlight w:val="none"/>
          <w:lang w:val="en-US" w:eastAsia="zh-CN" w:bidi="ar-SA"/>
        </w:rPr>
        <w:t>应满足《土壤环境质量 农用地土壤污染风险管控标准》（GB 15618-2018）</w:t>
      </w:r>
      <w:r>
        <w:rPr>
          <w:rFonts w:hint="eastAsia" w:ascii="Times New Roman" w:hAnsi="Times New Roman" w:eastAsia="仿宋" w:cs="Times New Roman"/>
          <w:snapToGrid w:val="0"/>
          <w:color w:val="auto"/>
          <w:kern w:val="0"/>
          <w:sz w:val="30"/>
          <w:szCs w:val="30"/>
          <w:highlight w:val="none"/>
          <w:lang w:val="en-US" w:eastAsia="zh-CN" w:bidi="ar-SA"/>
        </w:rPr>
        <w:t>限值要求。</w:t>
      </w:r>
    </w:p>
    <w:p w14:paraId="2E31CB60">
      <w:pPr>
        <w:pageBreakBefore w:val="0"/>
        <w:wordWrap/>
        <w:overflowPunct/>
        <w:topLinePunct w:val="0"/>
        <w:bidi w:val="0"/>
        <w:spacing w:line="579" w:lineRule="exact"/>
        <w:ind w:firstLine="600" w:firstLineChars="200"/>
        <w:rPr>
          <w:rFonts w:hint="default" w:ascii="Times New Roman" w:hAnsi="Times New Roman" w:eastAsia="仿宋" w:cs="Times New Roman"/>
          <w:snapToGrid w:val="0"/>
          <w:color w:val="auto"/>
          <w:kern w:val="0"/>
          <w:sz w:val="30"/>
          <w:szCs w:val="30"/>
          <w:highlight w:val="none"/>
          <w:lang w:val="en-US" w:eastAsia="zh-CN" w:bidi="ar-SA"/>
        </w:rPr>
      </w:pPr>
      <w:r>
        <w:rPr>
          <w:rFonts w:hint="eastAsia" w:ascii="Times New Roman" w:hAnsi="Times New Roman" w:eastAsia="仿宋" w:cs="Times New Roman"/>
          <w:snapToGrid w:val="0"/>
          <w:color w:val="auto"/>
          <w:kern w:val="0"/>
          <w:sz w:val="30"/>
          <w:szCs w:val="30"/>
          <w:highlight w:val="none"/>
          <w:lang w:val="en-US" w:eastAsia="zh-CN" w:bidi="ar-SA"/>
        </w:rPr>
        <w:t>（3）</w:t>
      </w:r>
      <w:r>
        <w:rPr>
          <w:rFonts w:hint="default" w:ascii="Times New Roman" w:hAnsi="Times New Roman" w:eastAsia="仿宋" w:cs="Times New Roman"/>
          <w:snapToGrid w:val="0"/>
          <w:color w:val="auto"/>
          <w:kern w:val="0"/>
          <w:sz w:val="30"/>
          <w:szCs w:val="30"/>
          <w:highlight w:val="none"/>
          <w:lang w:val="en-US" w:eastAsia="zh-CN" w:bidi="ar-SA"/>
        </w:rPr>
        <w:t>检测项目</w:t>
      </w:r>
    </w:p>
    <w:p w14:paraId="333DA872">
      <w:pPr>
        <w:keepNext w:val="0"/>
        <w:keepLines w:val="0"/>
        <w:pageBreakBefore w:val="0"/>
        <w:widowControl/>
        <w:numPr>
          <w:ilvl w:val="0"/>
          <w:numId w:val="0"/>
        </w:numPr>
        <w:kinsoku/>
        <w:wordWrap/>
        <w:overflowPunct/>
        <w:topLinePunct w:val="0"/>
        <w:autoSpaceDE/>
        <w:autoSpaceDN/>
        <w:bidi w:val="0"/>
        <w:adjustRightInd/>
        <w:snapToGrid/>
        <w:spacing w:line="579" w:lineRule="exact"/>
        <w:ind w:left="630" w:leftChars="0"/>
        <w:jc w:val="both"/>
        <w:textAlignment w:val="center"/>
        <w:rPr>
          <w:rFonts w:hint="default" w:ascii="Times New Roman" w:hAnsi="Times New Roman" w:eastAsia="仿宋" w:cs="Times New Roman"/>
          <w:snapToGrid w:val="0"/>
          <w:color w:val="auto"/>
          <w:kern w:val="0"/>
          <w:sz w:val="30"/>
          <w:szCs w:val="30"/>
          <w:highlight w:val="none"/>
          <w:lang w:val="en-US" w:eastAsia="zh-CN" w:bidi="ar-SA"/>
        </w:rPr>
      </w:pPr>
      <w:r>
        <w:rPr>
          <w:rFonts w:hint="default" w:ascii="Times New Roman" w:hAnsi="Times New Roman" w:eastAsia="仿宋" w:cs="Times New Roman"/>
          <w:snapToGrid w:val="0"/>
          <w:color w:val="auto"/>
          <w:kern w:val="0"/>
          <w:sz w:val="30"/>
          <w:szCs w:val="30"/>
          <w:highlight w:val="none"/>
          <w:lang w:val="en-US" w:eastAsia="zh-CN" w:bidi="ar-SA"/>
        </w:rPr>
        <w:t>必测项目：GB 15618-2018表1中的8项+pH值</w:t>
      </w:r>
      <w:r>
        <w:rPr>
          <w:rFonts w:hint="eastAsia" w:ascii="Times New Roman" w:hAnsi="Times New Roman" w:eastAsia="仿宋" w:cs="Times New Roman"/>
          <w:snapToGrid w:val="0"/>
          <w:color w:val="auto"/>
          <w:kern w:val="0"/>
          <w:sz w:val="30"/>
          <w:szCs w:val="30"/>
          <w:highlight w:val="none"/>
          <w:lang w:val="en-US" w:eastAsia="zh-CN" w:bidi="ar-SA"/>
        </w:rPr>
        <w:t>。</w:t>
      </w:r>
    </w:p>
    <w:p w14:paraId="3D3355B4">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00" w:firstLineChars="200"/>
        <w:jc w:val="both"/>
        <w:textAlignment w:val="center"/>
        <w:rPr>
          <w:rFonts w:hint="default" w:ascii="Times New Roman" w:hAnsi="Times New Roman" w:eastAsia="仿宋" w:cs="Times New Roman"/>
          <w:snapToGrid w:val="0"/>
          <w:color w:val="auto"/>
          <w:kern w:val="0"/>
          <w:sz w:val="30"/>
          <w:szCs w:val="30"/>
          <w:highlight w:val="none"/>
          <w:lang w:val="en-US" w:eastAsia="zh-CN" w:bidi="ar-SA"/>
        </w:rPr>
      </w:pPr>
      <w:r>
        <w:rPr>
          <w:rFonts w:hint="default" w:ascii="Times New Roman" w:hAnsi="Times New Roman" w:eastAsia="仿宋" w:cs="Times New Roman"/>
          <w:snapToGrid w:val="0"/>
          <w:color w:val="auto"/>
          <w:kern w:val="0"/>
          <w:sz w:val="30"/>
          <w:szCs w:val="30"/>
          <w:highlight w:val="none"/>
          <w:lang w:val="en-US" w:eastAsia="zh-CN" w:bidi="ar-SA"/>
        </w:rPr>
        <w:t>基础理化性质（1项）：pH值；</w:t>
      </w:r>
    </w:p>
    <w:p w14:paraId="29E1995D">
      <w:pPr>
        <w:keepNext w:val="0"/>
        <w:keepLines w:val="0"/>
        <w:pageBreakBefore w:val="0"/>
        <w:widowControl/>
        <w:kinsoku/>
        <w:wordWrap/>
        <w:overflowPunct/>
        <w:topLinePunct w:val="0"/>
        <w:autoSpaceDE/>
        <w:autoSpaceDN/>
        <w:bidi w:val="0"/>
        <w:adjustRightInd/>
        <w:snapToGrid/>
        <w:spacing w:line="579" w:lineRule="exact"/>
        <w:ind w:firstLine="600" w:firstLineChars="200"/>
        <w:jc w:val="both"/>
        <w:textAlignment w:val="center"/>
        <w:rPr>
          <w:rFonts w:hint="default" w:ascii="Times New Roman" w:hAnsi="Times New Roman" w:eastAsia="仿宋" w:cs="Times New Roman"/>
          <w:snapToGrid w:val="0"/>
          <w:color w:val="auto"/>
          <w:kern w:val="0"/>
          <w:sz w:val="30"/>
          <w:szCs w:val="30"/>
          <w:highlight w:val="none"/>
          <w:lang w:val="en-US" w:eastAsia="zh-CN" w:bidi="ar-SA"/>
        </w:rPr>
      </w:pPr>
      <w:r>
        <w:rPr>
          <w:rFonts w:hint="default" w:ascii="Times New Roman" w:hAnsi="Times New Roman" w:eastAsia="仿宋" w:cs="Times New Roman"/>
          <w:snapToGrid w:val="0"/>
          <w:color w:val="auto"/>
          <w:kern w:val="0"/>
          <w:sz w:val="30"/>
          <w:szCs w:val="30"/>
          <w:highlight w:val="none"/>
          <w:lang w:val="en-US" w:eastAsia="zh-CN" w:bidi="ar-SA"/>
        </w:rPr>
        <w:t>重金属和无机物（8项）：砷、镉、铬、铜、铅、汞、镍、锌。</w:t>
      </w:r>
    </w:p>
    <w:p w14:paraId="1CC554A8">
      <w:pPr>
        <w:pageBreakBefore w:val="0"/>
        <w:wordWrap/>
        <w:overflowPunct/>
        <w:topLinePunct w:val="0"/>
        <w:bidi w:val="0"/>
        <w:spacing w:line="579" w:lineRule="exact"/>
        <w:ind w:firstLine="600" w:firstLineChars="200"/>
        <w:rPr>
          <w:rFonts w:hint="default" w:ascii="Times New Roman" w:hAnsi="Times New Roman" w:eastAsia="仿宋" w:cs="Times New Roman"/>
          <w:snapToGrid w:val="0"/>
          <w:color w:val="auto"/>
          <w:kern w:val="0"/>
          <w:sz w:val="30"/>
          <w:szCs w:val="30"/>
          <w:highlight w:val="none"/>
          <w:lang w:val="en-US" w:eastAsia="zh-CN" w:bidi="ar-SA"/>
        </w:rPr>
      </w:pPr>
      <w:r>
        <w:rPr>
          <w:rFonts w:hint="default" w:ascii="Times New Roman" w:hAnsi="Times New Roman" w:eastAsia="仿宋" w:cs="Times New Roman"/>
          <w:snapToGrid w:val="0"/>
          <w:color w:val="auto"/>
          <w:kern w:val="0"/>
          <w:sz w:val="30"/>
          <w:szCs w:val="30"/>
          <w:highlight w:val="none"/>
          <w:lang w:val="en-US" w:eastAsia="zh-CN" w:bidi="ar-SA"/>
        </w:rPr>
        <w:t>（</w:t>
      </w:r>
      <w:r>
        <w:rPr>
          <w:rFonts w:hint="eastAsia" w:ascii="Times New Roman" w:hAnsi="Times New Roman" w:eastAsia="仿宋" w:cs="Times New Roman"/>
          <w:snapToGrid w:val="0"/>
          <w:color w:val="auto"/>
          <w:kern w:val="0"/>
          <w:sz w:val="30"/>
          <w:szCs w:val="30"/>
          <w:highlight w:val="none"/>
          <w:lang w:val="en-US" w:eastAsia="zh-CN" w:bidi="ar-SA"/>
        </w:rPr>
        <w:t>4</w:t>
      </w:r>
      <w:r>
        <w:rPr>
          <w:rFonts w:hint="default" w:ascii="Times New Roman" w:hAnsi="Times New Roman" w:eastAsia="仿宋" w:cs="Times New Roman"/>
          <w:snapToGrid w:val="0"/>
          <w:color w:val="auto"/>
          <w:kern w:val="0"/>
          <w:sz w:val="30"/>
          <w:szCs w:val="30"/>
          <w:highlight w:val="none"/>
          <w:lang w:val="en-US" w:eastAsia="zh-CN" w:bidi="ar-SA"/>
        </w:rPr>
        <w:t>）样品采集</w:t>
      </w:r>
    </w:p>
    <w:p w14:paraId="25F66150">
      <w:pPr>
        <w:pageBreakBefore w:val="0"/>
        <w:wordWrap/>
        <w:overflowPunct/>
        <w:topLinePunct w:val="0"/>
        <w:bidi w:val="0"/>
        <w:spacing w:line="579" w:lineRule="exact"/>
        <w:ind w:firstLine="600" w:firstLineChars="200"/>
        <w:jc w:val="distribute"/>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参考《地块土壤和地下水中挥发性有机物采样技术导则》</w:t>
      </w:r>
    </w:p>
    <w:p w14:paraId="654950F4">
      <w:pPr>
        <w:pageBreakBefore w:val="0"/>
        <w:wordWrap/>
        <w:overflowPunct/>
        <w:topLinePunct w:val="0"/>
        <w:bidi w:val="0"/>
        <w:spacing w:line="579" w:lineRule="exact"/>
        <w:rPr>
          <w:rFonts w:hint="default"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（HJ 1019-2019）</w:t>
      </w:r>
      <w:r>
        <w:rPr>
          <w:rFonts w:hint="default" w:ascii="Times New Roman" w:hAnsi="Times New Roman" w:eastAsia="仿宋" w:cs="Times New Roman"/>
          <w:sz w:val="30"/>
          <w:szCs w:val="30"/>
          <w:lang w:val="en-US" w:eastAsia="zh-CN"/>
        </w:rPr>
        <w:t>、《土壤环境监测技术规范》</w:t>
      </w:r>
      <w:r>
        <w:rPr>
          <w:rFonts w:hint="eastAsia" w:ascii="Times New Roman" w:hAnsi="Times New Roman" w:eastAsia="仿宋" w:cs="Times New Roman"/>
          <w:sz w:val="30"/>
          <w:szCs w:val="30"/>
          <w:lang w:val="en-US" w:eastAsia="zh-CN"/>
        </w:rPr>
        <w:t>（HJ 166-2026）</w:t>
      </w:r>
      <w:r>
        <w:rPr>
          <w:rFonts w:hint="default" w:ascii="Times New Roman" w:hAnsi="Times New Roman" w:eastAsia="仿宋" w:cs="Times New Roman"/>
          <w:sz w:val="30"/>
          <w:szCs w:val="30"/>
          <w:lang w:val="en-US" w:eastAsia="zh-CN"/>
        </w:rPr>
        <w:t>以及检测项目</w:t>
      </w:r>
      <w:r>
        <w:rPr>
          <w:rFonts w:hint="eastAsia" w:ascii="Times New Roman" w:hAnsi="Times New Roman" w:eastAsia="仿宋" w:cs="Times New Roman"/>
          <w:sz w:val="30"/>
          <w:szCs w:val="30"/>
          <w:lang w:val="en-US" w:eastAsia="zh-CN"/>
        </w:rPr>
        <w:t>对应的</w:t>
      </w:r>
      <w:r>
        <w:rPr>
          <w:rFonts w:hint="default" w:ascii="Times New Roman" w:hAnsi="Times New Roman" w:eastAsia="仿宋" w:cs="Times New Roman"/>
          <w:sz w:val="30"/>
          <w:szCs w:val="30"/>
          <w:lang w:val="en-US" w:eastAsia="zh-CN"/>
        </w:rPr>
        <w:t>检测方法的要求采样。</w:t>
      </w:r>
    </w:p>
    <w:p w14:paraId="684F2340">
      <w:pPr>
        <w:pageBreakBefore w:val="0"/>
        <w:wordWrap/>
        <w:overflowPunct/>
        <w:topLinePunct w:val="0"/>
        <w:bidi w:val="0"/>
        <w:spacing w:line="579" w:lineRule="exact"/>
        <w:ind w:firstLine="600" w:firstLineChars="200"/>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采样时应避开明显异物和异常区域；每个采样点应采集</w:t>
      </w:r>
      <w:r>
        <w:rPr>
          <w:rFonts w:hint="eastAsia" w:ascii="Times New Roman" w:hAnsi="Times New Roman" w:eastAsia="仿宋" w:cs="Times New Roman"/>
          <w:sz w:val="30"/>
          <w:szCs w:val="30"/>
          <w:lang w:val="en-US" w:eastAsia="zh-CN"/>
        </w:rPr>
        <w:t>3-5个</w:t>
      </w:r>
      <w:r>
        <w:rPr>
          <w:rFonts w:hint="default" w:ascii="Times New Roman" w:hAnsi="Times New Roman" w:eastAsia="仿宋" w:cs="Times New Roman"/>
          <w:sz w:val="30"/>
          <w:szCs w:val="30"/>
          <w:lang w:val="en-US" w:eastAsia="zh-CN"/>
        </w:rPr>
        <w:t>子样混合成1个复合样；样品采集后应及时密封</w:t>
      </w:r>
      <w:r>
        <w:rPr>
          <w:rFonts w:hint="eastAsia" w:ascii="Times New Roman" w:hAnsi="Times New Roman" w:eastAsia="仿宋" w:cs="Times New Roman"/>
          <w:sz w:val="30"/>
          <w:szCs w:val="30"/>
          <w:lang w:val="en-US" w:eastAsia="zh-CN"/>
        </w:rPr>
        <w:t>，</w:t>
      </w:r>
      <w:r>
        <w:rPr>
          <w:rFonts w:hint="default" w:ascii="Times New Roman" w:hAnsi="Times New Roman" w:eastAsia="仿宋" w:cs="Times New Roman"/>
          <w:sz w:val="30"/>
          <w:szCs w:val="30"/>
          <w:lang w:val="en-US" w:eastAsia="zh-CN"/>
        </w:rPr>
        <w:t>根据采样规范和检测方法的要求进行保存</w:t>
      </w:r>
      <w:r>
        <w:rPr>
          <w:rFonts w:hint="eastAsia" w:ascii="Times New Roman" w:hAnsi="Times New Roman" w:eastAsia="仿宋" w:cs="Times New Roman"/>
          <w:sz w:val="30"/>
          <w:szCs w:val="30"/>
          <w:lang w:val="en-US" w:eastAsia="zh-CN"/>
        </w:rPr>
        <w:t>，</w:t>
      </w:r>
      <w:r>
        <w:rPr>
          <w:rFonts w:hint="default" w:ascii="Times New Roman" w:hAnsi="Times New Roman" w:eastAsia="仿宋" w:cs="Times New Roman"/>
          <w:sz w:val="30"/>
          <w:szCs w:val="30"/>
          <w:lang w:val="en-US" w:eastAsia="zh-CN"/>
        </w:rPr>
        <w:t>采集现场平行样和运输空白样等。</w:t>
      </w:r>
    </w:p>
    <w:p w14:paraId="6C6CFF8B">
      <w:pPr>
        <w:keepNext w:val="0"/>
        <w:keepLines w:val="0"/>
        <w:pageBreakBefore w:val="0"/>
        <w:kinsoku/>
        <w:wordWrap/>
        <w:overflowPunct/>
        <w:topLinePunct w:val="0"/>
        <w:autoSpaceDE/>
        <w:autoSpaceDN/>
        <w:bidi w:val="0"/>
        <w:adjustRightInd/>
        <w:snapToGrid/>
        <w:spacing w:line="579" w:lineRule="exact"/>
        <w:ind w:firstLine="600" w:firstLineChars="200"/>
        <w:outlineLvl w:val="0"/>
        <w:rPr>
          <w:rFonts w:hint="default" w:ascii="Times New Roman" w:hAnsi="Times New Roman" w:eastAsia="黑体" w:cs="Times New Roman"/>
          <w:kern w:val="0"/>
          <w:sz w:val="30"/>
          <w:szCs w:val="20"/>
          <w:lang w:val="en-US" w:eastAsia="zh-CN"/>
        </w:rPr>
      </w:pPr>
      <w:r>
        <w:rPr>
          <w:rFonts w:hint="eastAsia" w:ascii="Times New Roman" w:hAnsi="Times New Roman" w:eastAsia="黑体" w:cs="Times New Roman"/>
          <w:kern w:val="0"/>
          <w:sz w:val="30"/>
          <w:szCs w:val="20"/>
          <w:lang w:val="en-US" w:eastAsia="zh-CN"/>
        </w:rPr>
        <w:t>4.工期及成果要求</w:t>
      </w:r>
    </w:p>
    <w:p w14:paraId="089A775A">
      <w:pPr>
        <w:pageBreakBefore w:val="0"/>
        <w:wordWrap/>
        <w:overflowPunct/>
        <w:topLinePunct w:val="0"/>
        <w:bidi w:val="0"/>
        <w:spacing w:line="579" w:lineRule="exact"/>
        <w:ind w:firstLine="600" w:firstLineChars="200"/>
        <w:rPr>
          <w:rFonts w:hint="default"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根据施工进度确定样品采集时间，</w:t>
      </w:r>
      <w:r>
        <w:rPr>
          <w:rFonts w:hint="default" w:ascii="Times New Roman" w:hAnsi="Times New Roman" w:eastAsia="仿宋" w:cs="Times New Roman"/>
          <w:sz w:val="30"/>
          <w:szCs w:val="30"/>
          <w:lang w:val="en-US" w:eastAsia="zh-CN"/>
        </w:rPr>
        <w:t>样品采集完</w:t>
      </w:r>
      <w:r>
        <w:rPr>
          <w:rFonts w:hint="eastAsia" w:ascii="Times New Roman" w:hAnsi="Times New Roman" w:eastAsia="仿宋" w:cs="Times New Roman"/>
          <w:sz w:val="30"/>
          <w:szCs w:val="30"/>
          <w:lang w:val="en-US" w:eastAsia="zh-CN"/>
        </w:rPr>
        <w:t>成后</w:t>
      </w:r>
      <w:r>
        <w:rPr>
          <w:rFonts w:hint="default" w:ascii="Times New Roman" w:hAnsi="Times New Roman" w:eastAsia="仿宋" w:cs="Times New Roman"/>
          <w:sz w:val="30"/>
          <w:szCs w:val="30"/>
          <w:lang w:val="en-US" w:eastAsia="zh-CN"/>
        </w:rPr>
        <w:t>15个</w:t>
      </w:r>
      <w:r>
        <w:rPr>
          <w:rFonts w:hint="eastAsia" w:ascii="Times New Roman" w:hAnsi="Times New Roman" w:eastAsia="仿宋" w:cs="Times New Roman"/>
          <w:sz w:val="30"/>
          <w:szCs w:val="30"/>
          <w:lang w:val="en-US" w:eastAsia="zh-CN"/>
        </w:rPr>
        <w:t>工作日内</w:t>
      </w:r>
      <w:r>
        <w:rPr>
          <w:rFonts w:hint="default" w:ascii="Times New Roman" w:hAnsi="Times New Roman" w:eastAsia="仿宋" w:cs="Times New Roman"/>
          <w:sz w:val="30"/>
          <w:szCs w:val="30"/>
          <w:lang w:val="en-US" w:eastAsia="zh-CN"/>
        </w:rPr>
        <w:t>按规范要求出具CMA检测报告。报告需附采样点位图、采样照片等信息。</w:t>
      </w:r>
    </w:p>
    <w:p w14:paraId="1A54836E">
      <w:pPr>
        <w:pageBreakBefore w:val="0"/>
        <w:wordWrap/>
        <w:overflowPunct/>
        <w:topLinePunct w:val="0"/>
        <w:bidi w:val="0"/>
        <w:spacing w:line="579" w:lineRule="exact"/>
        <w:ind w:firstLine="600" w:firstLineChars="200"/>
        <w:rPr>
          <w:rFonts w:hint="default" w:ascii="Times New Roman" w:hAnsi="Times New Roman" w:eastAsia="仿宋" w:cs="Times New Roman"/>
          <w:sz w:val="30"/>
          <w:szCs w:val="30"/>
          <w:lang w:val="en-US" w:eastAsia="zh-CN"/>
        </w:rPr>
      </w:pPr>
      <w:r>
        <w:rPr>
          <w:rFonts w:hint="default" w:ascii="Times New Roman" w:hAnsi="Times New Roman" w:eastAsia="黑体" w:cs="Times New Roman"/>
          <w:kern w:val="0"/>
          <w:sz w:val="30"/>
          <w:szCs w:val="20"/>
          <w:lang w:val="en-US" w:eastAsia="zh-CN"/>
        </w:rPr>
        <w:t>5.招采单位资质资格要求</w:t>
      </w:r>
      <w:r>
        <w:rPr>
          <w:rFonts w:hint="default" w:ascii="Times New Roman" w:hAnsi="Times New Roman" w:eastAsia="仿宋" w:cs="Times New Roman"/>
          <w:sz w:val="30"/>
          <w:szCs w:val="30"/>
          <w:lang w:val="en-US" w:eastAsia="zh-CN"/>
        </w:rPr>
        <w:br w:type="textWrapping"/>
      </w:r>
      <w:r>
        <w:rPr>
          <w:rFonts w:hint="default" w:ascii="Times New Roman" w:hAnsi="Times New Roman" w:eastAsia="仿宋" w:cs="Times New Roman"/>
          <w:sz w:val="30"/>
          <w:szCs w:val="30"/>
          <w:lang w:val="en-US" w:eastAsia="zh-CN"/>
        </w:rPr>
        <w:t>（1）基本资格：</w:t>
      </w:r>
      <w:r>
        <w:rPr>
          <w:rFonts w:hint="default" w:ascii="Times New Roman" w:hAnsi="Times New Roman" w:eastAsia="仿宋" w:cs="Times New Roman"/>
          <w:sz w:val="30"/>
          <w:szCs w:val="30"/>
          <w:lang w:val="en-US" w:eastAsia="zh-CN"/>
        </w:rPr>
        <w:br w:type="textWrapping"/>
      </w:r>
      <w:r>
        <w:rPr>
          <w:rFonts w:hint="default" w:ascii="Times New Roman" w:hAnsi="Times New Roman" w:eastAsia="仿宋" w:cs="Times New Roman"/>
          <w:sz w:val="30"/>
          <w:szCs w:val="30"/>
          <w:lang w:val="en-US" w:eastAsia="zh-CN"/>
        </w:rPr>
        <w:t>投标人须为在中华人民共和国境内注册、具有独立承担民事责任能力的法人或其他组织（提供营业执照或事业单位法人证书副本复印件加盖公章）。</w:t>
      </w:r>
      <w:bookmarkStart w:id="0" w:name="_GoBack"/>
      <w:bookmarkEnd w:id="0"/>
      <w:r>
        <w:rPr>
          <w:rFonts w:hint="default" w:ascii="Times New Roman" w:hAnsi="Times New Roman" w:eastAsia="仿宋" w:cs="Times New Roman"/>
          <w:sz w:val="30"/>
          <w:szCs w:val="30"/>
          <w:lang w:val="en-US" w:eastAsia="zh-CN"/>
        </w:rPr>
        <w:br w:type="textWrapping"/>
      </w:r>
      <w:r>
        <w:rPr>
          <w:rFonts w:hint="default" w:ascii="Times New Roman" w:hAnsi="Times New Roman" w:eastAsia="仿宋" w:cs="Times New Roman"/>
          <w:sz w:val="30"/>
          <w:szCs w:val="30"/>
          <w:lang w:val="en-US" w:eastAsia="zh-CN"/>
        </w:rPr>
        <w:t>（2）检验检测机构资质：</w:t>
      </w:r>
      <w:r>
        <w:rPr>
          <w:rFonts w:hint="default" w:ascii="Times New Roman" w:hAnsi="Times New Roman" w:eastAsia="仿宋" w:cs="Times New Roman"/>
          <w:sz w:val="30"/>
          <w:szCs w:val="30"/>
          <w:lang w:val="en-US" w:eastAsia="zh-CN"/>
        </w:rPr>
        <w:br w:type="textWrapping"/>
      </w:r>
      <w:r>
        <w:rPr>
          <w:rFonts w:hint="default" w:ascii="Times New Roman" w:hAnsi="Times New Roman" w:eastAsia="仿宋" w:cs="Times New Roman"/>
          <w:sz w:val="30"/>
          <w:szCs w:val="30"/>
          <w:lang w:val="en-US" w:eastAsia="zh-CN"/>
        </w:rPr>
        <w:t>投标人须持有省级及以上市场监督管理部门颁发的检验检测机构资质认定证书（CMA），且资质认定能力附表包含本任务书所列全部检测项目（pH值、砷、镉、铬、铜、铅、汞、镍、锌），并提供有效的CMA证书及附表复印件加盖公章。</w:t>
      </w: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1B24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FD5B27">
                          <w:pPr>
                            <w:pStyle w:val="5"/>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CFD5B27">
                    <w:pPr>
                      <w:pStyle w:val="5"/>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EA8724"/>
    <w:multiLevelType w:val="multilevel"/>
    <w:tmpl w:val="A7EA8724"/>
    <w:lvl w:ilvl="0" w:tentative="0">
      <w:start w:val="1"/>
      <w:numFmt w:val="decimal"/>
      <w:pStyle w:val="2"/>
      <w:suff w:val="nothing"/>
      <w:lvlText w:val="%1"/>
      <w:lvlJc w:val="left"/>
      <w:pPr>
        <w:tabs>
          <w:tab w:val="left" w:pos="420"/>
        </w:tabs>
        <w:ind w:left="425" w:hanging="425"/>
      </w:pPr>
      <w:rPr>
        <w:rFonts w:hint="default"/>
      </w:rPr>
    </w:lvl>
    <w:lvl w:ilvl="1" w:tentative="0">
      <w:start w:val="1"/>
      <w:numFmt w:val="decimal"/>
      <w:suff w:val="space"/>
      <w:lvlText w:val="%1.%2"/>
      <w:lvlJc w:val="left"/>
      <w:pPr>
        <w:ind w:left="1701" w:hanging="567"/>
      </w:pPr>
      <w:rPr>
        <w:rFonts w:hint="eastAsia"/>
      </w:rPr>
    </w:lvl>
    <w:lvl w:ilvl="2" w:tentative="0">
      <w:start w:val="1"/>
      <w:numFmt w:val="decimal"/>
      <w:suff w:val="space"/>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41B77"/>
    <w:rsid w:val="023C4E17"/>
    <w:rsid w:val="032B614A"/>
    <w:rsid w:val="046B5540"/>
    <w:rsid w:val="04713A7F"/>
    <w:rsid w:val="048202F1"/>
    <w:rsid w:val="04C12760"/>
    <w:rsid w:val="0B462FF5"/>
    <w:rsid w:val="0F6372F7"/>
    <w:rsid w:val="0F974F17"/>
    <w:rsid w:val="0FDB5272"/>
    <w:rsid w:val="133E5212"/>
    <w:rsid w:val="142D5C47"/>
    <w:rsid w:val="14411E19"/>
    <w:rsid w:val="18D314AE"/>
    <w:rsid w:val="194A0E7C"/>
    <w:rsid w:val="1A6C5716"/>
    <w:rsid w:val="1ABA2925"/>
    <w:rsid w:val="1C746B04"/>
    <w:rsid w:val="21CD2F3E"/>
    <w:rsid w:val="2221328A"/>
    <w:rsid w:val="22E42C35"/>
    <w:rsid w:val="255A71DF"/>
    <w:rsid w:val="257D6B06"/>
    <w:rsid w:val="278542BB"/>
    <w:rsid w:val="27D77AE9"/>
    <w:rsid w:val="27F8683B"/>
    <w:rsid w:val="286F11F3"/>
    <w:rsid w:val="296E14AB"/>
    <w:rsid w:val="2A4E7CF6"/>
    <w:rsid w:val="2A50295E"/>
    <w:rsid w:val="2B3600A0"/>
    <w:rsid w:val="2B7803BF"/>
    <w:rsid w:val="2BF57D31"/>
    <w:rsid w:val="2D8C63A3"/>
    <w:rsid w:val="2E8069DC"/>
    <w:rsid w:val="31D66820"/>
    <w:rsid w:val="323E39E4"/>
    <w:rsid w:val="3260395B"/>
    <w:rsid w:val="32981347"/>
    <w:rsid w:val="33A627BA"/>
    <w:rsid w:val="34013712"/>
    <w:rsid w:val="343D03F7"/>
    <w:rsid w:val="346873DF"/>
    <w:rsid w:val="37182A56"/>
    <w:rsid w:val="39C66799"/>
    <w:rsid w:val="3AAD1707"/>
    <w:rsid w:val="3BDD7DCA"/>
    <w:rsid w:val="3C7544A7"/>
    <w:rsid w:val="3FBF3469"/>
    <w:rsid w:val="3FC217B1"/>
    <w:rsid w:val="3FE71217"/>
    <w:rsid w:val="409A44DC"/>
    <w:rsid w:val="432804C5"/>
    <w:rsid w:val="43587C4A"/>
    <w:rsid w:val="43923B90"/>
    <w:rsid w:val="43B24D53"/>
    <w:rsid w:val="45CD0EAF"/>
    <w:rsid w:val="46D84312"/>
    <w:rsid w:val="47A8679C"/>
    <w:rsid w:val="48A42E01"/>
    <w:rsid w:val="4AE62AC9"/>
    <w:rsid w:val="4AEC627C"/>
    <w:rsid w:val="4C7D362F"/>
    <w:rsid w:val="4D2E0753"/>
    <w:rsid w:val="4D583E27"/>
    <w:rsid w:val="55945546"/>
    <w:rsid w:val="56E0230F"/>
    <w:rsid w:val="585F1E3B"/>
    <w:rsid w:val="5A187F6C"/>
    <w:rsid w:val="5AEC372E"/>
    <w:rsid w:val="6200468F"/>
    <w:rsid w:val="62FB35E8"/>
    <w:rsid w:val="665C64C2"/>
    <w:rsid w:val="68B27D65"/>
    <w:rsid w:val="69881AD2"/>
    <w:rsid w:val="6A260A0B"/>
    <w:rsid w:val="6B362ECF"/>
    <w:rsid w:val="6B685053"/>
    <w:rsid w:val="6B6E72DD"/>
    <w:rsid w:val="6C9030B6"/>
    <w:rsid w:val="718304F0"/>
    <w:rsid w:val="724A54B2"/>
    <w:rsid w:val="733F48EB"/>
    <w:rsid w:val="736629D1"/>
    <w:rsid w:val="738D2619"/>
    <w:rsid w:val="786372CE"/>
    <w:rsid w:val="78CC4E73"/>
    <w:rsid w:val="78F65A4C"/>
    <w:rsid w:val="7ADE0E8D"/>
    <w:rsid w:val="7AEF309B"/>
    <w:rsid w:val="7C177428"/>
    <w:rsid w:val="7C2D5C29"/>
    <w:rsid w:val="7CF12A4E"/>
    <w:rsid w:val="7DA729A8"/>
    <w:rsid w:val="7DA76928"/>
    <w:rsid w:val="7DFC1D56"/>
    <w:rsid w:val="7F0F78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00" w:beforeLines="0" w:beforeAutospacing="0" w:after="100" w:afterLines="0" w:afterAutospacing="0" w:line="360" w:lineRule="auto"/>
      <w:ind w:left="425" w:hanging="425" w:firstLineChars="0"/>
      <w:outlineLvl w:val="0"/>
    </w:pPr>
    <w:rPr>
      <w:rFonts w:ascii="Times New Roman" w:hAnsi="Times New Roman" w:eastAsia="宋体"/>
      <w:b/>
      <w:kern w:val="44"/>
      <w:sz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line="360" w:lineRule="auto"/>
    </w:pPr>
    <w:rPr>
      <w:szCs w:val="20"/>
    </w:rPr>
  </w:style>
  <w:style w:type="paragraph" w:styleId="4">
    <w:name w:val="Plain Text"/>
    <w:basedOn w:val="1"/>
    <w:next w:val="1"/>
    <w:qFormat/>
    <w:uiPriority w:val="0"/>
    <w:rPr>
      <w:rFonts w:ascii="宋体" w:hAnsi="Courier New"/>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2a7402bd-bd35-4631-8aa9-8948f79cb95a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30D46C82</paraID>
      <start>0</start>
      <end>2</end>
      <status>modified</status>
      <modifiedWord>1.</modifiedWord>
      <trackRevisions>false</trackRevisions>
    </reviewItem>
    <reviewItem>
      <errorID>8e4bf77a-44de-4a11-b8d2-1a8aee99d5b7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634BE7F5</paraID>
      <start>0</start>
      <end>3</end>
      <status>modified</status>
      <modifiedWord>（1）</modifiedWord>
      <trackRevisions>false</trackRevisions>
    </reviewItem>
    <reviewItem>
      <errorID>006a58d8-8b97-495c-976e-401a8800e602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5E98180C</paraID>
      <start>0</start>
      <end>3</end>
      <status>modified</status>
      <modifiedWord>（2）</modifiedWord>
      <trackRevisions>false</trackRevisions>
    </reviewItem>
    <reviewItem>
      <errorID>2fec7444-bd29-48af-97f8-0e252a6b916d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11FFE570</paraID>
      <start>0</start>
      <end>3</end>
      <status>modified</status>
      <modifiedWord>（3）</modifiedWord>
      <trackRevisions>false</trackRevisions>
    </reviewItem>
    <reviewItem>
      <errorID>7bc1188e-c73d-47c7-a780-e90b900fd18a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12866749</paraID>
      <start>0</start>
      <end>2</end>
      <status>modified</status>
      <modifiedWord>2.</modifiedWord>
      <trackRevisions>false</trackRevisions>
    </reviewItem>
    <reviewItem>
      <errorID>b2585f13-eca9-4060-9e8d-edd724eaa8af</errorID>
      <errorWord>中华人民共和国环境保护法》</errorWord>
      <group>L1_Political</group>
      <groupName>政治性问题</groupName>
      <ability>L2_Keyword</ability>
      <abilityName>固定表述</abilityName>
      <candidateList>
        <item>《中华人民共和国环境保护法》</item>
      </candidateList>
      <explain>此处内容疑似含有固定表述相关错误，建议核查。</explain>
      <paraID>5D7C3299</paraID>
      <start>0</start>
      <end>14</end>
      <status>modified</status>
      <modifiedWord>《中华人民共和国环境保护法》</modifiedWord>
      <trackRevisions>false</trackRevisions>
    </reviewItem>
    <reviewItem>
      <errorID>732e64aa-6be1-41f0-bf28-0faeda2e5f26</errorID>
      <errorWord>技</errorWord>
      <group>L1_Word</group>
      <groupName>字词问题</groupName>
      <ability>L2_Typo</ability>
      <abilityName>字词错误</abilityName>
      <candidateList>
        <item>及</item>
      </candidateList>
      <explain/>
      <paraID>6474B764</paraID>
      <start>28</start>
      <end>29</end>
      <status>unmodified</status>
      <modifiedWord/>
      <trackRevisions>false</trackRevisions>
    </reviewItem>
    <reviewItem>
      <errorID>670cab9c-74e3-4f80-bcaf-414aa3a3b256</errorID>
      <errorWord>(</errorWord>
      <group>L1_Format</group>
      <groupName>格式问题</groupName>
      <ability>L2_HalfPunc_CN</ability>
      <abilityName>全半角问题</abilityName>
      <candidateList>
        <item>（</item>
      </candidateList>
      <explain>文本全半角错误。</explain>
      <paraID>6474B764</paraID>
      <start>34</start>
      <end>35</end>
      <status>modified</status>
      <modifiedWord>（</modifiedWord>
      <trackRevisions>false</trackRevisions>
    </reviewItem>
    <reviewItem>
      <errorID>952489ac-270c-41e5-a72b-72500ad76adc</errorID>
      <errorWord>)</errorWord>
      <group>L1_Format</group>
      <groupName>格式问题</groupName>
      <ability>L2_HalfPunc_CN</ability>
      <abilityName>全半角问题</abilityName>
      <candidateList>
        <item>）</item>
      </candidateList>
      <explain>文本全半角错误。</explain>
      <paraID>6474B764</paraID>
      <start>38</start>
      <end>39</end>
      <status>modified</status>
      <modifiedWord>）</modifiedWord>
      <trackRevisions>false</trackRevisions>
    </reviewItem>
    <reviewItem>
      <errorID>f7dfdafc-20a9-4569-bbb3-7547a303ba02</errorID>
      <errorWord>(HJ 166-2026)</errorWord>
      <group>L1_Punc</group>
      <groupName>标点问题</groupName>
      <ability>L2_Punc_CN</ability>
      <abilityName>标点符号问题</abilityName>
      <candidateList>
        <item>（HJ 166-2026）</item>
      </candidateList>
      <explain/>
      <paraID> B8FE95D</paraID>
      <start>12</start>
      <end>25</end>
      <status>modified</status>
      <modifiedWord>（HJ 166-2026）</modifiedWord>
      <trackRevisions>false</trackRevisions>
    </reviewItem>
    <reviewItem>
      <errorID>f2a7a5d8-6f25-432e-a481-0eac9aedef69</errorID>
      <errorWord>HJ1019-2019</errorWord>
      <group>L1_Other</group>
      <groupName>其他问题</groupName>
      <ability>L2_Consistency</ability>
      <abilityName>一致性检查</abilityName>
      <candidateList>
        <item>HJ 1019-2019</item>
      </candidateList>
      <explain>术语一致性错误，该环境标准编号的格式和全文其他标准编号格式不一致，原文后续已出现格式正确的编号表述</explain>
      <paraID>447E0A7D</paraID>
      <start>24</start>
      <end>36</end>
      <status>modified</status>
      <modifiedWord>HJ 1019-2019</modifiedWord>
      <trackRevisions>false</trackRevisions>
    </reviewItem>
    <reviewItem>
      <errorID>fee73fa7-b83b-4a35-9e70-c55d43b3c8ef</errorID>
      <errorWord>）</errorWord>
      <group>L1_Punc</group>
      <groupName>标点问题</groupName>
      <ability>L2_Punc_CN</ability>
      <abilityName>标点符号问题</abilityName>
      <candidateList>
        <item>）；</item>
      </candidateList>
      <explain/>
      <paraID>11C63F8A</paraID>
      <start>31</start>
      <end>33</end>
      <status>modified</status>
      <modifiedWord>）；</modifiedWord>
      <trackRevisions>false</trackRevisions>
    </reviewItem>
    <reviewItem>
      <errorID>9e3067ce-486d-42f9-87ee-a64e52be5a10</errorID>
      <errorWord>（</errorWord>
      <group>L1_Format</group>
      <groupName>格式问题</groupName>
      <ability>L2_HalfPunc_CN</ability>
      <abilityName>全半角问题</abilityName>
      <candidateList>
        <item>(</item>
      </candidateList>
      <explain>文本全半角错误。</explain>
      <paraID> DF2E907</paraID>
      <start>0</start>
      <end>1</end>
      <status>modified</status>
      <modifiedWord>(</modifiedWord>
      <trackRevisions>false</trackRevisions>
    </reviewItem>
    <reviewItem>
      <errorID>6dca4817-7a13-4053-a624-1d8a1e9031ad</errorID>
      <errorWord>GB</errorWord>
      <group>L1_Punc</group>
      <groupName>标点问题</groupName>
      <ability>L2_Punc_CN</ability>
      <abilityName>标点符号问题</abilityName>
      <candidateList>
        <item>（GB</item>
      </candidateList>
      <explain/>
      <paraID> DF2E907</paraID>
      <start>1</start>
      <end>4</end>
      <status>modified</status>
      <modifiedWord>（GB</modifiedWord>
      <trackRevisions>false</trackRevisions>
    </reviewItem>
    <reviewItem>
      <errorID>806707eb-42e7-4df2-98f7-c5a157954595</errorID>
      <errorWord>）</errorWord>
      <group>L1_Format</group>
      <groupName>格式问题</groupName>
      <ability>L2_HalfPunc_CN</ability>
      <abilityName>全半角问题</abilityName>
      <candidateList>
        <item>)</item>
      </candidateList>
      <explain>文本全半角错误。</explain>
      <paraID> DF2E907</paraID>
      <start>15</start>
      <end>16</end>
      <status>modified</status>
      <modifiedWord>)</modifiedWord>
      <trackRevisions>false</trackRevisions>
    </reviewItem>
    <reviewItem>
      <errorID>cad70ac3-27ab-4e8d-a3a3-6f9b545e5c0d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1D048383</paraID>
      <start>0</start>
      <end>2</end>
      <status>modified</status>
      <modifiedWord>3.</modifiedWord>
      <trackRevisions>false</trackRevisions>
    </reviewItem>
    <reviewItem>
      <errorID>f77325ab-6a01-413c-a122-187600ab56a0</errorID>
      <errorWord>15）、</errorWord>
      <group>L1_Punc</group>
      <groupName>标点问题</groupName>
      <ability>L2_Punc_CN</ability>
      <abilityName>标点符号问题</abilityName>
      <candidateList>
        <item>15）</item>
      </candidateList>
      <explain>根据国标GB/T 15834-2011《标点符号用法》中的4.5.3.3节，带括号的汉字数字或阿拉伯数字表次序时，后面通常不加顿号。如“（一）指导思想”“（二）行动指南”。</explain>
      <paraID>50D3F648</paraID>
      <start>51</start>
      <end>54</end>
      <status>modified</status>
      <modifiedWord>15）</modifiedWord>
      <trackRevisions>false</trackRevisions>
    </reviewItem>
    <reviewItem>
      <errorID>8683df76-27cf-4f45-933c-3b5d543dd95d</errorID>
      <errorWord>：</errorWord>
      <group>L1_Punc</group>
      <groupName>标点问题</groupName>
      <ability>L2_Punc_CN</ability>
      <abilityName>标点符号问题</abilityName>
      <candidateList>
        <item>。</item>
      </candidateList>
      <explain/>
      <paraID>333DA872</paraID>
      <start>28</start>
      <end>29</end>
      <status>modified</status>
      <modifiedWord>。</modifiedWord>
      <trackRevisions>false</trackRevisions>
    </reviewItem>
    <reviewItem>
      <errorID>42713f14-3a96-491f-ac59-ffde4f57dd9e</errorID>
      <errorWord>HJ 1019-2019</errorWord>
      <group>L1_Punc</group>
      <groupName>标点问题</groupName>
      <ability>L2_Punc_CN</ability>
      <abilityName>标点符号问题</abilityName>
      <candidateList>
        <item>（HJ 1019-2019）</item>
      </candidateList>
      <explain/>
      <paraID>654950F4</paraID>
      <start>25</start>
      <end>39</end>
      <status>modified</status>
      <modifiedWord>（HJ 1019-2019）</modifiedWord>
      <trackRevisions>false</trackRevisions>
    </reviewItem>
    <reviewItem>
      <errorID>edf3d14b-b4f7-418a-adef-220d212bf599</errorID>
      <errorWord>HJ 166-2026</errorWord>
      <group>L1_Punc</group>
      <groupName>标点问题</groupName>
      <ability>L2_Punc_CN</ability>
      <abilityName>标点符号问题</abilityName>
      <candidateList>
        <item>（HJ 166-2026）</item>
      </candidateList>
      <explain/>
      <paraID>654950F4</paraID>
      <start>52</start>
      <end>65</end>
      <status>modified</status>
      <modifiedWord>（HJ 166-2026）</modifiedWord>
      <trackRevisions>false</trackRevisions>
    </reviewItem>
    <reviewItem>
      <errorID>69ee061e-df43-47e7-a7f9-5f5621e80663</errorID>
      <errorWord>、</errorWord>
      <group>L1_Punc</group>
      <groupName>标点问题</groupName>
      <ability>L2_Punc_CN</ability>
      <abilityName>标点符号问题</abilityName>
      <candidateList>
        <item>，</item>
      </candidateList>
      <explain/>
      <paraID>684F2340</paraID>
      <start>60</start>
      <end>61</end>
      <status>modified</status>
      <modifiedWord>，</modifiedWord>
      <trackRevisions>false</trackRevisions>
    </reviewItem>
    <reviewItem>
      <errorID>f9d34f1f-d762-4d33-951e-dc6d326a4747</errorID>
      <errorWord>、</errorWord>
      <group>L1_Punc</group>
      <groupName>标点问题</groupName>
      <ability>L2_Punc_CN</ability>
      <abilityName>标点符号问题</abilityName>
      <candidateList>
        <item>，</item>
      </candidateList>
      <explain/>
      <paraID>684F2340</paraID>
      <start>79</start>
      <end>80</end>
      <status>modified</status>
      <modifiedWord>，</modifiedWord>
      <trackRevisions>false</trackRevisions>
    </reviewItem>
    <reviewItem>
      <errorID>a809e0b0-4212-4cdb-9514-7c3a751a3753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6C6CFF8B</paraID>
      <start>0</start>
      <end>2</end>
      <status>modified</status>
      <modifiedWord>4.</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6722de-6cf5-42e0-9c21-a01441b9259c}">
  <ds:schemaRefs/>
</ds:datastoreItem>
</file>

<file path=docProps/app.xml><?xml version="1.0" encoding="utf-8"?>
<Properties xmlns="http://schemas.openxmlformats.org/officeDocument/2006/extended-properties" xmlns:vt="http://schemas.openxmlformats.org/officeDocument/2006/docPropsVTypes">
  <Template>Normal.dotm</Template>
  <Pages>4</Pages>
  <Words>80</Words>
  <Characters>84</Characters>
  <Lines>0</Lines>
  <Paragraphs>0</Paragraphs>
  <TotalTime>72</TotalTime>
  <ScaleCrop>false</ScaleCrop>
  <LinksUpToDate>false</LinksUpToDate>
  <CharactersWithSpaces>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2025-07-04T03:55:00Z</dcterms:created>
  <dc:creator>Administrator</dc:creator>
  <cp:lastModifiedBy>猪上树</cp:lastModifiedBy>
  <dcterms:modified xsi:type="dcterms:W3CDTF">2026-08-07T03:10:57Z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eyJoZGlkIjoiNjEwMjQyZjg2YmFjN2I4YWEyYmM5YzQ5M2QwMzY4NzIiLCJ1c2VySWQiOiIzMjY4NTczMDQifQ==</vt:lpwstr>
  </property>
  <property fmtid="{D5CDD505-2E9C-101B-9397-08002B2CF9AE}" pid="4" name="ICV">
    <vt:lpwstr>8081213CE4E34DBBAF2B8A466761D770_13</vt:lpwstr>
  </property>
</Properties>
</file>