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703F4">
      <w:pPr>
        <w:spacing w:before="0" w:after="240"/>
        <w:ind w:left="0" w:leftChars="0" w:firstLine="0" w:firstLineChars="0"/>
        <w:jc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香洲创港中心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室内保洁服务方案</w:t>
      </w:r>
    </w:p>
    <w:p w14:paraId="258B735D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一、服务概述</w:t>
      </w:r>
    </w:p>
    <w:p w14:paraId="63DEAAD0">
      <w:pPr>
        <w:spacing w:before="60"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面向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客户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办公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区域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及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公寓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，提供以工时、面积两种维度计费的清洁服务，覆盖日常保洁、开荒保洁、室内除甲醛三大场景，由物业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公司根据客户需求进行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派单、上门、验收。</w:t>
      </w:r>
    </w:p>
    <w:p w14:paraId="546E44F7">
      <w:pPr>
        <w:pStyle w:val="2"/>
        <w:spacing w:before="360" w:after="180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二、服务项目与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预算</w:t>
      </w:r>
    </w:p>
    <w:p w14:paraId="4471E6DF">
      <w:pPr>
        <w:pStyle w:val="3"/>
        <w:spacing w:before="240" w:after="120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6"/>
          <w:szCs w:val="26"/>
        </w:rPr>
        <w:t xml:space="preserve">2.1 </w:t>
      </w:r>
      <w:r>
        <w:rPr>
          <w:rFonts w:hint="eastAsia" w:ascii="宋体" w:hAnsi="宋体" w:eastAsia="宋体" w:cs="宋体"/>
          <w:b/>
          <w:bCs/>
          <w:color w:val="auto"/>
          <w:sz w:val="26"/>
          <w:szCs w:val="26"/>
          <w:lang w:val="en-US" w:eastAsia="zh-CN"/>
        </w:rPr>
        <w:t>预算明细</w:t>
      </w:r>
    </w:p>
    <w:p w14:paraId="10FD562E">
      <w:pPr>
        <w:spacing w:before="60" w:after="1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以下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为采购预算单价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，最终按实际服务量结算。</w:t>
      </w:r>
    </w:p>
    <w:tbl>
      <w:tblPr>
        <w:tblStyle w:val="12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55"/>
        <w:gridCol w:w="1485"/>
        <w:gridCol w:w="1530"/>
        <w:gridCol w:w="1410"/>
        <w:gridCol w:w="1380"/>
        <w:gridCol w:w="2243"/>
      </w:tblGrid>
      <w:tr w14:paraId="6AD4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7" w:hRule="atLeast"/>
          <w:tblHeader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A6C3DD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项目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C82F92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计价规则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811340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预算单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价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5939B3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预计数量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3D8978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预算金额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C59244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计费方式</w:t>
            </w:r>
          </w:p>
        </w:tc>
      </w:tr>
      <w:tr w14:paraId="1A0A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" w:hRule="atLeast"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A24629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日常保洁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A0BDE0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按工时计价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FFB01A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元/工时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2B5CD4">
            <w:pPr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2000工时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83ABBC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92000元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ACC8E8">
            <w:p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不足1小时按1小时计</w:t>
            </w:r>
          </w:p>
        </w:tc>
      </w:tr>
      <w:tr w14:paraId="1DFD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2" w:hRule="atLeast"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FCF056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开荒保洁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CC7402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按建筑面积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7D6C07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5.4元/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㎡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2D0ACC">
            <w:pPr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10000㎡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821F91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54000元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899C75">
            <w:p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合同约定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建筑面积为准</w:t>
            </w:r>
          </w:p>
        </w:tc>
      </w:tr>
      <w:tr w14:paraId="279D0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3" w:hRule="atLeast"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858108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除甲醛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F28A35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按服务面积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31FF69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2.03元/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㎡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3DAC09">
            <w:pPr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10000㎡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094F17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20300元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2705A8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以合同约定为准</w:t>
            </w:r>
          </w:p>
        </w:tc>
      </w:tr>
      <w:tr w14:paraId="169E6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5680" w:type="dxa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B4FC4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2FAB0F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166300元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F5AA0C">
            <w:p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</w:tr>
    </w:tbl>
    <w:p w14:paraId="33A6C64E">
      <w:pPr>
        <w:spacing w:before="80" w:after="6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 </w:t>
      </w:r>
    </w:p>
    <w:p w14:paraId="6FBED373">
      <w:pPr>
        <w:pStyle w:val="3"/>
        <w:spacing w:before="240" w:after="1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26"/>
          <w:szCs w:val="26"/>
        </w:rPr>
        <w:t>2.2 服务须知</w:t>
      </w:r>
    </w:p>
    <w:p w14:paraId="57D71C86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日常保洁：服务范围限用户办公室内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/公寓室内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清洁；半小时内按半小时计，超半小时不足 1 小时按 1 小时计。</w:t>
      </w:r>
    </w:p>
    <w:p w14:paraId="5C96F540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开荒保洁：保洁人员上门清洁服务，按建筑面积一次性收取；适用于装修后、首次入驻前的深度清洁。</w:t>
      </w:r>
    </w:p>
    <w:p w14:paraId="7016549D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除甲醛：室内整体除甲醛服务，依据客户诉求标准化定制；按服务面积实际需求安排清洁人数。</w:t>
      </w:r>
    </w:p>
    <w:p w14:paraId="02B6DA2B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三、计费规则</w:t>
      </w:r>
    </w:p>
    <w:p w14:paraId="6BA34C2C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日常保洁：以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工时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为计费单位，最低起算单元 1 小时，不足 1 小时向上取整。</w:t>
      </w:r>
    </w:p>
    <w:p w14:paraId="34C4FD85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开荒保洁：以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建筑面积（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㎡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为单位，按实测或合同面积一次性结算。</w:t>
      </w:r>
    </w:p>
    <w:p w14:paraId="0BF5729D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除甲醛：以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服务面积（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㎡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为单位，根据甲醛浓度与房型定制方案，按面积 + 工艺组合报价。</w:t>
      </w:r>
    </w:p>
    <w:p w14:paraId="38B73C9E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四、服务流程</w:t>
      </w:r>
    </w:p>
    <w:p w14:paraId="10548E2F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① 需求登记 → ② 派单 → ③ 上门勘察 / 报价确认 → ④ 签订服务单 → ⑤ 上门作业 → ⑥ 客户验收 → ⑦ 费用结算。</w:t>
      </w:r>
    </w:p>
    <w:p w14:paraId="086E056C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五、注意事项</w:t>
      </w:r>
    </w:p>
    <w:p w14:paraId="12F75CAE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服务前请客户提前整理贵重物品并妥善保管；电源、易碎品、贵重设备由客户自行处置。</w:t>
      </w:r>
    </w:p>
    <w:p w14:paraId="44441BDB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开荒保洁及除甲醛需提前 24 小时预约，按面积预约保洁人员配比。</w:t>
      </w:r>
    </w:p>
    <w:p w14:paraId="3286A4C5">
      <w:pPr>
        <w:spacing w:before="60"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除甲醛施工后建议通风 48—72 小时，复检达标后方可入驻。</w:t>
      </w:r>
    </w:p>
    <w:p w14:paraId="1ED99DC0">
      <w:pPr>
        <w:keepNext/>
        <w:keepLines/>
        <w:spacing w:before="100" w:beforeAutospacing="1" w:after="100" w:afterAutospacing="1"/>
        <w:ind w:left="0" w:leftChars="0" w:firstLine="0" w:firstLineChars="0"/>
        <w:outlineLvl w:val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六、服务对象与细化服务内容</w:t>
      </w:r>
    </w:p>
    <w:p w14:paraId="7F76BC1A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本方案服务对象分为两类，按空间属性服务内容清单</w:t>
      </w:r>
      <w:r>
        <w:rPr>
          <w:rFonts w:hint="eastAsia" w:ascii="宋体" w:hAnsi="宋体" w:eastAsia="宋体" w:cs="宋体"/>
          <w:color w:val="auto"/>
          <w:lang w:val="en-US" w:eastAsia="zh-CN"/>
        </w:rPr>
        <w:t>如下</w:t>
      </w:r>
      <w:r>
        <w:rPr>
          <w:rFonts w:hint="eastAsia" w:ascii="宋体" w:hAnsi="宋体" w:eastAsia="宋体" w:cs="宋体"/>
          <w:color w:val="auto"/>
        </w:rPr>
        <w:t>：</w:t>
      </w:r>
    </w:p>
    <w:p w14:paraId="625C1B3E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6.1 企业客户（办公室）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31"/>
        <w:gridCol w:w="6428"/>
      </w:tblGrid>
      <w:tr w14:paraId="79D5236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  <w:tblHeader/>
        </w:trPr>
        <w:tc>
          <w:tcPr>
            <w:tcW w:w="2331" w:type="dxa"/>
          </w:tcPr>
          <w:p w14:paraId="7F62B88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服务区域</w:t>
            </w:r>
          </w:p>
        </w:tc>
        <w:tc>
          <w:tcPr>
            <w:tcW w:w="6428" w:type="dxa"/>
          </w:tcPr>
          <w:p w14:paraId="7CE6E68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细化服务内容</w:t>
            </w:r>
          </w:p>
        </w:tc>
      </w:tr>
      <w:tr w14:paraId="3FF0EE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2E07A02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办公工位区</w:t>
            </w:r>
          </w:p>
        </w:tc>
        <w:tc>
          <w:tcPr>
            <w:tcW w:w="6428" w:type="dxa"/>
          </w:tcPr>
          <w:p w14:paraId="5A0EC890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桌面除尘、座椅擦拭、隔断屏风清洁</w:t>
            </w:r>
          </w:p>
        </w:tc>
      </w:tr>
      <w:tr w14:paraId="1B794F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44270A7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地面 / 地毯</w:t>
            </w:r>
          </w:p>
        </w:tc>
        <w:tc>
          <w:tcPr>
            <w:tcW w:w="6428" w:type="dxa"/>
          </w:tcPr>
          <w:p w14:paraId="79C8F0B3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清扫、湿拖或吸尘、局部除渍</w:t>
            </w:r>
          </w:p>
        </w:tc>
      </w:tr>
      <w:tr w14:paraId="40D43BC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7A107A7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玻璃隔断 / 门窗</w:t>
            </w:r>
          </w:p>
        </w:tc>
        <w:tc>
          <w:tcPr>
            <w:tcW w:w="6428" w:type="dxa"/>
          </w:tcPr>
          <w:p w14:paraId="6588F7C2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擦拭、除水印、无手印、窗台除尘</w:t>
            </w:r>
          </w:p>
        </w:tc>
      </w:tr>
      <w:tr w14:paraId="340FF1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79D520E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会议室</w:t>
            </w:r>
          </w:p>
        </w:tc>
        <w:tc>
          <w:tcPr>
            <w:tcW w:w="6428" w:type="dxa"/>
          </w:tcPr>
          <w:p w14:paraId="69113896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桌面、白板清洁、座椅归位、设备表面除尘</w:t>
            </w:r>
          </w:p>
        </w:tc>
      </w:tr>
      <w:tr w14:paraId="375FF0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4B50297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茶水间 / 休息区</w:t>
            </w:r>
          </w:p>
        </w:tc>
        <w:tc>
          <w:tcPr>
            <w:tcW w:w="6428" w:type="dxa"/>
          </w:tcPr>
          <w:p w14:paraId="7D790757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台面、水槽、微波炉及冰箱外部、饮水机表面</w:t>
            </w:r>
          </w:p>
        </w:tc>
      </w:tr>
      <w:tr w14:paraId="79D41EB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</w:trPr>
        <w:tc>
          <w:tcPr>
            <w:tcW w:w="2331" w:type="dxa"/>
          </w:tcPr>
          <w:p w14:paraId="44E23FC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卫生间</w:t>
            </w:r>
          </w:p>
        </w:tc>
        <w:tc>
          <w:tcPr>
            <w:tcW w:w="6428" w:type="dxa"/>
          </w:tcPr>
          <w:p w14:paraId="46F9F14D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洁具清洁消毒、镜面、补充洗手液纸巾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客户提供耗材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、除味</w:t>
            </w:r>
          </w:p>
        </w:tc>
      </w:tr>
      <w:tr w14:paraId="0189B7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75F8829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前台 / 公共区域</w:t>
            </w:r>
          </w:p>
        </w:tc>
        <w:tc>
          <w:tcPr>
            <w:tcW w:w="6428" w:type="dxa"/>
          </w:tcPr>
          <w:p w14:paraId="4F5DE0FD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前台台面、走廊、电梯厅、绿植叶面除尘</w:t>
            </w:r>
          </w:p>
        </w:tc>
      </w:tr>
      <w:tr w14:paraId="4A1628A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</w:trPr>
        <w:tc>
          <w:tcPr>
            <w:tcW w:w="2331" w:type="dxa"/>
          </w:tcPr>
          <w:p w14:paraId="639434C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垃圾处理</w:t>
            </w:r>
          </w:p>
        </w:tc>
        <w:tc>
          <w:tcPr>
            <w:tcW w:w="6428" w:type="dxa"/>
          </w:tcPr>
          <w:p w14:paraId="49DCFF45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分类收集、定时清运、更换垃圾袋</w:t>
            </w:r>
          </w:p>
        </w:tc>
      </w:tr>
    </w:tbl>
    <w:p w14:paraId="64C9406A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6.2 公寓客户（公寓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室内</w:t>
      </w:r>
      <w:r>
        <w:rPr>
          <w:rFonts w:hint="eastAsia" w:ascii="宋体" w:hAnsi="宋体" w:eastAsia="宋体" w:cs="宋体"/>
          <w:b/>
          <w:color w:val="auto"/>
          <w:sz w:val="32"/>
        </w:rPr>
        <w:t>）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6"/>
        <w:gridCol w:w="6800"/>
      </w:tblGrid>
      <w:tr w14:paraId="1B05364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06" w:type="dxa"/>
          </w:tcPr>
          <w:p w14:paraId="3A500D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服务空间</w:t>
            </w:r>
          </w:p>
        </w:tc>
        <w:tc>
          <w:tcPr>
            <w:tcW w:w="6800" w:type="dxa"/>
          </w:tcPr>
          <w:p w14:paraId="7F19264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细化服务内容</w:t>
            </w:r>
          </w:p>
        </w:tc>
      </w:tr>
      <w:tr w14:paraId="3061DF3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3A7ADCA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客厅</w:t>
            </w:r>
          </w:p>
        </w:tc>
        <w:tc>
          <w:tcPr>
            <w:tcW w:w="6800" w:type="dxa"/>
          </w:tcPr>
          <w:p w14:paraId="3CDF82F1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地面、沙发、茶几、电视柜、装饰柜除尘</w:t>
            </w:r>
          </w:p>
        </w:tc>
      </w:tr>
      <w:tr w14:paraId="76EFB9E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10159C3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卧室</w:t>
            </w:r>
          </w:p>
        </w:tc>
        <w:tc>
          <w:tcPr>
            <w:tcW w:w="6800" w:type="dxa"/>
          </w:tcPr>
          <w:p w14:paraId="4745526C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床铺整理、床头柜、衣柜外部、地面、窗台除尘</w:t>
            </w:r>
          </w:p>
        </w:tc>
      </w:tr>
      <w:tr w14:paraId="62C123C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3D0EAD4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厨房</w:t>
            </w:r>
          </w:p>
        </w:tc>
        <w:tc>
          <w:tcPr>
            <w:tcW w:w="6800" w:type="dxa"/>
          </w:tcPr>
          <w:p w14:paraId="6A407472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台面、灶具、油烟机外部、水槽、瓷砖墙面去油</w:t>
            </w:r>
          </w:p>
        </w:tc>
      </w:tr>
      <w:tr w14:paraId="2DF6CD8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23BC2C7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卫生间</w:t>
            </w:r>
          </w:p>
        </w:tc>
        <w:tc>
          <w:tcPr>
            <w:tcW w:w="6800" w:type="dxa"/>
          </w:tcPr>
          <w:p w14:paraId="32599514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洁具、淋浴区、镜面、五金件、消毒除味</w:t>
            </w:r>
          </w:p>
        </w:tc>
      </w:tr>
      <w:tr w14:paraId="36154BF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63FD1A1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阳台</w:t>
            </w:r>
          </w:p>
        </w:tc>
        <w:tc>
          <w:tcPr>
            <w:tcW w:w="6800" w:type="dxa"/>
          </w:tcPr>
          <w:p w14:paraId="747B95F6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地面、栏杆、储物柜外部</w:t>
            </w:r>
          </w:p>
        </w:tc>
      </w:tr>
      <w:tr w14:paraId="0F1E90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251CE8E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门窗</w:t>
            </w:r>
          </w:p>
        </w:tc>
        <w:tc>
          <w:tcPr>
            <w:tcW w:w="6800" w:type="dxa"/>
          </w:tcPr>
          <w:p w14:paraId="0B54C775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玻璃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内侧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、窗框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内侧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、窗台</w:t>
            </w:r>
          </w:p>
        </w:tc>
      </w:tr>
      <w:tr w14:paraId="4F588A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0940EF9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垃圾处理</w:t>
            </w:r>
          </w:p>
        </w:tc>
        <w:tc>
          <w:tcPr>
            <w:tcW w:w="6800" w:type="dxa"/>
          </w:tcPr>
          <w:p w14:paraId="0CEA976D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分类收集、清运、更换垃圾袋</w:t>
            </w:r>
          </w:p>
        </w:tc>
      </w:tr>
    </w:tbl>
    <w:p w14:paraId="2BE123DE">
      <w:pPr>
        <w:keepNext/>
        <w:keepLines/>
        <w:spacing w:before="100" w:beforeAutospacing="1" w:after="100" w:afterAutospacing="1"/>
        <w:outlineLvl w:val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七、服务标准</w:t>
      </w:r>
    </w:p>
    <w:p w14:paraId="46B7152C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统一执行 </w:t>
      </w:r>
      <w:r>
        <w:rPr>
          <w:rFonts w:hint="eastAsia" w:ascii="宋体" w:hAnsi="宋体" w:eastAsia="宋体" w:cs="宋体"/>
          <w:b/>
          <w:color w:val="auto"/>
        </w:rPr>
        <w:t>"六无"质量标准</w:t>
      </w:r>
      <w:r>
        <w:rPr>
          <w:rFonts w:hint="eastAsia" w:ascii="宋体" w:hAnsi="宋体" w:eastAsia="宋体" w:cs="宋体"/>
          <w:color w:val="auto"/>
        </w:rPr>
        <w:t>，适用于全部服务对象：</w:t>
      </w:r>
    </w:p>
    <w:p w14:paraId="2BCE7722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无灰尘</w:t>
      </w:r>
      <w:r>
        <w:rPr>
          <w:rFonts w:hint="eastAsia" w:ascii="宋体" w:hAnsi="宋体" w:eastAsia="宋体" w:cs="宋体"/>
          <w:color w:val="auto"/>
        </w:rPr>
        <w:t>：桌面、台面、设备表面手抹无积灰</w:t>
      </w:r>
    </w:p>
    <w:p w14:paraId="27CBE908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无污渍</w:t>
      </w:r>
      <w:r>
        <w:rPr>
          <w:rFonts w:hint="eastAsia" w:ascii="宋体" w:hAnsi="宋体" w:eastAsia="宋体" w:cs="宋体"/>
          <w:color w:val="auto"/>
        </w:rPr>
        <w:t>：地面、墙面、洁具无可见污垢</w:t>
      </w:r>
    </w:p>
    <w:p w14:paraId="4B389215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无水渍</w:t>
      </w:r>
      <w:r>
        <w:rPr>
          <w:rFonts w:hint="eastAsia" w:ascii="宋体" w:hAnsi="宋体" w:eastAsia="宋体" w:cs="宋体"/>
          <w:color w:val="auto"/>
        </w:rPr>
        <w:t>：玻璃、镜面、五金件擦拭后无水印</w:t>
      </w:r>
    </w:p>
    <w:p w14:paraId="4902C894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无异味</w:t>
      </w:r>
      <w:r>
        <w:rPr>
          <w:rFonts w:hint="eastAsia" w:ascii="宋体" w:hAnsi="宋体" w:eastAsia="宋体" w:cs="宋体"/>
          <w:color w:val="auto"/>
        </w:rPr>
        <w:t>：卫生间、茶水间、垃圾区通风除味</w:t>
      </w:r>
    </w:p>
    <w:p w14:paraId="166046EC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无死角</w:t>
      </w:r>
      <w:r>
        <w:rPr>
          <w:rFonts w:hint="eastAsia" w:ascii="宋体" w:hAnsi="宋体" w:eastAsia="宋体" w:cs="宋体"/>
          <w:color w:val="auto"/>
        </w:rPr>
        <w:t>：边角、缝隙、高处无遗漏</w:t>
      </w:r>
    </w:p>
    <w:p w14:paraId="186CB5EE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无遗漏</w:t>
      </w:r>
      <w:r>
        <w:rPr>
          <w:rFonts w:hint="eastAsia" w:ascii="宋体" w:hAnsi="宋体" w:eastAsia="宋体" w:cs="宋体"/>
          <w:color w:val="auto"/>
        </w:rPr>
        <w:t>：服务清单项目逐项验收、物品清洁后归位</w:t>
      </w:r>
    </w:p>
    <w:p w14:paraId="4E702DF8">
      <w:pPr>
        <w:keepNext/>
        <w:keepLines/>
        <w:spacing w:before="100" w:beforeAutospacing="1" w:after="100" w:afterAutospacing="1"/>
        <w:outlineLvl w:val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八、服务面积与工时配比</w:t>
      </w:r>
    </w:p>
    <w:p w14:paraId="17042CE8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以下工时配比供参考，实际按现场勘察及清洁难度调整。</w:t>
      </w:r>
    </w:p>
    <w:p w14:paraId="14138D4D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8.1 企业客户（办公室）工时配比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 w14:paraId="534C795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76" w:type="dxa"/>
          </w:tcPr>
          <w:p w14:paraId="0CA7ABC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服务面积（</w:t>
            </w:r>
            <w:r>
              <w:rPr>
                <w:rFonts w:hint="eastAsia" w:ascii="宋体" w:hAnsi="宋体" w:eastAsia="宋体" w:cs="宋体"/>
                <w:b/>
                <w:color w:val="auto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/>
                <w:color w:val="auto"/>
              </w:rPr>
              <w:t>）</w:t>
            </w:r>
          </w:p>
        </w:tc>
        <w:tc>
          <w:tcPr>
            <w:tcW w:w="2076" w:type="dxa"/>
          </w:tcPr>
          <w:p w14:paraId="76D26F2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建议人数</w:t>
            </w:r>
          </w:p>
        </w:tc>
        <w:tc>
          <w:tcPr>
            <w:tcW w:w="2076" w:type="dxa"/>
          </w:tcPr>
          <w:p w14:paraId="3FCD310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工时（人·小时）</w:t>
            </w:r>
          </w:p>
        </w:tc>
        <w:tc>
          <w:tcPr>
            <w:tcW w:w="2076" w:type="dxa"/>
          </w:tcPr>
          <w:p w14:paraId="3F37666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场景说明</w:t>
            </w:r>
          </w:p>
        </w:tc>
      </w:tr>
      <w:tr w14:paraId="77BB332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DB9562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≤ 50</w:t>
            </w:r>
          </w:p>
        </w:tc>
        <w:tc>
          <w:tcPr>
            <w:tcW w:w="2076" w:type="dxa"/>
          </w:tcPr>
          <w:p w14:paraId="1391C86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076" w:type="dxa"/>
          </w:tcPr>
          <w:p w14:paraId="3028761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076" w:type="dxa"/>
          </w:tcPr>
          <w:p w14:paraId="0179D71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小型办公间</w:t>
            </w:r>
          </w:p>
        </w:tc>
      </w:tr>
      <w:tr w14:paraId="14BD88D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64FE99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51 — 100</w:t>
            </w:r>
          </w:p>
        </w:tc>
        <w:tc>
          <w:tcPr>
            <w:tcW w:w="2076" w:type="dxa"/>
          </w:tcPr>
          <w:p w14:paraId="20E7F29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 — 2</w:t>
            </w:r>
          </w:p>
        </w:tc>
        <w:tc>
          <w:tcPr>
            <w:tcW w:w="2076" w:type="dxa"/>
          </w:tcPr>
          <w:p w14:paraId="1A3142C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 — 4</w:t>
            </w:r>
          </w:p>
        </w:tc>
        <w:tc>
          <w:tcPr>
            <w:tcW w:w="2076" w:type="dxa"/>
          </w:tcPr>
          <w:p w14:paraId="200796B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标准办公区</w:t>
            </w:r>
          </w:p>
        </w:tc>
      </w:tr>
      <w:tr w14:paraId="15FF2E7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3A0D32A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101 — 200</w:t>
            </w:r>
          </w:p>
        </w:tc>
        <w:tc>
          <w:tcPr>
            <w:tcW w:w="2076" w:type="dxa"/>
          </w:tcPr>
          <w:p w14:paraId="0A0A171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076" w:type="dxa"/>
          </w:tcPr>
          <w:p w14:paraId="00D4765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 — 7</w:t>
            </w:r>
          </w:p>
        </w:tc>
        <w:tc>
          <w:tcPr>
            <w:tcW w:w="2076" w:type="dxa"/>
          </w:tcPr>
          <w:p w14:paraId="623D56E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中型办公区</w:t>
            </w:r>
          </w:p>
        </w:tc>
      </w:tr>
      <w:tr w14:paraId="3B38FAC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1900E9A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201 — 300</w:t>
            </w:r>
          </w:p>
        </w:tc>
        <w:tc>
          <w:tcPr>
            <w:tcW w:w="2076" w:type="dxa"/>
          </w:tcPr>
          <w:p w14:paraId="76FE23E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 — 3</w:t>
            </w:r>
          </w:p>
        </w:tc>
        <w:tc>
          <w:tcPr>
            <w:tcW w:w="2076" w:type="dxa"/>
          </w:tcPr>
          <w:p w14:paraId="50736D9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 — 10</w:t>
            </w:r>
          </w:p>
        </w:tc>
        <w:tc>
          <w:tcPr>
            <w:tcW w:w="2076" w:type="dxa"/>
          </w:tcPr>
          <w:p w14:paraId="0475B93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大型办公区</w:t>
            </w:r>
          </w:p>
        </w:tc>
      </w:tr>
      <w:tr w14:paraId="2FEACF5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0B8CA36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301 — 500</w:t>
            </w:r>
          </w:p>
        </w:tc>
        <w:tc>
          <w:tcPr>
            <w:tcW w:w="2076" w:type="dxa"/>
          </w:tcPr>
          <w:p w14:paraId="1378C3A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2076" w:type="dxa"/>
          </w:tcPr>
          <w:p w14:paraId="675F5D0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11 — 15</w:t>
            </w:r>
          </w:p>
        </w:tc>
        <w:tc>
          <w:tcPr>
            <w:tcW w:w="2076" w:type="dxa"/>
          </w:tcPr>
          <w:p w14:paraId="2C3B262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整层办公</w:t>
            </w:r>
          </w:p>
        </w:tc>
      </w:tr>
      <w:tr w14:paraId="634006A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152418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&gt; 500</w:t>
            </w:r>
          </w:p>
        </w:tc>
        <w:tc>
          <w:tcPr>
            <w:tcW w:w="2076" w:type="dxa"/>
          </w:tcPr>
          <w:p w14:paraId="413D93C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3+</w:t>
            </w:r>
          </w:p>
        </w:tc>
        <w:tc>
          <w:tcPr>
            <w:tcW w:w="2076" w:type="dxa"/>
          </w:tcPr>
          <w:p w14:paraId="06F986F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面议</w:t>
            </w:r>
          </w:p>
        </w:tc>
        <w:tc>
          <w:tcPr>
            <w:tcW w:w="2076" w:type="dxa"/>
          </w:tcPr>
          <w:p w14:paraId="2E0C910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超大面积定制</w:t>
            </w:r>
          </w:p>
        </w:tc>
      </w:tr>
    </w:tbl>
    <w:p w14:paraId="500A6B75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8.2 公寓客户（公寓住宅）工时配比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 w14:paraId="0B8FB4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76" w:type="dxa"/>
          </w:tcPr>
          <w:p w14:paraId="5818563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服务面积（</w:t>
            </w:r>
            <w:r>
              <w:rPr>
                <w:rFonts w:hint="eastAsia" w:ascii="宋体" w:hAnsi="宋体" w:eastAsia="宋体" w:cs="宋体"/>
                <w:b/>
                <w:color w:val="auto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/>
                <w:color w:val="auto"/>
              </w:rPr>
              <w:t>）</w:t>
            </w:r>
          </w:p>
        </w:tc>
        <w:tc>
          <w:tcPr>
            <w:tcW w:w="2076" w:type="dxa"/>
          </w:tcPr>
          <w:p w14:paraId="0A00CCD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户型参考</w:t>
            </w:r>
          </w:p>
        </w:tc>
        <w:tc>
          <w:tcPr>
            <w:tcW w:w="2076" w:type="dxa"/>
          </w:tcPr>
          <w:p w14:paraId="46F1089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建议人数</w:t>
            </w:r>
          </w:p>
        </w:tc>
        <w:tc>
          <w:tcPr>
            <w:tcW w:w="2076" w:type="dxa"/>
          </w:tcPr>
          <w:p w14:paraId="6C73371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工时（人·小时）</w:t>
            </w:r>
          </w:p>
        </w:tc>
      </w:tr>
      <w:tr w14:paraId="3D767CC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1CA7901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≤ 60</w:t>
            </w:r>
          </w:p>
        </w:tc>
        <w:tc>
          <w:tcPr>
            <w:tcW w:w="2076" w:type="dxa"/>
          </w:tcPr>
          <w:p w14:paraId="2C9E417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一居室</w:t>
            </w:r>
          </w:p>
        </w:tc>
        <w:tc>
          <w:tcPr>
            <w:tcW w:w="2076" w:type="dxa"/>
          </w:tcPr>
          <w:p w14:paraId="47F8FFB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076" w:type="dxa"/>
          </w:tcPr>
          <w:p w14:paraId="71627DD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</w:tr>
      <w:tr w14:paraId="16159C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1036C24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61 — 90</w:t>
            </w:r>
          </w:p>
        </w:tc>
        <w:tc>
          <w:tcPr>
            <w:tcW w:w="2076" w:type="dxa"/>
          </w:tcPr>
          <w:p w14:paraId="4957E05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两居室</w:t>
            </w:r>
          </w:p>
        </w:tc>
        <w:tc>
          <w:tcPr>
            <w:tcW w:w="2076" w:type="dxa"/>
          </w:tcPr>
          <w:p w14:paraId="31E33D3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076" w:type="dxa"/>
          </w:tcPr>
          <w:p w14:paraId="666C7B3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</w:tr>
      <w:tr w14:paraId="6F46A3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4A6D77C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91 — 120</w:t>
            </w:r>
          </w:p>
        </w:tc>
        <w:tc>
          <w:tcPr>
            <w:tcW w:w="2076" w:type="dxa"/>
          </w:tcPr>
          <w:p w14:paraId="4D9882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三居室</w:t>
            </w:r>
          </w:p>
        </w:tc>
        <w:tc>
          <w:tcPr>
            <w:tcW w:w="2076" w:type="dxa"/>
          </w:tcPr>
          <w:p w14:paraId="11AB3E3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 — 2</w:t>
            </w:r>
          </w:p>
        </w:tc>
        <w:tc>
          <w:tcPr>
            <w:tcW w:w="2076" w:type="dxa"/>
          </w:tcPr>
          <w:p w14:paraId="0F11F4E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</w:tr>
      <w:tr w14:paraId="6D230D4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7760838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121 — 160</w:t>
            </w:r>
          </w:p>
        </w:tc>
        <w:tc>
          <w:tcPr>
            <w:tcW w:w="2076" w:type="dxa"/>
          </w:tcPr>
          <w:p w14:paraId="32DC687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四居室</w:t>
            </w:r>
          </w:p>
        </w:tc>
        <w:tc>
          <w:tcPr>
            <w:tcW w:w="2076" w:type="dxa"/>
          </w:tcPr>
          <w:p w14:paraId="3540036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076" w:type="dxa"/>
          </w:tcPr>
          <w:p w14:paraId="7AE7FCE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 — 6</w:t>
            </w:r>
          </w:p>
        </w:tc>
      </w:tr>
      <w:tr w14:paraId="6ACC03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7EF6A1A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&gt; 160</w:t>
            </w:r>
          </w:p>
        </w:tc>
        <w:tc>
          <w:tcPr>
            <w:tcW w:w="2076" w:type="dxa"/>
          </w:tcPr>
          <w:p w14:paraId="2DCDEC9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复式 / 大平层</w:t>
            </w:r>
          </w:p>
        </w:tc>
        <w:tc>
          <w:tcPr>
            <w:tcW w:w="2076" w:type="dxa"/>
          </w:tcPr>
          <w:p w14:paraId="44C5442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2+</w:t>
            </w:r>
          </w:p>
        </w:tc>
        <w:tc>
          <w:tcPr>
            <w:tcW w:w="2076" w:type="dxa"/>
          </w:tcPr>
          <w:p w14:paraId="0A44261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面议</w:t>
            </w:r>
          </w:p>
        </w:tc>
      </w:tr>
    </w:tbl>
    <w:p w14:paraId="36B2B161">
      <w:pPr>
        <w:ind w:left="0" w:leftChars="0" w:firstLine="0" w:firstLine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注：开荒保洁及除甲醛不适用上表工时，分别按建筑面积（</w:t>
      </w:r>
      <w:r>
        <w:rPr>
          <w:rFonts w:hint="eastAsia" w:ascii="宋体" w:hAnsi="宋体" w:eastAsia="宋体" w:cs="宋体"/>
          <w:color w:val="auto"/>
          <w:lang w:val="en-US" w:eastAsia="zh-CN"/>
        </w:rPr>
        <w:t>㎡</w:t>
      </w:r>
      <w:r>
        <w:rPr>
          <w:rFonts w:hint="eastAsia" w:ascii="宋体" w:hAnsi="宋体" w:eastAsia="宋体" w:cs="宋体"/>
          <w:color w:val="auto"/>
        </w:rPr>
        <w:t>）和服务面积（</w:t>
      </w:r>
      <w:r>
        <w:rPr>
          <w:rFonts w:hint="eastAsia" w:ascii="宋体" w:hAnsi="宋体" w:eastAsia="宋体" w:cs="宋体"/>
          <w:color w:val="auto"/>
          <w:lang w:val="en-US" w:eastAsia="zh-CN"/>
        </w:rPr>
        <w:t>㎡</w:t>
      </w:r>
      <w:r>
        <w:rPr>
          <w:rFonts w:hint="eastAsia" w:ascii="宋体" w:hAnsi="宋体" w:eastAsia="宋体" w:cs="宋体"/>
          <w:color w:val="auto"/>
        </w:rPr>
        <w:t>）一次性计费。</w:t>
      </w:r>
    </w:p>
    <w:p w14:paraId="07DCB4B8">
      <w:pPr>
        <w:keepNext/>
        <w:keepLines/>
        <w:spacing w:before="100" w:beforeAutospacing="1" w:after="100" w:afterAutospacing="1"/>
        <w:outlineLvl w:val="0"/>
        <w:rPr>
          <w:rFonts w:hint="eastAsia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九、保洁人员要求</w:t>
      </w:r>
    </w:p>
    <w:p w14:paraId="3FA97630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资质与健康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：全员持有效健康证，无传染性疾病；上岗前完成体检并每年复检。</w:t>
      </w:r>
    </w:p>
    <w:p w14:paraId="468E768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专业培训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：经保洁培训并考核合格，熟悉各类清洁剂使用规范及安全操作流程。</w:t>
      </w:r>
    </w:p>
    <w:p w14:paraId="5F95FBC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背景审查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：无犯罪记录，身份信息实名登记备案。</w:t>
      </w:r>
    </w:p>
    <w:p w14:paraId="3D3D9D7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着装规范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：统一工服、佩戴工牌及防滑鞋，进入客户区域前更换鞋套或专用室内鞋。</w:t>
      </w:r>
    </w:p>
    <w:p w14:paraId="3C8AFF4E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服务纪律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：不擅自动用客户私人物品，不翻阅桌面文件，不携带无关人员进入服务区域；服务期间手机静音。</w:t>
      </w:r>
    </w:p>
    <w:p w14:paraId="42329E1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专项资质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：除甲醛作业人员须持有室内环境治理相关培训证书，熟悉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光触媒、生物酶等工艺操作规范。</w:t>
      </w:r>
    </w:p>
    <w:p w14:paraId="3B98B5FD">
      <w:pPr>
        <w:keepNext/>
        <w:keepLines/>
        <w:spacing w:before="100" w:beforeAutospacing="1" w:after="100" w:afterAutospacing="1"/>
        <w:outlineLvl w:val="0"/>
        <w:rPr>
          <w:rFonts w:hint="default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十、保洁工具</w:t>
      </w:r>
    </w:p>
    <w:tbl>
      <w:tblPr>
        <w:tblW w:w="10019" w:type="dxa"/>
        <w:jc w:val="center"/>
        <w:tblCellSpacing w:w="15" w:type="dxa"/>
        <w:tblBorders>
          <w:top w:val="single" w:color="EBEBEB" w:sz="6" w:space="0"/>
          <w:left w:val="single" w:color="EBEBEB" w:sz="6" w:space="0"/>
          <w:bottom w:val="single" w:color="EBEBEB" w:sz="6" w:space="0"/>
          <w:right w:val="single" w:color="EBEBEB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4243"/>
        <w:gridCol w:w="4512"/>
      </w:tblGrid>
      <w:tr w14:paraId="2ED98AD5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tblHeader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BDF098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类别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2B443B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工具 / 耗材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C02DF8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5150CEDE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A51A4F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基础工具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E2C423E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拖把、尘推、扫帚、簸箕、水桶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563096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分区专用，不混用</w:t>
            </w:r>
          </w:p>
        </w:tc>
      </w:tr>
      <w:tr w14:paraId="0C01B61E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1900B7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擦拭工具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EB58A39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超细纤维抹布（多色）、玻璃刮、伸缩杆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AE86539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色标分区：蓝色—办公区，绿色—厨房，黄色—卫生间，红色—消毒区</w:t>
            </w:r>
          </w:p>
        </w:tc>
      </w:tr>
      <w:tr w14:paraId="7CAC19A8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FC9A76E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吸尘设备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94E1918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桶式吸尘器、手持吸尘器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E553FA9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适用于地毯、沙发、缝隙</w:t>
            </w:r>
          </w:p>
        </w:tc>
      </w:tr>
      <w:tr w14:paraId="0C098C33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A158183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清洁剂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4A79A41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中性清洁剂、玻璃清洁剂、不锈钢光亮剂、卫浴除垢剂、消毒液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A5A5972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均为环保型，带MSDS安全说明</w:t>
            </w:r>
          </w:p>
        </w:tc>
      </w:tr>
      <w:tr w14:paraId="6E612E50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31F221A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消毒设备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B14313A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背负式喷雾器、紫外线消毒灯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98F0914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公共接触面及卫生间消杀专用</w:t>
            </w:r>
          </w:p>
        </w:tc>
      </w:tr>
      <w:tr w14:paraId="09991E9C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654DEA4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除甲醛专用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E8B7E62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光触媒喷涂机、空气检测仪、防护口罩/手套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BF726CA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仅除甲醛作业使用</w:t>
            </w:r>
          </w:p>
        </w:tc>
      </w:tr>
      <w:tr w14:paraId="1BD40DD9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tblCellSpacing w:w="15" w:type="dxa"/>
          <w:jc w:val="center"/>
        </w:trPr>
        <w:tc>
          <w:tcPr>
            <w:tcW w:w="0" w:type="auto"/>
            <w:tcBorders>
              <w:bottom w:val="nil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A352E1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耗材</w:t>
            </w:r>
          </w:p>
        </w:tc>
        <w:tc>
          <w:tcPr>
            <w:tcW w:w="0" w:type="auto"/>
            <w:tcBorders>
              <w:bottom w:val="nil"/>
              <w:right w:val="single" w:color="EBEBEB" w:sz="6" w:space="0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B0DAEC0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垃圾袋（分类色标）、鞋套、一次性手套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EE822E7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每次服务更换</w:t>
            </w:r>
          </w:p>
        </w:tc>
      </w:tr>
    </w:tbl>
    <w:p w14:paraId="3D1EBF04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72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</w:rPr>
        <w:t>色标管理原则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</w:rPr>
        <w:t>：抹布、拖布头按区域颜色区分，严禁跨区使用，使用后统一回收清洗消毒。</w:t>
      </w:r>
    </w:p>
    <w:p w14:paraId="6BE720D2">
      <w:pPr>
        <w:keepNext/>
        <w:keepLines/>
        <w:spacing w:before="100" w:beforeAutospacing="1" w:after="100" w:afterAutospacing="1"/>
        <w:outlineLvl w:val="0"/>
        <w:rPr>
          <w:rFonts w:hint="default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十一、除甲醛标准</w:t>
      </w:r>
    </w:p>
    <w:p w14:paraId="12E9C151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施工前检测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：采用甲醛检测仪对室内各房间进行浓度初测，记录基准值并出具检测报告。</w:t>
      </w:r>
    </w:p>
    <w:p w14:paraId="4D2AAAB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施工标准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</w:t>
      </w:r>
    </w:p>
    <w:p w14:paraId="253FEAD3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right="0" w:rightChars="0" w:firstLine="440" w:firstLineChars="20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治理范围覆盖墙面、天花板、家具内外表面、窗帘、地毯等甲醛释放源。</w:t>
      </w:r>
    </w:p>
    <w:p w14:paraId="1FC9882A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Chars="200" w:right="0" w:right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采用光触媒 + 生物酶复合工艺，喷涂均匀无遗漏，重点处理家具接缝、抽屉内部等隐蔽释放面。</w:t>
      </w:r>
    </w:p>
    <w:p w14:paraId="5F144A67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Chars="200" w:right="0" w:right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施工后密闭 24 小时促进反应，随后通风 48—72 小时。</w:t>
      </w:r>
    </w:p>
    <w:p w14:paraId="6C753B21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验收标准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（依据 GB/T 18883-2022《室内空气质量标准》）：</w:t>
      </w:r>
    </w:p>
    <w:p w14:paraId="0AB6F264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Chars="200" w:right="0" w:right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甲醛 ≤ 0.08 mg/m³（关闭门窗 1 小时后检测）</w:t>
      </w:r>
    </w:p>
    <w:p w14:paraId="7EF82442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Chars="200" w:right="0" w:right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TVOC ≤ 0.50 mg/m³</w:t>
      </w:r>
    </w:p>
    <w:p w14:paraId="0CB7A762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Chars="200" w:right="0" w:right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苯 ≤ 0.03 mg/m³</w:t>
      </w:r>
    </w:p>
    <w:p w14:paraId="65746E8D">
      <w:pPr>
        <w:keepNext w:val="0"/>
        <w:keepLines w:val="0"/>
        <w:widowControl/>
        <w:numPr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Chars="200" w:right="0" w:right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施工后 7 个工作日内复测，达标后出具验收报告。</w:t>
      </w:r>
    </w:p>
    <w:p w14:paraId="1C14A6EE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质保期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：验收合格后提供 12 个月质保，质保期内出现超标可免费复治一次。</w:t>
      </w:r>
    </w:p>
    <w:p w14:paraId="7D560914">
      <w:pPr>
        <w:keepNext/>
        <w:keepLines/>
        <w:spacing w:before="100" w:beforeAutospacing="1" w:after="100" w:afterAutospacing="1"/>
        <w:outlineLvl w:val="0"/>
        <w:rPr>
          <w:rFonts w:hint="default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十二、保险保障</w:t>
      </w:r>
    </w:p>
    <w:p w14:paraId="59F65D3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从业人员意外险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：每位保洁人员投保雇主责任险 / 人身意外伤害险，保额不低于 50 万元/人，覆盖上门服务全周期。</w:t>
      </w:r>
    </w:p>
    <w:p w14:paraId="6FC9D5B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第三方责任险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：投保公众责任险，保额不低于 100 万元/次，赔偿因保洁作业导致第三方人身伤害或财产损失。</w:t>
      </w:r>
    </w:p>
    <w:p w14:paraId="37DB33B0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客户财产保障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：服务期间因保洁人员操作不当造成客户物品损坏的，按原价赔付，单次事故赔付上限 5 万元；贵重物品（单价超 5000 元）建议客户提前自行保管或单独投保。</w:t>
      </w:r>
    </w:p>
    <w:p w14:paraId="6930415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理赔流程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：事故发生后 24 小时内报备 → 48 小时内现场取证 → 5 个工作日内定损 → 10 个工作日内完成赔付。</w:t>
      </w:r>
    </w:p>
    <w:p w14:paraId="433FA610">
      <w:pPr>
        <w:jc w:val="left"/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40"/>
      </w:pPr>
      <w:r>
        <w:separator/>
      </w:r>
    </w:p>
  </w:endnote>
  <w:endnote w:type="continuationSeparator" w:id="1">
    <w:p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40"/>
      </w:pPr>
      <w:r>
        <w:separator/>
      </w:r>
    </w:p>
  </w:footnote>
  <w:footnote w:type="continuationSeparator" w:id="1">
    <w:p>
      <w:pPr>
        <w:spacing w:line="360" w:lineRule="auto"/>
        <w:ind w:firstLine="4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9ADBB8"/>
    <w:multiLevelType w:val="multilevel"/>
    <w:tmpl w:val="CF9ADBB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1A3BFD9"/>
    <w:multiLevelType w:val="multilevel"/>
    <w:tmpl w:val="E1A3BF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053208E"/>
    <w:multiLevelType w:val="singleLevel"/>
    <w:tmpl w:val="0053208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015443DD"/>
    <w:multiLevelType w:val="multilevel"/>
    <w:tmpl w:val="015443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E9760CE"/>
    <w:rsid w:val="1872219C"/>
    <w:rsid w:val="4BFA0524"/>
    <w:rsid w:val="5CCF362B"/>
    <w:rsid w:val="61CE201E"/>
    <w:rsid w:val="643900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微软雅黑" w:hAnsi="微软雅黑" w:eastAsia="微软雅黑" w:cs="微软雅黑"/>
      <w:sz w:val="22"/>
      <w:szCs w:val="22"/>
    </w:rPr>
  </w:style>
  <w:style w:type="paragraph" w:styleId="2">
    <w:name w:val="heading 1"/>
    <w:next w:val="1"/>
    <w:qFormat/>
    <w:uiPriority w:val="0"/>
    <w:rPr>
      <w:rFonts w:ascii="微软雅黑" w:hAnsi="微软雅黑" w:eastAsia="微软雅黑" w:cs="微软雅黑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微软雅黑" w:hAnsi="微软雅黑" w:eastAsia="微软雅黑" w:cs="微软雅黑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微软雅黑" w:hAnsi="微软雅黑" w:eastAsia="微软雅黑" w:cs="微软雅黑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微软雅黑" w:hAnsi="微软雅黑" w:eastAsia="微软雅黑" w:cs="微软雅黑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微软雅黑" w:hAnsi="微软雅黑" w:eastAsia="微软雅黑" w:cs="微软雅黑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微软雅黑" w:hAnsi="微软雅黑" w:eastAsia="微软雅黑" w:cs="微软雅黑"/>
      <w:color w:val="1F4D78"/>
      <w:sz w:val="22"/>
      <w:szCs w:val="2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9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10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rPr>
      <w:rFonts w:ascii="微软雅黑" w:hAnsi="微软雅黑" w:eastAsia="微软雅黑" w:cs="微软雅黑"/>
      <w:sz w:val="56"/>
      <w:szCs w:val="56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563C1"/>
      <w:u w:val="single"/>
    </w:rPr>
  </w:style>
  <w:style w:type="character" w:styleId="17">
    <w:name w:val="footnote reference"/>
    <w:semiHidden/>
    <w:unhideWhenUsed/>
    <w:uiPriority w:val="99"/>
    <w:rPr>
      <w:vertAlign w:val="superscript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  <w:style w:type="character" w:customStyle="1" w:styleId="19">
    <w:name w:val="Footnote Text Char"/>
    <w:link w:val="9"/>
    <w:semiHidden/>
    <w:unhideWhenUsed/>
    <w:qFormat/>
    <w:uiPriority w:val="99"/>
    <w:rPr>
      <w:sz w:val="20"/>
      <w:szCs w:val="20"/>
    </w:rPr>
  </w:style>
  <w:style w:type="paragraph" w:styleId="20">
    <w:name w:val="List Paragraph"/>
    <w:qFormat/>
    <w:uiPriority w:val="0"/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1467</Words>
  <Characters>1551</Characters>
  <TotalTime>193</TotalTime>
  <ScaleCrop>false</ScaleCrop>
  <LinksUpToDate>false</LinksUpToDate>
  <CharactersWithSpaces>1647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2026-08-07T13:43:00Z</dcterms:created>
  <dc:creator>HUAWEI</dc:creator>
  <cp:lastModifiedBy>雅君</cp:lastModifiedBy>
  <dcterms:modified xsi:type="dcterms:W3CDTF">2026-08-17T02:20:06Z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eyJoZGlkIjoiM2YyZTdmYzU5NDcyODg5YzMzN2VkOWU4MmJkYWQ0MzQiLCJ1c2VySWQiOiI1NzQ1NjkwNTgifQ==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7DA4C5CB51454D16B2083B74377BE11F_12</vt:lpwstr>
  </property>
</Properties>
</file>