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FEF815">
      <w:pPr>
        <w:spacing w:line="312" w:lineRule="auto"/>
        <w:ind w:firstLine="522" w:firstLineChars="100"/>
        <w:jc w:val="center"/>
        <w:rPr>
          <w:rFonts w:hint="eastAsia" w:ascii="宋体" w:hAnsi="宋体"/>
          <w:b/>
          <w:sz w:val="52"/>
          <w:szCs w:val="52"/>
          <w:u w:val="single"/>
        </w:rPr>
      </w:pPr>
    </w:p>
    <w:p w14:paraId="7A2E31E4">
      <w:pPr>
        <w:spacing w:line="312" w:lineRule="auto"/>
        <w:ind w:firstLine="522" w:firstLineChars="100"/>
        <w:jc w:val="center"/>
        <w:rPr>
          <w:rFonts w:hint="eastAsia" w:ascii="宋体" w:hAnsi="宋体"/>
          <w:b/>
          <w:sz w:val="52"/>
          <w:szCs w:val="52"/>
          <w:u w:val="single"/>
        </w:rPr>
      </w:pPr>
    </w:p>
    <w:p w14:paraId="1FA11BFA">
      <w:pPr>
        <w:spacing w:line="312" w:lineRule="auto"/>
        <w:ind w:firstLine="522" w:firstLineChars="100"/>
        <w:jc w:val="center"/>
        <w:rPr>
          <w:rFonts w:hint="eastAsia" w:ascii="宋体" w:hAnsi="宋体"/>
          <w:b/>
          <w:sz w:val="52"/>
          <w:szCs w:val="52"/>
        </w:rPr>
      </w:pPr>
      <w:r>
        <w:rPr>
          <w:rFonts w:hint="eastAsia" w:ascii="宋体" w:hAnsi="宋体"/>
          <w:b/>
          <w:sz w:val="52"/>
          <w:szCs w:val="52"/>
        </w:rPr>
        <w:t>黑白面将军山（南湾首府二期段）应急防火通道边坡喷播草籽绿化工程</w:t>
      </w:r>
    </w:p>
    <w:p w14:paraId="41743D85">
      <w:pPr>
        <w:spacing w:line="312" w:lineRule="auto"/>
        <w:ind w:firstLine="522" w:firstLineChars="100"/>
        <w:jc w:val="center"/>
        <w:rPr>
          <w:rFonts w:hint="eastAsia" w:ascii="宋体" w:hAnsi="宋体"/>
          <w:b/>
          <w:sz w:val="52"/>
          <w:szCs w:val="52"/>
        </w:rPr>
      </w:pPr>
      <w:r>
        <w:rPr>
          <w:rFonts w:hint="eastAsia" w:ascii="宋体" w:hAnsi="宋体"/>
          <w:b/>
          <w:sz w:val="52"/>
          <w:szCs w:val="52"/>
        </w:rPr>
        <w:t>技术任务书</w:t>
      </w:r>
    </w:p>
    <w:p w14:paraId="6C63F066">
      <w:pPr>
        <w:pStyle w:val="2"/>
      </w:pPr>
    </w:p>
    <w:p w14:paraId="6DA2D268">
      <w:pPr>
        <w:spacing w:line="480" w:lineRule="exact"/>
        <w:rPr>
          <w:rFonts w:hint="eastAsia" w:ascii="宋体" w:hAnsi="宋体"/>
          <w:b/>
          <w:spacing w:val="86"/>
          <w:sz w:val="28"/>
          <w:szCs w:val="28"/>
        </w:rPr>
      </w:pPr>
    </w:p>
    <w:p w14:paraId="116B4F34">
      <w:pPr>
        <w:pStyle w:val="2"/>
        <w:rPr>
          <w:rFonts w:hint="eastAsia"/>
        </w:rPr>
      </w:pPr>
    </w:p>
    <w:p w14:paraId="5D004735">
      <w:pPr>
        <w:pStyle w:val="2"/>
        <w:rPr>
          <w:rFonts w:hint="eastAsia"/>
        </w:rPr>
      </w:pPr>
    </w:p>
    <w:p w14:paraId="13586DDF">
      <w:pPr>
        <w:pStyle w:val="2"/>
        <w:ind w:firstLine="422"/>
        <w:rPr>
          <w:rFonts w:hint="eastAsia"/>
          <w:b/>
        </w:rPr>
      </w:pPr>
    </w:p>
    <w:p w14:paraId="74709154">
      <w:pPr>
        <w:spacing w:line="480" w:lineRule="exact"/>
        <w:ind w:firstLine="1359" w:firstLineChars="300"/>
        <w:rPr>
          <w:rFonts w:hint="eastAsia" w:ascii="宋体" w:hAnsi="宋体"/>
          <w:b/>
          <w:spacing w:val="86"/>
          <w:sz w:val="22"/>
          <w:szCs w:val="22"/>
        </w:rPr>
      </w:pPr>
      <w:r>
        <w:rPr>
          <w:rFonts w:hint="eastAsia" w:ascii="宋体" w:hAnsi="宋体"/>
          <w:b/>
          <w:spacing w:val="86"/>
          <w:sz w:val="28"/>
          <w:szCs w:val="28"/>
        </w:rPr>
        <w:t>编制（ 项目部 ）:</w:t>
      </w:r>
      <w:r>
        <w:rPr>
          <w:rFonts w:hint="eastAsia" w:ascii="宋体" w:hAnsi="宋体"/>
          <w:b/>
          <w:spacing w:val="86"/>
          <w:sz w:val="22"/>
          <w:szCs w:val="22"/>
          <w:u w:val="single"/>
        </w:rPr>
        <w:t>　     　 　  　</w:t>
      </w:r>
    </w:p>
    <w:p w14:paraId="53B439CC">
      <w:pPr>
        <w:spacing w:line="480" w:lineRule="exact"/>
        <w:ind w:firstLine="689" w:firstLineChars="152"/>
        <w:jc w:val="center"/>
        <w:rPr>
          <w:rFonts w:hint="eastAsia" w:ascii="宋体" w:hAnsi="宋体"/>
          <w:b/>
          <w:spacing w:val="86"/>
          <w:sz w:val="28"/>
          <w:szCs w:val="28"/>
        </w:rPr>
      </w:pPr>
    </w:p>
    <w:p w14:paraId="18BAFCD4">
      <w:pPr>
        <w:spacing w:line="480" w:lineRule="exact"/>
        <w:ind w:firstLine="1359" w:firstLineChars="300"/>
        <w:rPr>
          <w:rFonts w:hint="eastAsia" w:ascii="宋体" w:hAnsi="宋体"/>
          <w:b/>
          <w:spacing w:val="86"/>
          <w:sz w:val="15"/>
          <w:szCs w:val="15"/>
          <w:u w:val="single"/>
        </w:rPr>
      </w:pPr>
      <w:r>
        <w:rPr>
          <w:rFonts w:hint="eastAsia" w:ascii="宋体" w:hAnsi="宋体"/>
          <w:b/>
          <w:spacing w:val="86"/>
          <w:sz w:val="28"/>
          <w:szCs w:val="28"/>
        </w:rPr>
        <w:t xml:space="preserve">审核（ </w:t>
      </w:r>
      <w:r>
        <w:rPr>
          <w:rFonts w:hint="eastAsia" w:ascii="宋体" w:hAnsi="宋体"/>
          <w:b/>
          <w:spacing w:val="57"/>
          <w:sz w:val="28"/>
          <w:szCs w:val="28"/>
        </w:rPr>
        <w:t xml:space="preserve">项目总监 </w:t>
      </w:r>
      <w:r>
        <w:rPr>
          <w:rFonts w:hint="eastAsia" w:ascii="宋体" w:hAnsi="宋体"/>
          <w:b/>
          <w:spacing w:val="86"/>
          <w:sz w:val="28"/>
          <w:szCs w:val="28"/>
        </w:rPr>
        <w:t>）:</w:t>
      </w:r>
      <w:r>
        <w:rPr>
          <w:rFonts w:hint="eastAsia" w:ascii="宋体" w:hAnsi="宋体"/>
          <w:b/>
          <w:spacing w:val="86"/>
          <w:sz w:val="15"/>
          <w:szCs w:val="15"/>
          <w:u w:val="single"/>
        </w:rPr>
        <w:t xml:space="preserve">　　　           </w:t>
      </w:r>
    </w:p>
    <w:p w14:paraId="17872A23">
      <w:pPr>
        <w:spacing w:line="480" w:lineRule="exact"/>
        <w:ind w:firstLine="210" w:firstLineChars="100"/>
        <w:rPr>
          <w:rFonts w:hint="eastAsia" w:ascii="宋体" w:hAnsi="宋体"/>
          <w:b/>
          <w:spacing w:val="86"/>
          <w:sz w:val="28"/>
          <w:szCs w:val="28"/>
        </w:rPr>
      </w:pPr>
      <w:r>
        <w:rPr>
          <w:rFonts w:hint="eastAsia"/>
        </w:rPr>
        <w:t xml:space="preserve"> </w:t>
      </w:r>
      <w:r>
        <w:rPr>
          <w:rFonts w:hint="eastAsia" w:ascii="宋体" w:hAnsi="宋体"/>
          <w:b/>
          <w:spacing w:val="86"/>
          <w:sz w:val="28"/>
          <w:szCs w:val="28"/>
        </w:rPr>
        <w:t xml:space="preserve"> </w:t>
      </w:r>
    </w:p>
    <w:p w14:paraId="5A6AAE2A">
      <w:pPr>
        <w:spacing w:line="480" w:lineRule="exact"/>
        <w:ind w:firstLine="1359" w:firstLineChars="300"/>
        <w:rPr>
          <w:rFonts w:hint="eastAsia" w:ascii="宋体" w:hAnsi="宋体"/>
          <w:b/>
          <w:spacing w:val="86"/>
          <w:sz w:val="18"/>
          <w:szCs w:val="18"/>
          <w:u w:val="single"/>
        </w:rPr>
      </w:pPr>
      <w:r>
        <w:rPr>
          <w:rFonts w:hint="eastAsia" w:ascii="宋体" w:hAnsi="宋体"/>
          <w:b/>
          <w:spacing w:val="86"/>
          <w:sz w:val="28"/>
          <w:szCs w:val="28"/>
        </w:rPr>
        <w:t>审核（工程管理中心）:</w:t>
      </w:r>
      <w:r>
        <w:rPr>
          <w:rFonts w:hint="eastAsia" w:ascii="宋体" w:hAnsi="宋体"/>
          <w:b/>
          <w:spacing w:val="86"/>
          <w:sz w:val="18"/>
          <w:szCs w:val="18"/>
          <w:u w:val="single"/>
        </w:rPr>
        <w:t xml:space="preserve">　　　        </w:t>
      </w:r>
    </w:p>
    <w:p w14:paraId="737996C0">
      <w:pPr>
        <w:spacing w:line="480" w:lineRule="exact"/>
        <w:ind w:firstLine="453" w:firstLineChars="100"/>
        <w:rPr>
          <w:rFonts w:hint="eastAsia" w:ascii="宋体" w:hAnsi="宋体"/>
          <w:b/>
          <w:spacing w:val="86"/>
          <w:sz w:val="28"/>
          <w:szCs w:val="28"/>
        </w:rPr>
      </w:pPr>
    </w:p>
    <w:p w14:paraId="4F2E4450">
      <w:pPr>
        <w:ind w:firstLine="1359" w:firstLineChars="300"/>
        <w:rPr>
          <w:rFonts w:hint="eastAsia" w:ascii="宋体" w:hAnsi="宋体"/>
          <w:b/>
          <w:spacing w:val="86"/>
          <w:sz w:val="15"/>
          <w:szCs w:val="15"/>
          <w:u w:val="single"/>
        </w:rPr>
      </w:pPr>
      <w:r>
        <w:rPr>
          <w:rFonts w:hint="eastAsia" w:ascii="宋体" w:hAnsi="宋体"/>
          <w:b/>
          <w:spacing w:val="86"/>
          <w:sz w:val="28"/>
          <w:szCs w:val="28"/>
        </w:rPr>
        <w:t>审核（工管中心负责人）:</w:t>
      </w:r>
      <w:r>
        <w:rPr>
          <w:rFonts w:hint="eastAsia" w:ascii="宋体" w:hAnsi="宋体"/>
          <w:b/>
          <w:spacing w:val="86"/>
          <w:sz w:val="15"/>
          <w:szCs w:val="15"/>
          <w:u w:val="single"/>
        </w:rPr>
        <w:t xml:space="preserve">　　　       </w:t>
      </w:r>
    </w:p>
    <w:p w14:paraId="05CB1611">
      <w:pPr>
        <w:spacing w:line="480" w:lineRule="exact"/>
        <w:jc w:val="left"/>
        <w:rPr>
          <w:rFonts w:hint="eastAsia" w:ascii="宋体" w:hAnsi="宋体"/>
          <w:b/>
          <w:spacing w:val="86"/>
          <w:sz w:val="28"/>
          <w:szCs w:val="28"/>
        </w:rPr>
      </w:pPr>
    </w:p>
    <w:p w14:paraId="20E55BF8">
      <w:pPr>
        <w:pStyle w:val="2"/>
        <w:ind w:firstLine="0" w:firstLineChars="0"/>
        <w:rPr>
          <w:rFonts w:hint="eastAsia" w:ascii="宋体" w:hAnsi="宋体"/>
          <w:b/>
          <w:spacing w:val="86"/>
          <w:sz w:val="28"/>
          <w:szCs w:val="28"/>
        </w:rPr>
      </w:pPr>
    </w:p>
    <w:p w14:paraId="196F3BE0">
      <w:pPr>
        <w:pStyle w:val="2"/>
        <w:ind w:firstLine="0" w:firstLineChars="0"/>
        <w:rPr>
          <w:rFonts w:hint="eastAsia" w:ascii="宋体" w:hAnsi="宋体"/>
          <w:b/>
          <w:spacing w:val="86"/>
          <w:sz w:val="28"/>
          <w:szCs w:val="28"/>
        </w:rPr>
      </w:pPr>
    </w:p>
    <w:p w14:paraId="16B98F24">
      <w:pPr>
        <w:spacing w:line="360" w:lineRule="auto"/>
        <w:jc w:val="center"/>
        <w:rPr>
          <w:rFonts w:ascii="黑体" w:eastAsia="黑体"/>
          <w:b/>
          <w:color w:val="000000"/>
          <w:sz w:val="44"/>
          <w:szCs w:val="44"/>
        </w:rPr>
      </w:pPr>
      <w:r>
        <w:rPr>
          <w:rFonts w:hint="eastAsia" w:ascii="宋体" w:hAnsi="宋体"/>
          <w:b/>
          <w:spacing w:val="86"/>
          <w:sz w:val="28"/>
          <w:szCs w:val="28"/>
        </w:rPr>
        <w:t xml:space="preserve"> </w:t>
      </w:r>
      <w:r>
        <w:rPr>
          <w:rFonts w:hint="eastAsia" w:ascii="宋体" w:hAnsi="宋体" w:cs="宋体"/>
          <w:b/>
          <w:spacing w:val="86"/>
          <w:sz w:val="28"/>
          <w:szCs w:val="28"/>
        </w:rPr>
        <w:t xml:space="preserve"> </w:t>
      </w:r>
      <w:bookmarkStart w:id="0" w:name="_Toc17408"/>
      <w:bookmarkStart w:id="1" w:name="_Toc24707"/>
      <w:r>
        <w:rPr>
          <w:rFonts w:hint="eastAsia" w:ascii="宋体" w:hAnsi="宋体" w:cs="宋体"/>
          <w:b/>
          <w:spacing w:val="86"/>
          <w:sz w:val="28"/>
          <w:szCs w:val="28"/>
        </w:rPr>
        <w:t xml:space="preserve"> </w:t>
      </w:r>
      <w:bookmarkEnd w:id="0"/>
      <w:bookmarkEnd w:id="1"/>
      <w:r>
        <w:rPr>
          <w:rFonts w:hint="eastAsia" w:ascii="黑体" w:eastAsia="黑体"/>
          <w:snapToGrid w:val="0"/>
          <w:w w:val="80"/>
          <w:kern w:val="18"/>
          <w:sz w:val="32"/>
          <w:szCs w:val="32"/>
        </w:rPr>
        <w:t xml:space="preserve">年 </w:t>
      </w:r>
      <w:r>
        <w:rPr>
          <w:rFonts w:ascii="黑体" w:eastAsia="黑体"/>
          <w:snapToGrid w:val="0"/>
          <w:w w:val="80"/>
          <w:kern w:val="18"/>
          <w:sz w:val="32"/>
          <w:szCs w:val="32"/>
        </w:rPr>
        <w:t xml:space="preserve">       </w:t>
      </w:r>
      <w:r>
        <w:rPr>
          <w:rFonts w:hint="eastAsia" w:ascii="黑体" w:eastAsia="黑体"/>
          <w:snapToGrid w:val="0"/>
          <w:w w:val="80"/>
          <w:kern w:val="18"/>
          <w:sz w:val="32"/>
          <w:szCs w:val="32"/>
        </w:rPr>
        <w:t xml:space="preserve">月 </w:t>
      </w:r>
      <w:r>
        <w:rPr>
          <w:rFonts w:ascii="黑体" w:eastAsia="黑体"/>
          <w:snapToGrid w:val="0"/>
          <w:w w:val="80"/>
          <w:kern w:val="18"/>
          <w:sz w:val="32"/>
          <w:szCs w:val="32"/>
        </w:rPr>
        <w:t xml:space="preserve">       </w:t>
      </w:r>
      <w:r>
        <w:rPr>
          <w:rFonts w:hint="eastAsia" w:ascii="黑体" w:eastAsia="黑体"/>
          <w:snapToGrid w:val="0"/>
          <w:w w:val="80"/>
          <w:kern w:val="18"/>
          <w:sz w:val="32"/>
          <w:szCs w:val="32"/>
        </w:rPr>
        <w:t>日</w:t>
      </w:r>
    </w:p>
    <w:p w14:paraId="49525962">
      <w:pPr>
        <w:pStyle w:val="3"/>
        <w:rPr>
          <w:rFonts w:hint="eastAsia"/>
          <w:b/>
          <w:sz w:val="28"/>
          <w:szCs w:val="28"/>
        </w:rPr>
      </w:pPr>
    </w:p>
    <w:p w14:paraId="3E64BC8A">
      <w:pPr>
        <w:spacing w:line="312" w:lineRule="auto"/>
        <w:rPr>
          <w:rFonts w:hint="eastAsia" w:ascii="黑体" w:eastAsia="黑体"/>
          <w:snapToGrid w:val="0"/>
          <w:w w:val="80"/>
          <w:kern w:val="18"/>
          <w:sz w:val="44"/>
        </w:rPr>
      </w:pPr>
    </w:p>
    <w:p w14:paraId="6E08ADCF">
      <w:pPr>
        <w:rPr>
          <w:rFonts w:ascii="宋体" w:hAnsi="宋体"/>
          <w:b/>
          <w:bCs/>
          <w:sz w:val="28"/>
          <w:szCs w:val="28"/>
        </w:rPr>
        <w:sectPr>
          <w:footerReference r:id="rId5" w:type="first"/>
          <w:headerReference r:id="rId3" w:type="default"/>
          <w:footerReference r:id="rId4" w:type="default"/>
          <w:pgSz w:w="11906" w:h="16838"/>
          <w:pgMar w:top="1304" w:right="1418" w:bottom="1304" w:left="1417" w:header="851" w:footer="992" w:gutter="0"/>
          <w:cols w:space="720" w:num="1"/>
          <w:docGrid w:type="lines" w:linePitch="312" w:charSpace="0"/>
        </w:sectPr>
      </w:pPr>
    </w:p>
    <w:p w14:paraId="6DA575B2">
      <w:pPr>
        <w:jc w:val="center"/>
        <w:rPr>
          <w:rFonts w:hint="eastAsia" w:ascii="宋体" w:hAnsi="宋体"/>
          <w:b/>
          <w:bCs/>
          <w:sz w:val="36"/>
          <w:szCs w:val="36"/>
        </w:rPr>
      </w:pPr>
      <w:r>
        <w:rPr>
          <w:rFonts w:hint="eastAsia" w:ascii="宋体" w:hAnsi="宋体"/>
          <w:b/>
          <w:bCs/>
          <w:sz w:val="36"/>
          <w:szCs w:val="36"/>
        </w:rPr>
        <w:t>目录</w:t>
      </w:r>
    </w:p>
    <w:p w14:paraId="499ADCB8">
      <w:pPr>
        <w:pStyle w:val="19"/>
        <w:tabs>
          <w:tab w:val="right" w:leader="dot" w:pos="9071"/>
        </w:tabs>
      </w:pPr>
      <w:r>
        <w:rPr>
          <w:sz w:val="24"/>
        </w:rPr>
        <w:fldChar w:fldCharType="begin"/>
      </w:r>
      <w:r>
        <w:rPr>
          <w:sz w:val="24"/>
        </w:rPr>
        <w:instrText xml:space="preserve">TOC \o "1-2" \h \u </w:instrText>
      </w:r>
      <w:r>
        <w:rPr>
          <w:sz w:val="24"/>
        </w:rPr>
        <w:fldChar w:fldCharType="separate"/>
      </w:r>
    </w:p>
    <w:p w14:paraId="3E00D6ED">
      <w:pPr>
        <w:pStyle w:val="19"/>
        <w:tabs>
          <w:tab w:val="right" w:leader="dot" w:pos="9071"/>
        </w:tabs>
        <w:spacing w:line="480" w:lineRule="auto"/>
        <w:rPr>
          <w:rFonts w:hint="eastAsia" w:ascii="宋体" w:hAnsi="宋体" w:cs="宋体"/>
          <w:sz w:val="32"/>
          <w:szCs w:val="32"/>
        </w:rPr>
      </w:pPr>
      <w:r>
        <w:rPr>
          <w:rFonts w:hint="eastAsia" w:ascii="宋体" w:hAnsi="宋体" w:cs="宋体"/>
          <w:sz w:val="32"/>
          <w:szCs w:val="32"/>
        </w:rPr>
        <w:fldChar w:fldCharType="begin"/>
      </w:r>
      <w:r>
        <w:rPr>
          <w:rFonts w:hint="eastAsia" w:ascii="宋体" w:hAnsi="宋体" w:cs="宋体"/>
          <w:sz w:val="32"/>
          <w:szCs w:val="32"/>
        </w:rPr>
        <w:instrText xml:space="preserve"> HYPERLINK \l _Toc3297 </w:instrText>
      </w:r>
      <w:r>
        <w:rPr>
          <w:rFonts w:hint="eastAsia" w:ascii="宋体" w:hAnsi="宋体" w:cs="宋体"/>
          <w:sz w:val="32"/>
          <w:szCs w:val="32"/>
        </w:rPr>
        <w:fldChar w:fldCharType="separate"/>
      </w:r>
      <w:r>
        <w:rPr>
          <w:rFonts w:hint="eastAsia" w:ascii="宋体" w:hAnsi="宋体" w:cs="宋体"/>
          <w:sz w:val="32"/>
          <w:szCs w:val="32"/>
        </w:rPr>
        <w:t>一</w:t>
      </w:r>
      <w:r>
        <w:rPr>
          <w:rFonts w:hint="eastAsia" w:ascii="宋体" w:hAnsi="宋体" w:cs="宋体"/>
          <w:sz w:val="32"/>
          <w:szCs w:val="32"/>
          <w:lang w:val="zh-CN"/>
        </w:rPr>
        <w:t>、</w:t>
      </w:r>
      <w:r>
        <w:rPr>
          <w:rFonts w:hint="eastAsia" w:ascii="宋体" w:hAnsi="宋体" w:cs="宋体"/>
          <w:sz w:val="32"/>
          <w:szCs w:val="32"/>
        </w:rPr>
        <w:t>工程</w:t>
      </w:r>
      <w:r>
        <w:rPr>
          <w:rFonts w:hint="eastAsia" w:ascii="宋体" w:hAnsi="宋体" w:cs="宋体"/>
          <w:sz w:val="32"/>
          <w:szCs w:val="32"/>
          <w:lang w:val="zh-CN"/>
        </w:rPr>
        <w:t>概况</w:t>
      </w:r>
      <w:r>
        <w:rPr>
          <w:rFonts w:hint="eastAsia" w:ascii="宋体" w:hAnsi="宋体" w:cs="宋体"/>
          <w:sz w:val="32"/>
          <w:szCs w:val="32"/>
        </w:rPr>
        <w:tab/>
      </w:r>
      <w:r>
        <w:rPr>
          <w:rFonts w:hint="eastAsia" w:ascii="宋体" w:hAnsi="宋体" w:cs="宋体"/>
          <w:sz w:val="32"/>
          <w:szCs w:val="32"/>
        </w:rPr>
        <w:fldChar w:fldCharType="begin"/>
      </w:r>
      <w:r>
        <w:rPr>
          <w:rFonts w:hint="eastAsia" w:ascii="宋体" w:hAnsi="宋体" w:cs="宋体"/>
          <w:sz w:val="32"/>
          <w:szCs w:val="32"/>
        </w:rPr>
        <w:instrText xml:space="preserve"> PAGEREF _Toc3297 \h </w:instrText>
      </w:r>
      <w:r>
        <w:rPr>
          <w:rFonts w:hint="eastAsia" w:ascii="宋体" w:hAnsi="宋体" w:cs="宋体"/>
          <w:sz w:val="32"/>
          <w:szCs w:val="32"/>
        </w:rPr>
        <w:fldChar w:fldCharType="separate"/>
      </w:r>
      <w:r>
        <w:rPr>
          <w:rFonts w:hint="eastAsia" w:ascii="宋体" w:hAnsi="宋体" w:cs="宋体"/>
          <w:sz w:val="32"/>
          <w:szCs w:val="32"/>
        </w:rPr>
        <w:t>2</w:t>
      </w:r>
      <w:r>
        <w:rPr>
          <w:rFonts w:hint="eastAsia" w:ascii="宋体" w:hAnsi="宋体" w:cs="宋体"/>
          <w:sz w:val="32"/>
          <w:szCs w:val="32"/>
        </w:rPr>
        <w:fldChar w:fldCharType="end"/>
      </w:r>
      <w:r>
        <w:rPr>
          <w:rFonts w:hint="eastAsia" w:ascii="宋体" w:hAnsi="宋体" w:cs="宋体"/>
          <w:sz w:val="32"/>
          <w:szCs w:val="32"/>
        </w:rPr>
        <w:fldChar w:fldCharType="end"/>
      </w:r>
    </w:p>
    <w:p w14:paraId="31A73319">
      <w:pPr>
        <w:rPr>
          <w:rFonts w:hint="eastAsia"/>
        </w:rPr>
      </w:pPr>
    </w:p>
    <w:p w14:paraId="53545DB1">
      <w:pPr>
        <w:pStyle w:val="19"/>
        <w:tabs>
          <w:tab w:val="right" w:leader="dot" w:pos="9071"/>
        </w:tabs>
        <w:spacing w:line="480" w:lineRule="auto"/>
        <w:rPr>
          <w:rFonts w:hint="eastAsia" w:ascii="宋体" w:hAnsi="宋体" w:cs="宋体"/>
          <w:sz w:val="32"/>
          <w:szCs w:val="32"/>
        </w:rPr>
      </w:pPr>
      <w:r>
        <w:rPr>
          <w:rFonts w:hint="eastAsia" w:ascii="宋体" w:hAnsi="宋体" w:cs="宋体"/>
          <w:sz w:val="32"/>
          <w:szCs w:val="32"/>
        </w:rPr>
        <w:fldChar w:fldCharType="begin"/>
      </w:r>
      <w:r>
        <w:rPr>
          <w:rFonts w:hint="eastAsia" w:ascii="宋体" w:hAnsi="宋体" w:cs="宋体"/>
          <w:sz w:val="32"/>
          <w:szCs w:val="32"/>
        </w:rPr>
        <w:instrText xml:space="preserve"> HYPERLINK \l _Toc16517 </w:instrText>
      </w:r>
      <w:r>
        <w:rPr>
          <w:rFonts w:hint="eastAsia" w:ascii="宋体" w:hAnsi="宋体" w:cs="宋体"/>
          <w:sz w:val="32"/>
          <w:szCs w:val="32"/>
        </w:rPr>
        <w:fldChar w:fldCharType="separate"/>
      </w:r>
      <w:r>
        <w:rPr>
          <w:rFonts w:hint="eastAsia" w:ascii="宋体" w:hAnsi="宋体" w:cs="宋体"/>
          <w:bCs/>
          <w:sz w:val="32"/>
          <w:szCs w:val="32"/>
        </w:rPr>
        <w:t>二、招标范围</w:t>
      </w:r>
      <w:r>
        <w:rPr>
          <w:rFonts w:hint="eastAsia" w:ascii="宋体" w:hAnsi="宋体" w:cs="宋体"/>
          <w:sz w:val="32"/>
          <w:szCs w:val="32"/>
        </w:rPr>
        <w:tab/>
      </w:r>
      <w:r>
        <w:rPr>
          <w:rFonts w:hint="eastAsia" w:ascii="宋体" w:hAnsi="宋体" w:cs="宋体"/>
          <w:sz w:val="32"/>
          <w:szCs w:val="32"/>
        </w:rPr>
        <w:t>3</w:t>
      </w:r>
      <w:r>
        <w:rPr>
          <w:rFonts w:hint="eastAsia" w:ascii="宋体" w:hAnsi="宋体" w:cs="宋体"/>
          <w:sz w:val="32"/>
          <w:szCs w:val="32"/>
        </w:rPr>
        <w:fldChar w:fldCharType="end"/>
      </w:r>
    </w:p>
    <w:p w14:paraId="1D7D0047">
      <w:pPr>
        <w:rPr>
          <w:rFonts w:hint="eastAsia"/>
        </w:rPr>
      </w:pPr>
    </w:p>
    <w:p w14:paraId="486A6DDC">
      <w:pPr>
        <w:pStyle w:val="19"/>
        <w:tabs>
          <w:tab w:val="right" w:leader="dot" w:pos="9071"/>
        </w:tabs>
        <w:spacing w:line="480" w:lineRule="auto"/>
        <w:rPr>
          <w:rFonts w:hint="eastAsia" w:ascii="宋体" w:hAnsi="宋体" w:cs="宋体"/>
          <w:sz w:val="32"/>
          <w:szCs w:val="32"/>
        </w:rPr>
      </w:pPr>
      <w:r>
        <w:rPr>
          <w:rFonts w:hint="eastAsia" w:ascii="宋体" w:hAnsi="宋体" w:cs="宋体"/>
          <w:sz w:val="32"/>
          <w:szCs w:val="32"/>
        </w:rPr>
        <w:fldChar w:fldCharType="begin"/>
      </w:r>
      <w:r>
        <w:rPr>
          <w:rFonts w:hint="eastAsia" w:ascii="宋体" w:hAnsi="宋体" w:cs="宋体"/>
          <w:sz w:val="32"/>
          <w:szCs w:val="32"/>
        </w:rPr>
        <w:instrText xml:space="preserve"> HYPERLINK \l _Toc15463 </w:instrText>
      </w:r>
      <w:r>
        <w:rPr>
          <w:rFonts w:hint="eastAsia" w:ascii="宋体" w:hAnsi="宋体" w:cs="宋体"/>
          <w:sz w:val="32"/>
          <w:szCs w:val="32"/>
        </w:rPr>
        <w:fldChar w:fldCharType="separate"/>
      </w:r>
      <w:r>
        <w:rPr>
          <w:rFonts w:hint="eastAsia" w:ascii="宋体" w:hAnsi="宋体" w:cs="宋体"/>
          <w:bCs/>
          <w:sz w:val="32"/>
          <w:szCs w:val="32"/>
        </w:rPr>
        <w:t>三、施工管理人员和施工劳动力要求</w:t>
      </w:r>
      <w:r>
        <w:rPr>
          <w:rFonts w:hint="eastAsia" w:ascii="宋体" w:hAnsi="宋体" w:cs="宋体"/>
          <w:sz w:val="32"/>
          <w:szCs w:val="32"/>
        </w:rPr>
        <w:tab/>
      </w:r>
      <w:r>
        <w:rPr>
          <w:rFonts w:hint="eastAsia" w:ascii="宋体" w:hAnsi="宋体" w:cs="宋体"/>
          <w:sz w:val="32"/>
          <w:szCs w:val="32"/>
        </w:rPr>
        <w:t>4</w:t>
      </w:r>
      <w:r>
        <w:rPr>
          <w:rFonts w:hint="eastAsia" w:ascii="宋体" w:hAnsi="宋体" w:cs="宋体"/>
          <w:sz w:val="32"/>
          <w:szCs w:val="32"/>
        </w:rPr>
        <w:fldChar w:fldCharType="end"/>
      </w:r>
    </w:p>
    <w:p w14:paraId="0CA9F782">
      <w:pPr>
        <w:rPr>
          <w:rFonts w:hint="eastAsia"/>
        </w:rPr>
      </w:pPr>
    </w:p>
    <w:p w14:paraId="430E0ED4">
      <w:pPr>
        <w:pStyle w:val="19"/>
        <w:tabs>
          <w:tab w:val="right" w:leader="dot" w:pos="9071"/>
        </w:tabs>
        <w:spacing w:line="480" w:lineRule="auto"/>
        <w:rPr>
          <w:rFonts w:hint="eastAsia" w:ascii="宋体" w:hAnsi="宋体" w:cs="宋体"/>
          <w:sz w:val="32"/>
          <w:szCs w:val="32"/>
        </w:rPr>
      </w:pPr>
      <w:r>
        <w:rPr>
          <w:rFonts w:hint="eastAsia" w:ascii="宋体" w:hAnsi="宋体" w:cs="宋体"/>
          <w:sz w:val="32"/>
          <w:szCs w:val="32"/>
        </w:rPr>
        <w:fldChar w:fldCharType="begin"/>
      </w:r>
      <w:r>
        <w:rPr>
          <w:rFonts w:hint="eastAsia" w:ascii="宋体" w:hAnsi="宋体" w:cs="宋体"/>
          <w:sz w:val="32"/>
          <w:szCs w:val="32"/>
        </w:rPr>
        <w:instrText xml:space="preserve"> HYPERLINK \l _Toc12278 </w:instrText>
      </w:r>
      <w:r>
        <w:rPr>
          <w:rFonts w:hint="eastAsia" w:ascii="宋体" w:hAnsi="宋体" w:cs="宋体"/>
          <w:sz w:val="32"/>
          <w:szCs w:val="32"/>
        </w:rPr>
        <w:fldChar w:fldCharType="separate"/>
      </w:r>
      <w:r>
        <w:rPr>
          <w:rFonts w:hint="eastAsia" w:ascii="宋体" w:hAnsi="宋体" w:cs="宋体"/>
          <w:bCs/>
          <w:sz w:val="32"/>
          <w:szCs w:val="32"/>
        </w:rPr>
        <w:t>四、其他要求</w:t>
      </w:r>
      <w:r>
        <w:rPr>
          <w:rFonts w:hint="eastAsia" w:ascii="宋体" w:hAnsi="宋体" w:cs="宋体"/>
          <w:sz w:val="32"/>
          <w:szCs w:val="32"/>
        </w:rPr>
        <w:tab/>
      </w:r>
      <w:r>
        <w:rPr>
          <w:rFonts w:hint="eastAsia" w:ascii="宋体" w:hAnsi="宋体" w:cs="宋体"/>
          <w:sz w:val="32"/>
          <w:szCs w:val="32"/>
        </w:rPr>
        <w:fldChar w:fldCharType="begin"/>
      </w:r>
      <w:r>
        <w:rPr>
          <w:rFonts w:hint="eastAsia" w:ascii="宋体" w:hAnsi="宋体" w:cs="宋体"/>
          <w:sz w:val="32"/>
          <w:szCs w:val="32"/>
        </w:rPr>
        <w:instrText xml:space="preserve"> PAGEREF _Toc12278 \h </w:instrText>
      </w:r>
      <w:r>
        <w:rPr>
          <w:rFonts w:hint="eastAsia" w:ascii="宋体" w:hAnsi="宋体" w:cs="宋体"/>
          <w:sz w:val="32"/>
          <w:szCs w:val="32"/>
        </w:rPr>
        <w:fldChar w:fldCharType="separate"/>
      </w:r>
      <w:r>
        <w:rPr>
          <w:rFonts w:hint="eastAsia" w:ascii="宋体" w:hAnsi="宋体" w:cs="宋体"/>
          <w:sz w:val="32"/>
          <w:szCs w:val="32"/>
        </w:rPr>
        <w:t>5</w:t>
      </w:r>
      <w:r>
        <w:rPr>
          <w:rFonts w:hint="eastAsia" w:ascii="宋体" w:hAnsi="宋体" w:cs="宋体"/>
          <w:sz w:val="32"/>
          <w:szCs w:val="32"/>
        </w:rPr>
        <w:fldChar w:fldCharType="end"/>
      </w:r>
      <w:r>
        <w:rPr>
          <w:rFonts w:hint="eastAsia" w:ascii="宋体" w:hAnsi="宋体" w:cs="宋体"/>
          <w:sz w:val="32"/>
          <w:szCs w:val="32"/>
        </w:rPr>
        <w:fldChar w:fldCharType="end"/>
      </w:r>
    </w:p>
    <w:p w14:paraId="22D330F1">
      <w:pPr>
        <w:rPr>
          <w:rFonts w:hint="eastAsia"/>
        </w:rPr>
      </w:pPr>
    </w:p>
    <w:p w14:paraId="2C3780D1">
      <w:pPr>
        <w:pStyle w:val="19"/>
        <w:tabs>
          <w:tab w:val="right" w:leader="dot" w:pos="9071"/>
        </w:tabs>
        <w:spacing w:line="480" w:lineRule="auto"/>
        <w:rPr>
          <w:rFonts w:hint="eastAsia" w:ascii="宋体" w:hAnsi="宋体" w:cs="宋体"/>
          <w:sz w:val="32"/>
          <w:szCs w:val="32"/>
        </w:rPr>
      </w:pPr>
      <w:r>
        <w:rPr>
          <w:rFonts w:hint="eastAsia" w:ascii="宋体" w:hAnsi="宋体" w:cs="宋体"/>
          <w:sz w:val="32"/>
          <w:szCs w:val="32"/>
        </w:rPr>
        <w:fldChar w:fldCharType="begin"/>
      </w:r>
      <w:r>
        <w:rPr>
          <w:rFonts w:hint="eastAsia" w:ascii="宋体" w:hAnsi="宋体" w:cs="宋体"/>
          <w:sz w:val="32"/>
          <w:szCs w:val="32"/>
        </w:rPr>
        <w:instrText xml:space="preserve"> HYPERLINK \l _Toc2521 </w:instrText>
      </w:r>
      <w:r>
        <w:rPr>
          <w:rFonts w:hint="eastAsia" w:ascii="宋体" w:hAnsi="宋体" w:cs="宋体"/>
          <w:sz w:val="32"/>
          <w:szCs w:val="32"/>
        </w:rPr>
        <w:fldChar w:fldCharType="separate"/>
      </w:r>
      <w:r>
        <w:rPr>
          <w:rFonts w:hint="eastAsia" w:ascii="宋体" w:hAnsi="宋体" w:cs="宋体"/>
          <w:bCs/>
          <w:sz w:val="32"/>
          <w:szCs w:val="32"/>
        </w:rPr>
        <w:t>五、质量控制及工艺要求</w:t>
      </w:r>
      <w:r>
        <w:rPr>
          <w:rFonts w:hint="eastAsia" w:ascii="宋体" w:hAnsi="宋体" w:cs="宋体"/>
          <w:sz w:val="32"/>
          <w:szCs w:val="32"/>
        </w:rPr>
        <w:tab/>
      </w:r>
      <w:r>
        <w:rPr>
          <w:rFonts w:hint="eastAsia" w:ascii="宋体" w:hAnsi="宋体" w:cs="宋体"/>
          <w:sz w:val="32"/>
          <w:szCs w:val="32"/>
        </w:rPr>
        <w:fldChar w:fldCharType="begin"/>
      </w:r>
      <w:r>
        <w:rPr>
          <w:rFonts w:hint="eastAsia" w:ascii="宋体" w:hAnsi="宋体" w:cs="宋体"/>
          <w:sz w:val="32"/>
          <w:szCs w:val="32"/>
        </w:rPr>
        <w:instrText xml:space="preserve"> PAGEREF _Toc2521 \h </w:instrText>
      </w:r>
      <w:r>
        <w:rPr>
          <w:rFonts w:hint="eastAsia" w:ascii="宋体" w:hAnsi="宋体" w:cs="宋体"/>
          <w:sz w:val="32"/>
          <w:szCs w:val="32"/>
        </w:rPr>
        <w:fldChar w:fldCharType="separate"/>
      </w:r>
      <w:r>
        <w:rPr>
          <w:rFonts w:hint="eastAsia" w:ascii="宋体" w:hAnsi="宋体" w:cs="宋体"/>
          <w:sz w:val="32"/>
          <w:szCs w:val="32"/>
        </w:rPr>
        <w:t>7</w:t>
      </w:r>
      <w:r>
        <w:rPr>
          <w:rFonts w:hint="eastAsia" w:ascii="宋体" w:hAnsi="宋体" w:cs="宋体"/>
          <w:sz w:val="32"/>
          <w:szCs w:val="32"/>
        </w:rPr>
        <w:fldChar w:fldCharType="end"/>
      </w:r>
      <w:r>
        <w:rPr>
          <w:rFonts w:hint="eastAsia" w:ascii="宋体" w:hAnsi="宋体" w:cs="宋体"/>
          <w:sz w:val="32"/>
          <w:szCs w:val="32"/>
        </w:rPr>
        <w:fldChar w:fldCharType="end"/>
      </w:r>
    </w:p>
    <w:p w14:paraId="1069FA83">
      <w:pPr>
        <w:rPr>
          <w:rFonts w:hint="eastAsia"/>
        </w:rPr>
      </w:pPr>
    </w:p>
    <w:p w14:paraId="36D2A1FA">
      <w:pPr>
        <w:pStyle w:val="19"/>
        <w:tabs>
          <w:tab w:val="right" w:leader="dot" w:pos="9071"/>
        </w:tabs>
        <w:spacing w:line="480" w:lineRule="auto"/>
        <w:rPr>
          <w:rFonts w:hint="eastAsia" w:ascii="宋体" w:hAnsi="宋体" w:cs="宋体"/>
          <w:sz w:val="32"/>
          <w:szCs w:val="32"/>
        </w:rPr>
      </w:pPr>
      <w:r>
        <w:rPr>
          <w:rFonts w:hint="eastAsia" w:ascii="宋体" w:hAnsi="宋体" w:cs="宋体"/>
          <w:sz w:val="32"/>
          <w:szCs w:val="32"/>
        </w:rPr>
        <w:fldChar w:fldCharType="begin"/>
      </w:r>
      <w:r>
        <w:rPr>
          <w:rFonts w:hint="eastAsia" w:ascii="宋体" w:hAnsi="宋体" w:cs="宋体"/>
          <w:sz w:val="32"/>
          <w:szCs w:val="32"/>
        </w:rPr>
        <w:instrText xml:space="preserve"> HYPERLINK \l _Toc24554 </w:instrText>
      </w:r>
      <w:r>
        <w:rPr>
          <w:rFonts w:hint="eastAsia" w:ascii="宋体" w:hAnsi="宋体" w:cs="宋体"/>
          <w:sz w:val="32"/>
          <w:szCs w:val="32"/>
        </w:rPr>
        <w:fldChar w:fldCharType="separate"/>
      </w:r>
      <w:r>
        <w:rPr>
          <w:rFonts w:hint="eastAsia" w:ascii="宋体" w:hAnsi="宋体" w:cs="宋体"/>
          <w:bCs/>
          <w:sz w:val="32"/>
          <w:szCs w:val="32"/>
        </w:rPr>
        <w:t>六、施工道路、施工用水、用电要求和临时生活区的布置</w:t>
      </w:r>
      <w:r>
        <w:rPr>
          <w:rFonts w:hint="eastAsia" w:ascii="宋体" w:hAnsi="宋体" w:cs="宋体"/>
          <w:sz w:val="32"/>
          <w:szCs w:val="32"/>
        </w:rPr>
        <w:tab/>
      </w:r>
      <w:r>
        <w:rPr>
          <w:rFonts w:hint="eastAsia" w:ascii="宋体" w:hAnsi="宋体" w:cs="宋体"/>
          <w:sz w:val="32"/>
          <w:szCs w:val="32"/>
        </w:rPr>
        <w:t>1</w:t>
      </w:r>
      <w:r>
        <w:rPr>
          <w:rFonts w:hint="eastAsia" w:ascii="宋体" w:hAnsi="宋体" w:cs="宋体"/>
          <w:sz w:val="32"/>
          <w:szCs w:val="32"/>
        </w:rPr>
        <w:fldChar w:fldCharType="end"/>
      </w:r>
      <w:r>
        <w:rPr>
          <w:rFonts w:hint="eastAsia" w:ascii="宋体" w:hAnsi="宋体" w:cs="宋体"/>
          <w:sz w:val="32"/>
          <w:szCs w:val="32"/>
        </w:rPr>
        <w:t>0</w:t>
      </w:r>
    </w:p>
    <w:p w14:paraId="4D50CB9E">
      <w:pPr>
        <w:rPr>
          <w:rFonts w:hint="eastAsia"/>
        </w:rPr>
      </w:pPr>
    </w:p>
    <w:p w14:paraId="655F9214">
      <w:pPr>
        <w:pStyle w:val="19"/>
        <w:tabs>
          <w:tab w:val="right" w:leader="dot" w:pos="9071"/>
        </w:tabs>
        <w:spacing w:line="480" w:lineRule="auto"/>
        <w:rPr>
          <w:rFonts w:hint="eastAsia"/>
        </w:rPr>
      </w:pPr>
      <w:r>
        <w:rPr>
          <w:rFonts w:hint="eastAsia" w:ascii="宋体" w:hAnsi="宋体" w:cs="宋体"/>
          <w:sz w:val="32"/>
          <w:szCs w:val="32"/>
        </w:rPr>
        <w:fldChar w:fldCharType="begin"/>
      </w:r>
      <w:r>
        <w:rPr>
          <w:rFonts w:hint="eastAsia" w:ascii="宋体" w:hAnsi="宋体" w:cs="宋体"/>
          <w:sz w:val="32"/>
          <w:szCs w:val="32"/>
        </w:rPr>
        <w:instrText xml:space="preserve"> HYPERLINK \l _Toc25051 </w:instrText>
      </w:r>
      <w:r>
        <w:rPr>
          <w:rFonts w:hint="eastAsia" w:ascii="宋体" w:hAnsi="宋体" w:cs="宋体"/>
          <w:sz w:val="32"/>
          <w:szCs w:val="32"/>
        </w:rPr>
        <w:fldChar w:fldCharType="separate"/>
      </w:r>
      <w:r>
        <w:rPr>
          <w:rFonts w:hint="eastAsia" w:ascii="宋体" w:hAnsi="宋体" w:cs="宋体"/>
          <w:bCs/>
          <w:sz w:val="32"/>
          <w:szCs w:val="32"/>
        </w:rPr>
        <w:t>七、安全文明施工要求</w:t>
      </w:r>
      <w:r>
        <w:rPr>
          <w:rFonts w:hint="eastAsia" w:ascii="宋体" w:hAnsi="宋体" w:cs="宋体"/>
          <w:sz w:val="32"/>
          <w:szCs w:val="32"/>
        </w:rPr>
        <w:tab/>
      </w:r>
      <w:r>
        <w:rPr>
          <w:rFonts w:hint="eastAsia" w:ascii="宋体" w:hAnsi="宋体" w:cs="宋体"/>
          <w:sz w:val="32"/>
          <w:szCs w:val="32"/>
        </w:rPr>
        <w:t>1</w:t>
      </w:r>
      <w:r>
        <w:rPr>
          <w:rFonts w:hint="eastAsia" w:ascii="宋体" w:hAnsi="宋体" w:cs="宋体"/>
          <w:sz w:val="32"/>
          <w:szCs w:val="32"/>
        </w:rPr>
        <w:fldChar w:fldCharType="end"/>
      </w:r>
      <w:r>
        <w:rPr>
          <w:rFonts w:hint="eastAsia" w:ascii="宋体" w:hAnsi="宋体" w:cs="宋体"/>
          <w:sz w:val="32"/>
          <w:szCs w:val="32"/>
        </w:rPr>
        <w:t>1</w:t>
      </w:r>
    </w:p>
    <w:p w14:paraId="53D4EB87">
      <w:pPr>
        <w:rPr>
          <w:rFonts w:hint="eastAsia"/>
        </w:rPr>
      </w:pPr>
    </w:p>
    <w:p w14:paraId="79E104A5">
      <w:pPr>
        <w:pStyle w:val="19"/>
        <w:tabs>
          <w:tab w:val="right" w:leader="dot" w:pos="9071"/>
        </w:tabs>
        <w:spacing w:line="480" w:lineRule="auto"/>
        <w:rPr>
          <w:rFonts w:hint="eastAsia" w:ascii="宋体" w:hAnsi="宋体" w:cs="宋体"/>
          <w:sz w:val="32"/>
          <w:szCs w:val="32"/>
        </w:rPr>
      </w:pPr>
      <w:r>
        <w:rPr>
          <w:rFonts w:hint="eastAsia" w:ascii="宋体" w:hAnsi="宋体" w:cs="宋体"/>
          <w:sz w:val="32"/>
          <w:szCs w:val="32"/>
        </w:rPr>
        <w:fldChar w:fldCharType="begin"/>
      </w:r>
      <w:r>
        <w:rPr>
          <w:rFonts w:hint="eastAsia" w:ascii="宋体" w:hAnsi="宋体" w:cs="宋体"/>
          <w:sz w:val="32"/>
          <w:szCs w:val="32"/>
        </w:rPr>
        <w:instrText xml:space="preserve"> HYPERLINK \l _Toc18007 </w:instrText>
      </w:r>
      <w:r>
        <w:rPr>
          <w:rFonts w:hint="eastAsia" w:ascii="宋体" w:hAnsi="宋体" w:cs="宋体"/>
          <w:sz w:val="32"/>
          <w:szCs w:val="32"/>
        </w:rPr>
        <w:fldChar w:fldCharType="separate"/>
      </w:r>
      <w:r>
        <w:rPr>
          <w:rFonts w:hint="eastAsia" w:ascii="宋体" w:hAnsi="宋体" w:cs="宋体"/>
          <w:sz w:val="32"/>
          <w:szCs w:val="32"/>
        </w:rPr>
        <w:t>八、成品保护责任要求</w:t>
      </w:r>
      <w:r>
        <w:rPr>
          <w:rFonts w:hint="eastAsia" w:ascii="宋体" w:hAnsi="宋体" w:cs="宋体"/>
          <w:sz w:val="32"/>
          <w:szCs w:val="32"/>
        </w:rPr>
        <w:tab/>
      </w:r>
      <w:r>
        <w:rPr>
          <w:rFonts w:hint="eastAsia" w:ascii="宋体" w:hAnsi="宋体" w:cs="宋体"/>
          <w:sz w:val="32"/>
          <w:szCs w:val="32"/>
        </w:rPr>
        <w:t>1</w:t>
      </w:r>
      <w:r>
        <w:rPr>
          <w:rFonts w:hint="eastAsia" w:ascii="宋体" w:hAnsi="宋体" w:cs="宋体"/>
          <w:sz w:val="32"/>
          <w:szCs w:val="32"/>
        </w:rPr>
        <w:fldChar w:fldCharType="end"/>
      </w:r>
      <w:r>
        <w:rPr>
          <w:rFonts w:hint="eastAsia" w:ascii="宋体" w:hAnsi="宋体" w:cs="宋体"/>
          <w:sz w:val="32"/>
          <w:szCs w:val="32"/>
        </w:rPr>
        <w:t>4</w:t>
      </w:r>
    </w:p>
    <w:p w14:paraId="37927ECF">
      <w:pPr>
        <w:rPr>
          <w:rFonts w:hint="eastAsia"/>
        </w:rPr>
      </w:pPr>
    </w:p>
    <w:p w14:paraId="2219C7C2">
      <w:pPr>
        <w:pStyle w:val="19"/>
        <w:tabs>
          <w:tab w:val="right" w:leader="dot" w:pos="9071"/>
        </w:tabs>
        <w:spacing w:line="480" w:lineRule="auto"/>
        <w:rPr>
          <w:rFonts w:ascii="宋体" w:hAnsi="宋体" w:cs="宋体"/>
          <w:sz w:val="32"/>
          <w:szCs w:val="32"/>
        </w:rPr>
      </w:pPr>
      <w:r>
        <w:rPr>
          <w:rFonts w:hint="eastAsia" w:ascii="宋体" w:hAnsi="宋体" w:cs="宋体"/>
          <w:sz w:val="32"/>
          <w:szCs w:val="32"/>
        </w:rPr>
        <w:t>九、质保相关要求.......................................15</w:t>
      </w:r>
    </w:p>
    <w:p w14:paraId="7C712089">
      <w:pPr>
        <w:pStyle w:val="20"/>
        <w:tabs>
          <w:tab w:val="right" w:leader="dot" w:pos="9071"/>
        </w:tabs>
        <w:spacing w:line="480" w:lineRule="auto"/>
        <w:rPr>
          <w:rFonts w:hint="eastAsia"/>
        </w:rPr>
      </w:pPr>
    </w:p>
    <w:p w14:paraId="3FBB029B">
      <w:pPr>
        <w:spacing w:line="360" w:lineRule="auto"/>
        <w:rPr>
          <w:sz w:val="24"/>
        </w:rPr>
      </w:pPr>
      <w:r>
        <w:fldChar w:fldCharType="end"/>
      </w:r>
    </w:p>
    <w:p w14:paraId="1ACBCA54">
      <w:pPr>
        <w:pStyle w:val="45"/>
        <w:spacing w:before="0" w:beforeAutospacing="0" w:after="0" w:afterAutospacing="0" w:line="360" w:lineRule="auto"/>
        <w:rPr>
          <w:rFonts w:hint="eastAsia"/>
          <w:b/>
        </w:rPr>
      </w:pPr>
      <w:bookmarkStart w:id="2" w:name="_Toc31196"/>
      <w:bookmarkStart w:id="3" w:name="_Toc24227"/>
      <w:bookmarkStart w:id="4" w:name="_Toc6574"/>
      <w:bookmarkStart w:id="5" w:name="_Toc107"/>
    </w:p>
    <w:p w14:paraId="4ADC1F5C">
      <w:pPr>
        <w:pStyle w:val="45"/>
        <w:spacing w:before="0" w:beforeAutospacing="0" w:after="0" w:afterAutospacing="0" w:line="360" w:lineRule="auto"/>
        <w:rPr>
          <w:rFonts w:hint="eastAsia"/>
          <w:b/>
        </w:rPr>
      </w:pPr>
    </w:p>
    <w:p w14:paraId="1AE7E9BF">
      <w:pPr>
        <w:pStyle w:val="45"/>
        <w:spacing w:before="0" w:beforeAutospacing="0" w:after="0" w:afterAutospacing="0" w:line="360" w:lineRule="auto"/>
        <w:rPr>
          <w:rFonts w:hint="eastAsia"/>
          <w:b/>
        </w:rPr>
      </w:pPr>
    </w:p>
    <w:p w14:paraId="20FB85AD">
      <w:pPr>
        <w:pStyle w:val="45"/>
        <w:spacing w:before="0" w:beforeAutospacing="0" w:after="0" w:afterAutospacing="0" w:line="360" w:lineRule="auto"/>
        <w:rPr>
          <w:rFonts w:hint="eastAsia"/>
          <w:b/>
        </w:rPr>
      </w:pPr>
    </w:p>
    <w:p w14:paraId="5495756A">
      <w:pPr>
        <w:pStyle w:val="45"/>
        <w:spacing w:before="0" w:beforeAutospacing="0" w:after="0" w:afterAutospacing="0" w:line="360" w:lineRule="auto"/>
        <w:rPr>
          <w:rFonts w:hint="eastAsia"/>
          <w:b/>
        </w:rPr>
      </w:pPr>
    </w:p>
    <w:p w14:paraId="602C150A">
      <w:pPr>
        <w:pStyle w:val="45"/>
        <w:spacing w:before="0" w:beforeAutospacing="0" w:after="0" w:afterAutospacing="0" w:line="360" w:lineRule="auto"/>
        <w:rPr>
          <w:rFonts w:hint="eastAsia"/>
          <w:b/>
        </w:rPr>
      </w:pPr>
    </w:p>
    <w:p w14:paraId="7767D7AA">
      <w:pPr>
        <w:pStyle w:val="45"/>
        <w:spacing w:before="0" w:beforeAutospacing="0" w:after="0" w:afterAutospacing="0" w:line="360" w:lineRule="auto"/>
        <w:outlineLvl w:val="0"/>
        <w:rPr>
          <w:rFonts w:hint="eastAsia"/>
          <w:b/>
          <w:sz w:val="28"/>
          <w:szCs w:val="28"/>
        </w:rPr>
      </w:pPr>
      <w:bookmarkStart w:id="6" w:name="_Toc7514"/>
      <w:bookmarkStart w:id="7" w:name="_Toc3297"/>
    </w:p>
    <w:p w14:paraId="0F2A6CBF">
      <w:pPr>
        <w:pStyle w:val="45"/>
        <w:spacing w:before="0" w:beforeAutospacing="0" w:after="0" w:afterAutospacing="0" w:line="360" w:lineRule="auto"/>
        <w:outlineLvl w:val="0"/>
        <w:rPr>
          <w:rFonts w:hint="eastAsia" w:cs="宋体"/>
          <w:color w:val="000000"/>
          <w:u w:val="single"/>
        </w:rPr>
      </w:pPr>
      <w:r>
        <w:rPr>
          <w:rFonts w:hint="eastAsia"/>
          <w:b/>
          <w:sz w:val="28"/>
          <w:szCs w:val="28"/>
        </w:rPr>
        <w:t>一</w:t>
      </w:r>
      <w:r>
        <w:rPr>
          <w:rFonts w:hint="eastAsia"/>
          <w:b/>
          <w:sz w:val="28"/>
          <w:szCs w:val="28"/>
          <w:lang w:val="zh-CN"/>
        </w:rPr>
        <w:t>、</w:t>
      </w:r>
      <w:r>
        <w:rPr>
          <w:rFonts w:hint="eastAsia"/>
          <w:b/>
          <w:sz w:val="28"/>
          <w:szCs w:val="28"/>
        </w:rPr>
        <w:t>工程</w:t>
      </w:r>
      <w:r>
        <w:rPr>
          <w:rFonts w:hint="eastAsia"/>
          <w:b/>
          <w:sz w:val="28"/>
          <w:szCs w:val="28"/>
          <w:lang w:val="zh-CN"/>
        </w:rPr>
        <w:t>概况</w:t>
      </w:r>
      <w:bookmarkEnd w:id="2"/>
      <w:bookmarkEnd w:id="3"/>
      <w:bookmarkEnd w:id="4"/>
      <w:bookmarkEnd w:id="5"/>
      <w:bookmarkEnd w:id="6"/>
      <w:bookmarkEnd w:id="7"/>
    </w:p>
    <w:p w14:paraId="4A5A90C8">
      <w:pPr>
        <w:widowControl/>
        <w:jc w:val="left"/>
        <w:rPr>
          <w:rFonts w:hint="eastAsia" w:ascii="宋体" w:hAnsi="宋体" w:cs="宋体"/>
          <w:sz w:val="24"/>
        </w:rPr>
      </w:pPr>
      <w:r>
        <w:rPr>
          <w:rFonts w:hint="eastAsia" w:ascii="宋体" w:hAnsi="宋体" w:cs="宋体"/>
          <w:sz w:val="24"/>
        </w:rPr>
        <w:t>本项目位于香洲区南屏片区，北邻珠海大道，黑白面将军山北侧，郊野公园包括南湾首府后山及绿湖公园，总占地面积5.9万平方米。位于位于珠海市香洲区，临近香洲科技创新中心项目，外部连 接珠海大道、珠三角环线高速公路等主干道，可达港珠澳 大桥、 九州港、金湾机场等主要交通枢纽，半小时内可达 珠海站、 拱北口岸、横琴自贸区、澳门、中山等地。</w:t>
      </w:r>
      <w:bookmarkStart w:id="8" w:name="_Toc16517"/>
      <w:bookmarkStart w:id="9" w:name="_Toc2460"/>
    </w:p>
    <w:p w14:paraId="5AF75C59">
      <w:pPr>
        <w:widowControl/>
        <w:jc w:val="center"/>
        <w:rPr>
          <w:rFonts w:hint="eastAsia"/>
        </w:rPr>
      </w:pPr>
      <w:r>
        <w:drawing>
          <wp:inline distT="0" distB="0" distL="114300" distR="114300">
            <wp:extent cx="5755005" cy="2964815"/>
            <wp:effectExtent l="0" t="0" r="17145" b="6985"/>
            <wp:docPr id="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5"/>
                    <pic:cNvPicPr>
                      <a:picLocks noChangeAspect="1"/>
                    </pic:cNvPicPr>
                  </pic:nvPicPr>
                  <pic:blipFill>
                    <a:blip r:embed="rId8"/>
                    <a:stretch>
                      <a:fillRect/>
                    </a:stretch>
                  </pic:blipFill>
                  <pic:spPr>
                    <a:xfrm>
                      <a:off x="0" y="0"/>
                      <a:ext cx="5755005" cy="2964815"/>
                    </a:xfrm>
                    <a:prstGeom prst="rect">
                      <a:avLst/>
                    </a:prstGeom>
                    <a:noFill/>
                    <a:ln>
                      <a:noFill/>
                    </a:ln>
                  </pic:spPr>
                </pic:pic>
              </a:graphicData>
            </a:graphic>
          </wp:inline>
        </w:drawing>
      </w:r>
    </w:p>
    <w:p w14:paraId="663D3861">
      <w:pPr>
        <w:widowControl/>
        <w:jc w:val="center"/>
        <w:rPr>
          <w:rFonts w:ascii="宋体" w:hAnsi="宋体"/>
          <w:color w:val="000000"/>
          <w:sz w:val="24"/>
        </w:rPr>
      </w:pPr>
      <w:r>
        <w:rPr>
          <w:rFonts w:hint="eastAsia" w:ascii="宋体" w:hAnsi="宋体" w:cs="宋体"/>
          <w:sz w:val="24"/>
        </w:rPr>
        <w:t>总平面图</w:t>
      </w:r>
    </w:p>
    <w:p w14:paraId="35AD7F5A">
      <w:pPr>
        <w:pStyle w:val="2"/>
        <w:jc w:val="center"/>
      </w:pPr>
      <w:r>
        <w:drawing>
          <wp:inline distT="0" distB="0" distL="114300" distR="114300">
            <wp:extent cx="5194300" cy="3897630"/>
            <wp:effectExtent l="0" t="0" r="6350" b="7620"/>
            <wp:docPr id="2"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4"/>
                    <pic:cNvPicPr>
                      <a:picLocks noChangeAspect="1"/>
                    </pic:cNvPicPr>
                  </pic:nvPicPr>
                  <pic:blipFill>
                    <a:blip r:embed="rId9"/>
                    <a:stretch>
                      <a:fillRect/>
                    </a:stretch>
                  </pic:blipFill>
                  <pic:spPr>
                    <a:xfrm>
                      <a:off x="0" y="0"/>
                      <a:ext cx="5194300" cy="3897630"/>
                    </a:xfrm>
                    <a:prstGeom prst="rect">
                      <a:avLst/>
                    </a:prstGeom>
                    <a:noFill/>
                    <a:ln>
                      <a:noFill/>
                    </a:ln>
                  </pic:spPr>
                </pic:pic>
              </a:graphicData>
            </a:graphic>
          </wp:inline>
        </w:drawing>
      </w:r>
    </w:p>
    <w:p w14:paraId="45A1E86D">
      <w:pPr>
        <w:widowControl/>
        <w:jc w:val="center"/>
        <w:rPr>
          <w:rFonts w:hint="eastAsia"/>
        </w:rPr>
      </w:pPr>
      <w:r>
        <w:rPr>
          <w:rFonts w:hint="eastAsia" w:ascii="宋体" w:hAnsi="宋体" w:cs="宋体"/>
          <w:sz w:val="24"/>
        </w:rPr>
        <w:t>做法大样图</w:t>
      </w:r>
    </w:p>
    <w:p w14:paraId="28790067">
      <w:pPr>
        <w:spacing w:line="360" w:lineRule="auto"/>
        <w:outlineLvl w:val="0"/>
        <w:rPr>
          <w:rFonts w:ascii="黑体" w:hAnsi="黑体" w:eastAsia="黑体" w:cs="黑体"/>
          <w:b/>
          <w:bCs/>
          <w:color w:val="000000"/>
          <w:sz w:val="28"/>
          <w:szCs w:val="28"/>
        </w:rPr>
      </w:pPr>
      <w:r>
        <w:rPr>
          <w:rFonts w:hint="eastAsia" w:ascii="宋体" w:hAnsi="宋体" w:cs="宋体"/>
          <w:b/>
          <w:bCs/>
          <w:sz w:val="28"/>
          <w:szCs w:val="28"/>
        </w:rPr>
        <w:t>二、招标范围</w:t>
      </w:r>
      <w:bookmarkEnd w:id="8"/>
      <w:bookmarkEnd w:id="9"/>
    </w:p>
    <w:p w14:paraId="518477CA">
      <w:pPr>
        <w:spacing w:line="480" w:lineRule="auto"/>
        <w:ind w:firstLine="480" w:firstLineChars="200"/>
        <w:jc w:val="left"/>
        <w:rPr>
          <w:rFonts w:ascii="宋体" w:hAnsi="宋体" w:cs="宋体"/>
          <w:sz w:val="24"/>
          <w:highlight w:val="yellow"/>
        </w:rPr>
      </w:pPr>
      <w:bookmarkStart w:id="10" w:name="_Toc1779_WPSOffice_Level1"/>
      <w:bookmarkStart w:id="11" w:name="_Toc30239"/>
      <w:bookmarkStart w:id="12" w:name="_Toc32042"/>
      <w:bookmarkStart w:id="13" w:name="_Toc31863"/>
      <w:bookmarkStart w:id="14" w:name="_Toc2970"/>
      <w:r>
        <w:rPr>
          <w:rFonts w:hint="eastAsia" w:ascii="宋体" w:hAnsi="宋体" w:cs="宋体"/>
          <w:sz w:val="24"/>
        </w:rPr>
        <w:t>1.此次工程招标工作范围及内容（包括但不限于）：喷播草籽（面积约1683.20㎡，具体以设计图纸要求为准）所涉及的坡面排险、打钉挂网、有机材质植物种子（灌藤）及辅料、植物养护管理以及施工所需的包括但不限于垂直运输脚手架防护架所有的一切措施等 ，以上喷播草籽需保证一个月内生长成活率不少于80%，养护期绿化按竣工验收后1年起，竣工验收草本覆盖率应达95%以上。其他未尽事宜以施工图纸或甲方指令为准，新增工程量按实结算。</w:t>
      </w:r>
    </w:p>
    <w:p w14:paraId="42537D19">
      <w:pPr>
        <w:spacing w:line="480" w:lineRule="auto"/>
        <w:ind w:firstLine="480" w:firstLineChars="200"/>
        <w:rPr>
          <w:rFonts w:hint="eastAsia" w:ascii="宋体" w:hAnsi="宋体" w:cs="宋体"/>
          <w:sz w:val="24"/>
        </w:rPr>
      </w:pPr>
      <w:r>
        <w:rPr>
          <w:rFonts w:hint="eastAsia" w:ascii="宋体" w:hAnsi="宋体" w:cs="宋体"/>
          <w:sz w:val="24"/>
        </w:rPr>
        <w:t>2.工期要求</w:t>
      </w:r>
    </w:p>
    <w:p w14:paraId="45252A3B">
      <w:pPr>
        <w:spacing w:line="480" w:lineRule="auto"/>
        <w:ind w:firstLine="480" w:firstLineChars="200"/>
        <w:rPr>
          <w:rFonts w:ascii="宋体" w:hAnsi="宋体" w:cs="宋体"/>
          <w:sz w:val="24"/>
          <w:highlight w:val="yellow"/>
        </w:rPr>
      </w:pPr>
      <w:r>
        <w:rPr>
          <w:rFonts w:hint="eastAsia" w:ascii="宋体" w:hAnsi="宋体" w:cs="宋体"/>
          <w:sz w:val="24"/>
        </w:rPr>
        <w:t>本项目工期（暂定）：</w:t>
      </w:r>
      <w:r>
        <w:rPr>
          <w:rFonts w:hint="eastAsia" w:ascii="宋体" w:hAnsi="宋体" w:cs="宋体"/>
          <w:sz w:val="24"/>
          <w:u w:val="single"/>
        </w:rPr>
        <w:t>2026年8月05日—2026年8月25日</w:t>
      </w:r>
      <w:r>
        <w:rPr>
          <w:rFonts w:hint="eastAsia" w:ascii="宋体" w:hAnsi="宋体" w:cs="宋体"/>
          <w:sz w:val="24"/>
        </w:rPr>
        <w:t>；实际开工</w:t>
      </w:r>
      <w:r>
        <w:rPr>
          <w:rFonts w:hint="eastAsia" w:ascii="宋体" w:hAnsi="宋体" w:cs="宋体"/>
          <w:color w:val="000000"/>
          <w:sz w:val="24"/>
        </w:rPr>
        <w:t>时间以甲方开</w:t>
      </w:r>
      <w:r>
        <w:rPr>
          <w:rFonts w:hint="eastAsia" w:ascii="宋体" w:hAnsi="宋体" w:cs="宋体"/>
          <w:sz w:val="24"/>
        </w:rPr>
        <w:t>工令为准，景观工程标准工期：20个日历天。</w:t>
      </w:r>
    </w:p>
    <w:p w14:paraId="1830ED63">
      <w:pPr>
        <w:spacing w:line="480" w:lineRule="auto"/>
        <w:ind w:firstLine="480" w:firstLineChars="200"/>
        <w:rPr>
          <w:rFonts w:hint="eastAsia" w:ascii="宋体" w:hAnsi="宋体" w:cs="宋体"/>
          <w:sz w:val="24"/>
        </w:rPr>
      </w:pPr>
      <w:r>
        <w:rPr>
          <w:rFonts w:hint="eastAsia" w:ascii="宋体" w:hAnsi="宋体" w:cs="宋体"/>
          <w:sz w:val="24"/>
        </w:rPr>
        <w:t>2.1节点工期要求</w:t>
      </w:r>
    </w:p>
    <w:p w14:paraId="3C6C128D">
      <w:pPr>
        <w:spacing w:line="480" w:lineRule="auto"/>
        <w:ind w:firstLine="480" w:firstLineChars="200"/>
        <w:rPr>
          <w:rFonts w:hint="eastAsia" w:ascii="宋体" w:hAnsi="宋体" w:cs="宋体"/>
          <w:sz w:val="24"/>
        </w:rPr>
      </w:pPr>
      <w:r>
        <w:rPr>
          <w:rFonts w:hint="eastAsia" w:ascii="宋体" w:hAnsi="宋体" w:cs="宋体"/>
          <w:sz w:val="24"/>
        </w:rPr>
        <w:t>中标人须在中标通知书发出后三天内，及时组织施工人员、材料及机械等进场，逾期开工或者未按照节点工期要求完成的，中标人按照每延误一天500-5000元标准向招标人支付违约金,招标人可在进度款中进行预处罚扣款。</w:t>
      </w:r>
    </w:p>
    <w:p w14:paraId="0D0C37BD">
      <w:pPr>
        <w:spacing w:line="480" w:lineRule="auto"/>
        <w:ind w:firstLine="480" w:firstLineChars="200"/>
        <w:rPr>
          <w:rFonts w:hint="eastAsia" w:ascii="宋体" w:hAnsi="宋体" w:cs="宋体"/>
          <w:sz w:val="24"/>
        </w:rPr>
      </w:pPr>
      <w:r>
        <w:rPr>
          <w:rFonts w:hint="eastAsia" w:ascii="宋体" w:hAnsi="宋体" w:cs="宋体"/>
          <w:sz w:val="24"/>
        </w:rPr>
        <w:t>2.2 以上所有工期均以开工令为基准进行推算，按日历天计算含所有节假日。</w:t>
      </w:r>
    </w:p>
    <w:p w14:paraId="75EC5C1D">
      <w:pPr>
        <w:spacing w:line="480" w:lineRule="auto"/>
        <w:ind w:firstLine="480" w:firstLineChars="200"/>
        <w:rPr>
          <w:rFonts w:hint="eastAsia" w:ascii="宋体" w:hAnsi="宋体" w:cs="宋体"/>
          <w:sz w:val="24"/>
        </w:rPr>
      </w:pPr>
      <w:r>
        <w:rPr>
          <w:rFonts w:hint="eastAsia" w:ascii="宋体" w:hAnsi="宋体" w:cs="宋体"/>
          <w:sz w:val="24"/>
        </w:rPr>
        <w:t>2.3 投标人在投标之前必须对施工现场进行全面踏勘，并充分考虑周边交通运输、民居、夜间施工声光污染对施工的制约。</w:t>
      </w:r>
    </w:p>
    <w:p w14:paraId="425C6B05">
      <w:pPr>
        <w:pStyle w:val="2"/>
        <w:spacing w:line="480" w:lineRule="auto"/>
        <w:ind w:firstLine="480"/>
        <w:rPr>
          <w:rFonts w:hint="eastAsia" w:ascii="宋体" w:hAnsi="宋体" w:cs="宋体"/>
          <w:color w:val="000000"/>
          <w:sz w:val="24"/>
        </w:rPr>
      </w:pPr>
      <w:r>
        <w:rPr>
          <w:rFonts w:hint="eastAsia" w:ascii="宋体" w:hAnsi="宋体" w:cs="宋体"/>
          <w:sz w:val="24"/>
        </w:rPr>
        <w:t>2.4投标人未按规定完工日期完成本工程，需无偿组织劳动力抢工</w:t>
      </w:r>
      <w:r>
        <w:rPr>
          <w:rFonts w:hint="eastAsia" w:ascii="宋体" w:hAnsi="宋体" w:cs="宋体"/>
          <w:color w:val="000000"/>
          <w:sz w:val="24"/>
        </w:rPr>
        <w:t>直至完工。</w:t>
      </w:r>
    </w:p>
    <w:bookmarkEnd w:id="10"/>
    <w:bookmarkEnd w:id="11"/>
    <w:bookmarkEnd w:id="12"/>
    <w:bookmarkEnd w:id="13"/>
    <w:bookmarkEnd w:id="14"/>
    <w:p w14:paraId="26270D93">
      <w:pPr>
        <w:pStyle w:val="2"/>
        <w:ind w:firstLine="0" w:firstLineChars="0"/>
        <w:rPr>
          <w:rFonts w:hint="eastAsia" w:ascii="宋体" w:hAnsi="宋体" w:cs="宋体"/>
          <w:b/>
          <w:bCs/>
          <w:sz w:val="28"/>
          <w:szCs w:val="28"/>
        </w:rPr>
      </w:pPr>
      <w:bookmarkStart w:id="15" w:name="_Toc15463"/>
      <w:bookmarkStart w:id="16" w:name="_Toc12088"/>
    </w:p>
    <w:p w14:paraId="7B9463E0">
      <w:pPr>
        <w:spacing w:line="360" w:lineRule="auto"/>
        <w:ind w:firstLine="562" w:firstLineChars="200"/>
        <w:outlineLvl w:val="0"/>
        <w:rPr>
          <w:rFonts w:hint="eastAsia" w:ascii="宋体" w:hAnsi="宋体" w:cs="宋体"/>
          <w:b/>
          <w:bCs/>
          <w:sz w:val="28"/>
          <w:szCs w:val="28"/>
        </w:rPr>
      </w:pPr>
      <w:r>
        <w:rPr>
          <w:rFonts w:hint="eastAsia" w:ascii="宋体" w:hAnsi="宋体" w:cs="宋体"/>
          <w:b/>
          <w:bCs/>
          <w:sz w:val="28"/>
          <w:szCs w:val="28"/>
        </w:rPr>
        <w:t>三 、施工管理人员和施工劳动力要求</w:t>
      </w:r>
      <w:bookmarkEnd w:id="15"/>
      <w:bookmarkEnd w:id="16"/>
    </w:p>
    <w:p w14:paraId="6ABAFF6C">
      <w:pPr>
        <w:spacing w:line="480" w:lineRule="auto"/>
        <w:ind w:firstLine="480" w:firstLineChars="200"/>
        <w:rPr>
          <w:rFonts w:hint="eastAsia" w:ascii="宋体" w:hAnsi="宋体" w:cs="宋体"/>
          <w:sz w:val="24"/>
        </w:rPr>
      </w:pPr>
      <w:r>
        <w:rPr>
          <w:rFonts w:hint="eastAsia" w:ascii="宋体" w:hAnsi="宋体" w:cs="宋体"/>
          <w:sz w:val="24"/>
        </w:rPr>
        <w:t>1.施工管理人员具体要求（为最低要求，若因现场施工需要，中标人需无条件增加相应管理人员，且不再涉及增加任何费用）：</w:t>
      </w:r>
    </w:p>
    <w:p w14:paraId="3B70B685">
      <w:pPr>
        <w:spacing w:line="480" w:lineRule="auto"/>
        <w:rPr>
          <w:rFonts w:hint="eastAsia" w:ascii="宋体" w:hAnsi="宋体" w:cs="宋体"/>
          <w:sz w:val="24"/>
        </w:rPr>
      </w:pPr>
      <w:r>
        <w:rPr>
          <w:rFonts w:hint="eastAsia" w:ascii="宋体" w:hAnsi="宋体" w:cs="宋体"/>
          <w:sz w:val="24"/>
        </w:rPr>
        <w:t>项目施工管理人员配备标准</w:t>
      </w:r>
    </w:p>
    <w:tbl>
      <w:tblPr>
        <w:tblStyle w:val="24"/>
        <w:tblpPr w:leftFromText="180" w:rightFromText="180" w:vertAnchor="text" w:horzAnchor="page" w:tblpXSpec="center" w:tblpY="376"/>
        <w:tblOverlap w:val="never"/>
        <w:tblW w:w="901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657"/>
        <w:gridCol w:w="1596"/>
        <w:gridCol w:w="1512"/>
        <w:gridCol w:w="1464"/>
        <w:gridCol w:w="1613"/>
        <w:gridCol w:w="1003"/>
        <w:gridCol w:w="1170"/>
      </w:tblGrid>
      <w:tr w14:paraId="283540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930" w:hRule="atLeast"/>
          <w:jc w:val="center"/>
        </w:trPr>
        <w:tc>
          <w:tcPr>
            <w:tcW w:w="657" w:type="dxa"/>
            <w:noWrap w:val="0"/>
            <w:vAlign w:val="center"/>
          </w:tcPr>
          <w:p w14:paraId="7C2CAD9D">
            <w:pPr>
              <w:spacing w:line="360" w:lineRule="auto"/>
              <w:jc w:val="center"/>
              <w:rPr>
                <w:rFonts w:hint="eastAsia" w:ascii="宋体" w:hAnsi="宋体" w:cs="宋体"/>
                <w:sz w:val="24"/>
              </w:rPr>
            </w:pPr>
            <w:r>
              <w:rPr>
                <w:rFonts w:hint="eastAsia" w:ascii="宋体" w:hAnsi="宋体" w:cs="宋体"/>
                <w:sz w:val="24"/>
              </w:rPr>
              <w:t>职务</w:t>
            </w:r>
          </w:p>
        </w:tc>
        <w:tc>
          <w:tcPr>
            <w:tcW w:w="1596" w:type="dxa"/>
            <w:noWrap w:val="0"/>
            <w:vAlign w:val="center"/>
          </w:tcPr>
          <w:p w14:paraId="33FE82B8">
            <w:pPr>
              <w:spacing w:line="360" w:lineRule="auto"/>
              <w:jc w:val="center"/>
              <w:rPr>
                <w:rFonts w:hint="eastAsia" w:ascii="宋体" w:hAnsi="宋体" w:cs="宋体"/>
                <w:sz w:val="24"/>
              </w:rPr>
            </w:pPr>
            <w:r>
              <w:rPr>
                <w:rFonts w:hint="eastAsia" w:ascii="宋体" w:hAnsi="宋体" w:cs="宋体"/>
                <w:sz w:val="24"/>
              </w:rPr>
              <w:t>项目负责人</w:t>
            </w:r>
          </w:p>
        </w:tc>
        <w:tc>
          <w:tcPr>
            <w:tcW w:w="1512" w:type="dxa"/>
            <w:noWrap w:val="0"/>
            <w:tcMar>
              <w:top w:w="0" w:type="dxa"/>
              <w:left w:w="108" w:type="dxa"/>
              <w:bottom w:w="0" w:type="dxa"/>
              <w:right w:w="108" w:type="dxa"/>
            </w:tcMar>
            <w:vAlign w:val="center"/>
          </w:tcPr>
          <w:p w14:paraId="68A8D3B6">
            <w:pPr>
              <w:spacing w:line="360" w:lineRule="auto"/>
              <w:jc w:val="center"/>
              <w:rPr>
                <w:rFonts w:hint="eastAsia" w:ascii="宋体" w:hAnsi="宋体" w:cs="宋体"/>
                <w:sz w:val="24"/>
              </w:rPr>
            </w:pPr>
            <w:r>
              <w:rPr>
                <w:rFonts w:hint="eastAsia" w:ascii="宋体" w:hAnsi="宋体" w:cs="宋体"/>
                <w:sz w:val="24"/>
              </w:rPr>
              <w:t>技术负责人</w:t>
            </w:r>
          </w:p>
        </w:tc>
        <w:tc>
          <w:tcPr>
            <w:tcW w:w="1464" w:type="dxa"/>
            <w:noWrap w:val="0"/>
            <w:tcMar>
              <w:top w:w="0" w:type="dxa"/>
              <w:left w:w="108" w:type="dxa"/>
              <w:bottom w:w="0" w:type="dxa"/>
              <w:right w:w="108" w:type="dxa"/>
            </w:tcMar>
            <w:vAlign w:val="center"/>
          </w:tcPr>
          <w:p w14:paraId="1790BE95">
            <w:pPr>
              <w:spacing w:line="360" w:lineRule="auto"/>
              <w:jc w:val="center"/>
              <w:rPr>
                <w:rFonts w:hint="eastAsia" w:ascii="宋体" w:hAnsi="宋体" w:cs="宋体"/>
                <w:sz w:val="24"/>
              </w:rPr>
            </w:pPr>
            <w:r>
              <w:rPr>
                <w:rFonts w:hint="eastAsia" w:ascii="宋体" w:hAnsi="宋体" w:cs="宋体"/>
                <w:sz w:val="24"/>
              </w:rPr>
              <w:t>施工员</w:t>
            </w:r>
          </w:p>
        </w:tc>
        <w:tc>
          <w:tcPr>
            <w:tcW w:w="1613" w:type="dxa"/>
            <w:noWrap w:val="0"/>
            <w:tcMar>
              <w:top w:w="0" w:type="dxa"/>
              <w:left w:w="108" w:type="dxa"/>
              <w:bottom w:w="0" w:type="dxa"/>
              <w:right w:w="108" w:type="dxa"/>
            </w:tcMar>
            <w:vAlign w:val="center"/>
          </w:tcPr>
          <w:p w14:paraId="57FBFBD1">
            <w:pPr>
              <w:spacing w:line="360" w:lineRule="auto"/>
              <w:ind w:firstLine="240" w:firstLineChars="100"/>
              <w:rPr>
                <w:rFonts w:ascii="宋体" w:hAnsi="宋体" w:cs="宋体"/>
                <w:sz w:val="24"/>
              </w:rPr>
            </w:pPr>
            <w:r>
              <w:rPr>
                <w:rFonts w:hint="eastAsia" w:ascii="宋体" w:hAnsi="宋体" w:cs="宋体"/>
                <w:sz w:val="24"/>
              </w:rPr>
              <w:t>安全员</w:t>
            </w:r>
          </w:p>
        </w:tc>
        <w:tc>
          <w:tcPr>
            <w:tcW w:w="1003" w:type="dxa"/>
            <w:noWrap w:val="0"/>
            <w:vAlign w:val="center"/>
          </w:tcPr>
          <w:p w14:paraId="3429BE41">
            <w:pPr>
              <w:spacing w:line="360" w:lineRule="auto"/>
              <w:jc w:val="center"/>
              <w:rPr>
                <w:rFonts w:hint="eastAsia" w:ascii="宋体" w:hAnsi="宋体" w:cs="宋体"/>
                <w:sz w:val="24"/>
              </w:rPr>
            </w:pPr>
            <w:r>
              <w:rPr>
                <w:rFonts w:hint="eastAsia" w:ascii="宋体" w:hAnsi="宋体" w:cs="宋体"/>
                <w:sz w:val="24"/>
              </w:rPr>
              <w:t>资料员</w:t>
            </w:r>
          </w:p>
        </w:tc>
        <w:tc>
          <w:tcPr>
            <w:tcW w:w="1170" w:type="dxa"/>
            <w:vMerge w:val="restart"/>
            <w:noWrap w:val="0"/>
            <w:tcMar>
              <w:top w:w="0" w:type="dxa"/>
              <w:left w:w="108" w:type="dxa"/>
              <w:bottom w:w="0" w:type="dxa"/>
              <w:right w:w="108" w:type="dxa"/>
            </w:tcMar>
            <w:vAlign w:val="center"/>
          </w:tcPr>
          <w:p w14:paraId="66D3FB76">
            <w:pPr>
              <w:spacing w:line="360" w:lineRule="auto"/>
              <w:jc w:val="center"/>
              <w:rPr>
                <w:rFonts w:hint="eastAsia" w:ascii="宋体" w:hAnsi="宋体" w:cs="宋体"/>
                <w:sz w:val="24"/>
              </w:rPr>
            </w:pPr>
            <w:r>
              <w:rPr>
                <w:rFonts w:hint="eastAsia" w:ascii="宋体" w:hAnsi="宋体" w:cs="宋体"/>
                <w:sz w:val="24"/>
              </w:rPr>
              <w:t>合</w:t>
            </w:r>
          </w:p>
          <w:p w14:paraId="0405AC6E">
            <w:pPr>
              <w:spacing w:line="360" w:lineRule="auto"/>
              <w:jc w:val="center"/>
              <w:rPr>
                <w:rFonts w:hint="eastAsia" w:ascii="宋体" w:hAnsi="宋体" w:cs="宋体"/>
                <w:sz w:val="24"/>
              </w:rPr>
            </w:pPr>
            <w:r>
              <w:rPr>
                <w:rFonts w:hint="eastAsia" w:ascii="宋体" w:hAnsi="宋体" w:cs="宋体"/>
                <w:sz w:val="24"/>
              </w:rPr>
              <w:t>计</w:t>
            </w:r>
            <w:bookmarkStart w:id="40" w:name="_GoBack"/>
            <w:bookmarkEnd w:id="40"/>
          </w:p>
        </w:tc>
      </w:tr>
      <w:tr w14:paraId="6562C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653" w:hRule="atLeast"/>
          <w:jc w:val="center"/>
        </w:trPr>
        <w:tc>
          <w:tcPr>
            <w:tcW w:w="657" w:type="dxa"/>
            <w:noWrap w:val="0"/>
            <w:vAlign w:val="center"/>
          </w:tcPr>
          <w:p w14:paraId="42030631">
            <w:pPr>
              <w:spacing w:line="360" w:lineRule="auto"/>
              <w:jc w:val="center"/>
              <w:rPr>
                <w:rFonts w:hint="eastAsia" w:ascii="宋体" w:hAnsi="宋体" w:cs="宋体"/>
                <w:sz w:val="24"/>
              </w:rPr>
            </w:pPr>
            <w:r>
              <w:rPr>
                <w:rFonts w:hint="eastAsia" w:ascii="宋体" w:hAnsi="宋体" w:cs="宋体"/>
                <w:sz w:val="24"/>
              </w:rPr>
              <w:t>相</w:t>
            </w:r>
          </w:p>
          <w:p w14:paraId="6E5D0ECA">
            <w:pPr>
              <w:spacing w:line="360" w:lineRule="auto"/>
              <w:jc w:val="center"/>
              <w:rPr>
                <w:rFonts w:hint="eastAsia" w:ascii="宋体" w:hAnsi="宋体" w:cs="宋体"/>
                <w:sz w:val="24"/>
              </w:rPr>
            </w:pPr>
            <w:r>
              <w:rPr>
                <w:rFonts w:hint="eastAsia" w:ascii="宋体" w:hAnsi="宋体" w:cs="宋体"/>
                <w:sz w:val="24"/>
              </w:rPr>
              <w:t>关</w:t>
            </w:r>
          </w:p>
          <w:p w14:paraId="5BE38FED">
            <w:pPr>
              <w:spacing w:line="360" w:lineRule="auto"/>
              <w:jc w:val="center"/>
              <w:rPr>
                <w:rFonts w:hint="eastAsia" w:ascii="宋体" w:hAnsi="宋体" w:cs="宋体"/>
                <w:sz w:val="24"/>
              </w:rPr>
            </w:pPr>
            <w:r>
              <w:rPr>
                <w:rFonts w:hint="eastAsia" w:ascii="宋体" w:hAnsi="宋体" w:cs="宋体"/>
                <w:sz w:val="24"/>
              </w:rPr>
              <w:t>要</w:t>
            </w:r>
          </w:p>
          <w:p w14:paraId="294FE417">
            <w:pPr>
              <w:spacing w:line="360" w:lineRule="auto"/>
              <w:jc w:val="center"/>
              <w:rPr>
                <w:rFonts w:hint="eastAsia" w:ascii="宋体" w:hAnsi="宋体" w:cs="宋体"/>
                <w:sz w:val="24"/>
              </w:rPr>
            </w:pPr>
            <w:r>
              <w:rPr>
                <w:rFonts w:hint="eastAsia" w:ascii="宋体" w:hAnsi="宋体" w:cs="宋体"/>
                <w:sz w:val="24"/>
              </w:rPr>
              <w:t>求</w:t>
            </w:r>
          </w:p>
        </w:tc>
        <w:tc>
          <w:tcPr>
            <w:tcW w:w="1596" w:type="dxa"/>
            <w:noWrap w:val="0"/>
            <w:vAlign w:val="center"/>
          </w:tcPr>
          <w:p w14:paraId="474C354B">
            <w:pPr>
              <w:spacing w:line="360" w:lineRule="auto"/>
              <w:jc w:val="center"/>
              <w:rPr>
                <w:rFonts w:hint="default" w:ascii="宋体" w:hAnsi="宋体" w:eastAsia="宋体" w:cs="宋体"/>
                <w:sz w:val="24"/>
                <w:lang w:val="en-US" w:eastAsia="zh-CN"/>
              </w:rPr>
            </w:pPr>
            <w:r>
              <w:rPr>
                <w:rFonts w:hint="eastAsia" w:ascii="宋体" w:hAnsi="宋体" w:cs="宋体"/>
                <w:sz w:val="24"/>
                <w:lang w:val="en-US" w:eastAsia="zh-CN"/>
              </w:rPr>
              <w:t>山体公园等相关垂直绿化施工负责人经验</w:t>
            </w:r>
          </w:p>
        </w:tc>
        <w:tc>
          <w:tcPr>
            <w:tcW w:w="1512" w:type="dxa"/>
            <w:noWrap w:val="0"/>
            <w:tcMar>
              <w:top w:w="0" w:type="dxa"/>
              <w:left w:w="108" w:type="dxa"/>
              <w:bottom w:w="0" w:type="dxa"/>
              <w:right w:w="108" w:type="dxa"/>
            </w:tcMar>
            <w:vAlign w:val="center"/>
          </w:tcPr>
          <w:p w14:paraId="713AB56B">
            <w:pPr>
              <w:spacing w:line="360" w:lineRule="auto"/>
              <w:jc w:val="center"/>
              <w:rPr>
                <w:rFonts w:hint="eastAsia" w:ascii="宋体" w:hAnsi="宋体" w:eastAsia="宋体" w:cs="宋体"/>
                <w:sz w:val="24"/>
                <w:lang w:eastAsia="zh-CN"/>
              </w:rPr>
            </w:pPr>
            <w:r>
              <w:rPr>
                <w:rFonts w:hint="eastAsia" w:ascii="宋体" w:hAnsi="宋体" w:cs="宋体"/>
                <w:sz w:val="24"/>
                <w:lang w:val="en-US" w:eastAsia="zh-CN"/>
              </w:rPr>
              <w:t>/</w:t>
            </w:r>
          </w:p>
        </w:tc>
        <w:tc>
          <w:tcPr>
            <w:tcW w:w="1464" w:type="dxa"/>
            <w:noWrap w:val="0"/>
            <w:tcMar>
              <w:top w:w="0" w:type="dxa"/>
              <w:left w:w="108" w:type="dxa"/>
              <w:bottom w:w="0" w:type="dxa"/>
              <w:right w:w="108" w:type="dxa"/>
            </w:tcMar>
            <w:vAlign w:val="center"/>
          </w:tcPr>
          <w:p w14:paraId="2A35D65A">
            <w:pPr>
              <w:spacing w:line="360" w:lineRule="auto"/>
              <w:jc w:val="center"/>
              <w:rPr>
                <w:rFonts w:hint="eastAsia" w:ascii="宋体" w:hAnsi="宋体" w:cs="宋体"/>
                <w:sz w:val="24"/>
              </w:rPr>
            </w:pPr>
            <w:r>
              <w:rPr>
                <w:rFonts w:hint="eastAsia" w:ascii="宋体" w:hAnsi="宋体" w:cs="宋体"/>
                <w:sz w:val="24"/>
                <w:lang w:val="en-US" w:eastAsia="zh-CN"/>
              </w:rPr>
              <w:t>山体公园等相关垂直绿化施工经验</w:t>
            </w:r>
          </w:p>
        </w:tc>
        <w:tc>
          <w:tcPr>
            <w:tcW w:w="1613" w:type="dxa"/>
            <w:noWrap w:val="0"/>
            <w:tcMar>
              <w:top w:w="0" w:type="dxa"/>
              <w:left w:w="108" w:type="dxa"/>
              <w:bottom w:w="0" w:type="dxa"/>
              <w:right w:w="108" w:type="dxa"/>
            </w:tcMar>
            <w:vAlign w:val="center"/>
          </w:tcPr>
          <w:p w14:paraId="0DCD942C">
            <w:pPr>
              <w:spacing w:line="360" w:lineRule="auto"/>
              <w:rPr>
                <w:rFonts w:hint="default" w:ascii="宋体" w:hAnsi="宋体" w:eastAsia="宋体" w:cs="宋体"/>
                <w:sz w:val="24"/>
                <w:lang w:val="en-US" w:eastAsia="zh-CN"/>
              </w:rPr>
            </w:pPr>
            <w:r>
              <w:rPr>
                <w:rFonts w:hint="eastAsia" w:ascii="宋体" w:hAnsi="宋体" w:cs="宋体"/>
                <w:sz w:val="24"/>
              </w:rPr>
              <w:t>具有相关</w:t>
            </w:r>
            <w:r>
              <w:rPr>
                <w:rFonts w:hint="eastAsia" w:ascii="宋体" w:hAnsi="宋体" w:cs="宋体"/>
                <w:sz w:val="24"/>
                <w:lang w:val="en-US" w:eastAsia="zh-CN"/>
              </w:rPr>
              <w:t>安全管理</w:t>
            </w:r>
            <w:r>
              <w:rPr>
                <w:rFonts w:hint="eastAsia" w:ascii="宋体" w:hAnsi="宋体" w:cs="宋体"/>
                <w:sz w:val="24"/>
              </w:rPr>
              <w:t>经验</w:t>
            </w:r>
          </w:p>
        </w:tc>
        <w:tc>
          <w:tcPr>
            <w:tcW w:w="1003" w:type="dxa"/>
            <w:noWrap w:val="0"/>
            <w:vAlign w:val="center"/>
          </w:tcPr>
          <w:p w14:paraId="624C282A">
            <w:pPr>
              <w:spacing w:line="360" w:lineRule="auto"/>
              <w:jc w:val="center"/>
              <w:rPr>
                <w:rFonts w:hint="eastAsia" w:ascii="宋体" w:hAnsi="宋体" w:eastAsia="宋体" w:cs="宋体"/>
                <w:sz w:val="24"/>
                <w:lang w:eastAsia="zh-CN"/>
              </w:rPr>
            </w:pPr>
            <w:r>
              <w:rPr>
                <w:rFonts w:hint="eastAsia" w:ascii="宋体" w:hAnsi="宋体" w:cs="宋体"/>
                <w:sz w:val="24"/>
                <w:lang w:val="en-US" w:eastAsia="zh-CN"/>
              </w:rPr>
              <w:t>/</w:t>
            </w:r>
          </w:p>
        </w:tc>
        <w:tc>
          <w:tcPr>
            <w:tcW w:w="1170" w:type="dxa"/>
            <w:vMerge w:val="continue"/>
            <w:noWrap w:val="0"/>
            <w:vAlign w:val="center"/>
          </w:tcPr>
          <w:p w14:paraId="1C90E821">
            <w:pPr>
              <w:spacing w:line="360" w:lineRule="auto"/>
              <w:ind w:firstLine="480" w:firstLineChars="200"/>
              <w:jc w:val="center"/>
              <w:rPr>
                <w:rFonts w:hint="eastAsia" w:ascii="宋体" w:hAnsi="宋体" w:cs="宋体"/>
                <w:sz w:val="24"/>
              </w:rPr>
            </w:pPr>
          </w:p>
        </w:tc>
      </w:tr>
      <w:tr w14:paraId="17992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423" w:hRule="atLeast"/>
          <w:jc w:val="center"/>
        </w:trPr>
        <w:tc>
          <w:tcPr>
            <w:tcW w:w="657" w:type="dxa"/>
            <w:noWrap w:val="0"/>
            <w:vAlign w:val="center"/>
          </w:tcPr>
          <w:p w14:paraId="03A6FA57">
            <w:pPr>
              <w:spacing w:line="360" w:lineRule="auto"/>
              <w:jc w:val="center"/>
              <w:rPr>
                <w:rFonts w:hint="eastAsia" w:ascii="宋体" w:hAnsi="宋体" w:cs="宋体"/>
                <w:sz w:val="24"/>
              </w:rPr>
            </w:pPr>
            <w:r>
              <w:rPr>
                <w:rFonts w:hint="eastAsia" w:ascii="宋体" w:hAnsi="宋体" w:cs="宋体"/>
                <w:sz w:val="24"/>
              </w:rPr>
              <w:t>最低</w:t>
            </w:r>
          </w:p>
          <w:p w14:paraId="64352EE9">
            <w:pPr>
              <w:spacing w:line="360" w:lineRule="auto"/>
              <w:jc w:val="center"/>
              <w:rPr>
                <w:rFonts w:hint="eastAsia" w:ascii="宋体" w:hAnsi="宋体" w:cs="宋体"/>
                <w:sz w:val="24"/>
              </w:rPr>
            </w:pPr>
            <w:r>
              <w:rPr>
                <w:rFonts w:hint="eastAsia" w:ascii="宋体" w:hAnsi="宋体" w:cs="宋体"/>
                <w:sz w:val="24"/>
              </w:rPr>
              <w:t>人数</w:t>
            </w:r>
          </w:p>
        </w:tc>
        <w:tc>
          <w:tcPr>
            <w:tcW w:w="1596" w:type="dxa"/>
            <w:noWrap w:val="0"/>
            <w:vAlign w:val="center"/>
          </w:tcPr>
          <w:p w14:paraId="4FB215E7">
            <w:pPr>
              <w:spacing w:line="360" w:lineRule="auto"/>
              <w:ind w:firstLine="720" w:firstLineChars="300"/>
              <w:rPr>
                <w:rFonts w:hint="eastAsia" w:ascii="宋体" w:hAnsi="宋体" w:cs="宋体"/>
                <w:sz w:val="24"/>
              </w:rPr>
            </w:pPr>
            <w:r>
              <w:rPr>
                <w:rFonts w:hint="eastAsia" w:ascii="宋体" w:hAnsi="宋体" w:cs="宋体"/>
                <w:sz w:val="24"/>
              </w:rPr>
              <w:t>1</w:t>
            </w:r>
          </w:p>
        </w:tc>
        <w:tc>
          <w:tcPr>
            <w:tcW w:w="1512" w:type="dxa"/>
            <w:noWrap w:val="0"/>
            <w:tcMar>
              <w:top w:w="0" w:type="dxa"/>
              <w:left w:w="108" w:type="dxa"/>
              <w:bottom w:w="0" w:type="dxa"/>
              <w:right w:w="108" w:type="dxa"/>
            </w:tcMar>
            <w:vAlign w:val="center"/>
          </w:tcPr>
          <w:p w14:paraId="4D9F9504">
            <w:pPr>
              <w:spacing w:line="360" w:lineRule="auto"/>
              <w:ind w:firstLine="480" w:firstLineChars="200"/>
              <w:jc w:val="center"/>
              <w:rPr>
                <w:rFonts w:hint="eastAsia" w:ascii="宋体" w:hAnsi="宋体" w:cs="宋体"/>
                <w:sz w:val="24"/>
              </w:rPr>
            </w:pPr>
            <w:r>
              <w:rPr>
                <w:rFonts w:hint="eastAsia" w:ascii="宋体" w:hAnsi="宋体" w:cs="宋体"/>
                <w:sz w:val="24"/>
              </w:rPr>
              <w:t>1</w:t>
            </w:r>
          </w:p>
        </w:tc>
        <w:tc>
          <w:tcPr>
            <w:tcW w:w="1464" w:type="dxa"/>
            <w:noWrap w:val="0"/>
            <w:tcMar>
              <w:top w:w="0" w:type="dxa"/>
              <w:left w:w="108" w:type="dxa"/>
              <w:bottom w:w="0" w:type="dxa"/>
              <w:right w:w="108" w:type="dxa"/>
            </w:tcMar>
            <w:vAlign w:val="center"/>
          </w:tcPr>
          <w:p w14:paraId="026F1381">
            <w:pPr>
              <w:spacing w:line="360" w:lineRule="auto"/>
              <w:ind w:firstLine="720" w:firstLineChars="300"/>
              <w:rPr>
                <w:rFonts w:hint="eastAsia" w:ascii="宋体" w:hAnsi="宋体" w:cs="宋体"/>
                <w:sz w:val="24"/>
              </w:rPr>
            </w:pPr>
            <w:r>
              <w:rPr>
                <w:rFonts w:hint="eastAsia" w:ascii="宋体" w:hAnsi="宋体" w:cs="宋体"/>
                <w:sz w:val="24"/>
              </w:rPr>
              <w:t>1</w:t>
            </w:r>
          </w:p>
        </w:tc>
        <w:tc>
          <w:tcPr>
            <w:tcW w:w="1613" w:type="dxa"/>
            <w:noWrap w:val="0"/>
            <w:tcMar>
              <w:top w:w="0" w:type="dxa"/>
              <w:left w:w="108" w:type="dxa"/>
              <w:bottom w:w="0" w:type="dxa"/>
              <w:right w:w="108" w:type="dxa"/>
            </w:tcMar>
            <w:vAlign w:val="center"/>
          </w:tcPr>
          <w:p w14:paraId="4F7BC454">
            <w:pPr>
              <w:spacing w:line="360" w:lineRule="auto"/>
              <w:ind w:firstLine="720" w:firstLineChars="300"/>
              <w:rPr>
                <w:rFonts w:ascii="宋体" w:hAnsi="宋体" w:cs="宋体"/>
                <w:sz w:val="24"/>
              </w:rPr>
            </w:pPr>
            <w:r>
              <w:rPr>
                <w:rFonts w:hint="eastAsia" w:ascii="宋体" w:hAnsi="宋体" w:cs="宋体"/>
                <w:sz w:val="24"/>
              </w:rPr>
              <w:t>1</w:t>
            </w:r>
          </w:p>
        </w:tc>
        <w:tc>
          <w:tcPr>
            <w:tcW w:w="1003" w:type="dxa"/>
            <w:noWrap w:val="0"/>
            <w:vAlign w:val="center"/>
          </w:tcPr>
          <w:p w14:paraId="444B7614">
            <w:pPr>
              <w:spacing w:line="360" w:lineRule="auto"/>
              <w:ind w:firstLine="480" w:firstLineChars="200"/>
              <w:rPr>
                <w:rFonts w:hint="eastAsia" w:ascii="宋体" w:hAnsi="宋体" w:cs="宋体"/>
                <w:sz w:val="24"/>
              </w:rPr>
            </w:pPr>
            <w:r>
              <w:rPr>
                <w:rFonts w:hint="eastAsia" w:ascii="宋体" w:hAnsi="宋体" w:cs="宋体"/>
                <w:sz w:val="24"/>
              </w:rPr>
              <w:t>1</w:t>
            </w:r>
          </w:p>
        </w:tc>
        <w:tc>
          <w:tcPr>
            <w:tcW w:w="1170" w:type="dxa"/>
            <w:noWrap w:val="0"/>
            <w:tcMar>
              <w:top w:w="0" w:type="dxa"/>
              <w:left w:w="108" w:type="dxa"/>
              <w:bottom w:w="0" w:type="dxa"/>
              <w:right w:w="108" w:type="dxa"/>
            </w:tcMar>
            <w:vAlign w:val="center"/>
          </w:tcPr>
          <w:p w14:paraId="2CEF3697">
            <w:pPr>
              <w:spacing w:line="360" w:lineRule="auto"/>
              <w:jc w:val="center"/>
              <w:rPr>
                <w:rFonts w:hint="eastAsia" w:ascii="宋体" w:hAnsi="宋体" w:cs="宋体"/>
                <w:sz w:val="24"/>
              </w:rPr>
            </w:pPr>
            <w:r>
              <w:rPr>
                <w:rFonts w:hint="eastAsia" w:ascii="宋体" w:hAnsi="宋体" w:cs="宋体"/>
                <w:sz w:val="24"/>
              </w:rPr>
              <w:t>5</w:t>
            </w:r>
          </w:p>
        </w:tc>
      </w:tr>
    </w:tbl>
    <w:p w14:paraId="2877DF48">
      <w:pPr>
        <w:spacing w:line="360" w:lineRule="auto"/>
        <w:rPr>
          <w:rFonts w:hint="eastAsia" w:ascii="宋体" w:hAnsi="宋体" w:cs="宋体"/>
          <w:sz w:val="24"/>
        </w:rPr>
      </w:pPr>
    </w:p>
    <w:p w14:paraId="1C5DF843">
      <w:pPr>
        <w:spacing w:line="480" w:lineRule="auto"/>
        <w:rPr>
          <w:rFonts w:hint="eastAsia" w:ascii="宋体" w:hAnsi="宋体" w:cs="宋体"/>
          <w:sz w:val="24"/>
        </w:rPr>
      </w:pPr>
      <w:r>
        <w:rPr>
          <w:rFonts w:hint="eastAsia" w:ascii="宋体" w:hAnsi="宋体" w:cs="宋体"/>
          <w:sz w:val="24"/>
        </w:rPr>
        <w:t>2 上述人员必须在投标时即确定。其中，项目负责人、技术负责人、资料员、安全员原则上不允许中标后进行更换，若出现不可抗因素（离职、退休、离世等），在具备条件的情况下必须</w:t>
      </w:r>
      <w:r>
        <w:rPr>
          <w:rFonts w:hint="eastAsia" w:ascii="宋体" w:hAnsi="宋体" w:cs="宋体"/>
          <w:color w:val="000000"/>
          <w:sz w:val="24"/>
        </w:rPr>
        <w:t>提前1</w:t>
      </w:r>
      <w:r>
        <w:rPr>
          <w:rFonts w:ascii="宋体" w:hAnsi="宋体" w:cs="宋体"/>
          <w:color w:val="000000"/>
          <w:sz w:val="24"/>
        </w:rPr>
        <w:t>5</w:t>
      </w:r>
      <w:r>
        <w:rPr>
          <w:rFonts w:hint="eastAsia" w:ascii="宋体" w:hAnsi="宋体" w:cs="宋体"/>
          <w:color w:val="000000"/>
          <w:sz w:val="24"/>
        </w:rPr>
        <w:t>天办理更换</w:t>
      </w:r>
      <w:r>
        <w:rPr>
          <w:rFonts w:hint="eastAsia" w:ascii="宋体" w:hAnsi="宋体" w:cs="宋体"/>
          <w:sz w:val="24"/>
        </w:rPr>
        <w:t>手续，待招标人同意后方可进行人员变更；其他人员在确保单项不少于最低人数时，新到岗人员资历不得低于被更换人员，且在具备条件的情况下必须提前一周办理更换手续，待招标人经面试并同意后方可进行人员变更。现场所有管理人员（包含项目经理）每周工作不得少于6天，夜间施工时管理人员必须全程在现场跟进，主要管理人员请假必须提前一天征得甲方的同意。</w:t>
      </w:r>
    </w:p>
    <w:p w14:paraId="3EF5F859">
      <w:pPr>
        <w:spacing w:line="480" w:lineRule="auto"/>
        <w:ind w:firstLine="480" w:firstLineChars="200"/>
        <w:rPr>
          <w:rFonts w:hint="eastAsia" w:ascii="宋体" w:hAnsi="宋体" w:cs="宋体"/>
          <w:sz w:val="24"/>
        </w:rPr>
      </w:pPr>
      <w:r>
        <w:rPr>
          <w:rFonts w:hint="eastAsia" w:ascii="宋体" w:hAnsi="宋体" w:cs="宋体"/>
          <w:sz w:val="24"/>
        </w:rPr>
        <w:t>3 中标人在整个合同施工期间（自开工至完成竣工验收交接），必须每天上报各工种现场施工人员数量、当天施工内容、相关机械设备名目及数量、当天运抵工地的材料名目及数量以备招标人核查。</w:t>
      </w:r>
    </w:p>
    <w:p w14:paraId="00D8C841">
      <w:pPr>
        <w:spacing w:line="480" w:lineRule="auto"/>
        <w:ind w:firstLine="480" w:firstLineChars="200"/>
        <w:rPr>
          <w:rFonts w:ascii="宋体" w:hAnsi="宋体" w:cs="宋体"/>
          <w:sz w:val="24"/>
        </w:rPr>
      </w:pPr>
      <w:r>
        <w:rPr>
          <w:rFonts w:hint="eastAsia" w:ascii="宋体" w:hAnsi="宋体" w:cs="宋体"/>
          <w:sz w:val="24"/>
        </w:rPr>
        <w:t>4 高峰期劳动力配置不得少于20人。赶工阶段（启动时间甲方下发指令为准）结绿化工人不得少于20人，水电施工人员不得少于10人。</w:t>
      </w:r>
    </w:p>
    <w:p w14:paraId="2C0A531C">
      <w:pPr>
        <w:spacing w:line="480" w:lineRule="auto"/>
        <w:ind w:firstLine="480" w:firstLineChars="200"/>
        <w:rPr>
          <w:rFonts w:hint="eastAsia" w:ascii="宋体" w:hAnsi="宋体" w:cs="宋体"/>
          <w:sz w:val="24"/>
        </w:rPr>
      </w:pPr>
      <w:r>
        <w:rPr>
          <w:rFonts w:hint="eastAsia" w:ascii="宋体" w:hAnsi="宋体" w:cs="宋体"/>
          <w:sz w:val="24"/>
        </w:rPr>
        <w:t>5 为确保工程进度可控，在工作面允许的条件下乙方需组织现场施工人员进行必要的夜间加班，夜间加班不得早于20点前下班。在具备工作面的情况下，中标人无故不进行夜间加班，招标人可视情况对中标人予2000-5000元/次的处罚。</w:t>
      </w:r>
    </w:p>
    <w:p w14:paraId="7AD00230">
      <w:pPr>
        <w:spacing w:line="480" w:lineRule="auto"/>
        <w:ind w:firstLine="480" w:firstLineChars="200"/>
        <w:rPr>
          <w:rFonts w:hint="eastAsia" w:ascii="宋体" w:hAnsi="宋体" w:cs="宋体"/>
          <w:sz w:val="24"/>
        </w:rPr>
      </w:pPr>
      <w:r>
        <w:rPr>
          <w:rFonts w:hint="eastAsia" w:ascii="宋体" w:hAnsi="宋体" w:cs="宋体"/>
          <w:sz w:val="24"/>
        </w:rPr>
        <w:t>6 项目经理、所有管理人员及所有施工人员进入施工现场必须穿好荧光衣、戴好安全帽，并在疫情期间戴好口罩，发现管理人员未穿荧光衣或者未戴安全帽或未在疫情期间戴口罩，给予500元/次/人的处罚。发现施工人员未穿荧光衣或者未戴安全帽，给予200元/次/人的处罚；发现高空作业人员未穿戴安全带，给予500元/次/人的处罚。</w:t>
      </w:r>
    </w:p>
    <w:p w14:paraId="722A63AE">
      <w:pPr>
        <w:spacing w:line="360" w:lineRule="auto"/>
        <w:ind w:firstLine="562" w:firstLineChars="200"/>
        <w:outlineLvl w:val="0"/>
        <w:rPr>
          <w:rFonts w:hint="eastAsia" w:ascii="宋体" w:hAnsi="宋体" w:cs="宋体"/>
          <w:b/>
          <w:bCs/>
          <w:sz w:val="28"/>
          <w:szCs w:val="28"/>
        </w:rPr>
      </w:pPr>
      <w:bookmarkStart w:id="17" w:name="_Toc12278"/>
      <w:bookmarkStart w:id="18" w:name="_Toc28472"/>
      <w:r>
        <w:rPr>
          <w:rFonts w:hint="eastAsia" w:ascii="宋体" w:hAnsi="宋体" w:cs="宋体"/>
          <w:b/>
          <w:bCs/>
          <w:sz w:val="28"/>
          <w:szCs w:val="28"/>
        </w:rPr>
        <w:t>四 、 其他要求：</w:t>
      </w:r>
      <w:bookmarkEnd w:id="17"/>
      <w:bookmarkEnd w:id="18"/>
    </w:p>
    <w:p w14:paraId="5CFD0CAD">
      <w:pPr>
        <w:spacing w:line="480" w:lineRule="auto"/>
        <w:ind w:firstLine="482" w:firstLineChars="200"/>
        <w:rPr>
          <w:rFonts w:hint="eastAsia" w:ascii="宋体" w:hAnsi="宋体" w:cs="宋体"/>
          <w:b/>
          <w:bCs/>
          <w:sz w:val="24"/>
        </w:rPr>
      </w:pPr>
      <w:bookmarkStart w:id="19" w:name="_Toc286839482"/>
      <w:r>
        <w:rPr>
          <w:rFonts w:hint="eastAsia" w:ascii="宋体" w:hAnsi="宋体" w:cs="宋体"/>
          <w:b/>
          <w:bCs/>
          <w:sz w:val="24"/>
        </w:rPr>
        <w:t>1.中标人提供的设备及材料</w:t>
      </w:r>
      <w:bookmarkEnd w:id="19"/>
    </w:p>
    <w:p w14:paraId="446ACD33">
      <w:pPr>
        <w:spacing w:line="480" w:lineRule="auto"/>
        <w:ind w:firstLine="480" w:firstLineChars="200"/>
        <w:rPr>
          <w:rFonts w:hint="eastAsia" w:ascii="宋体" w:hAnsi="宋体" w:cs="宋体"/>
          <w:sz w:val="24"/>
        </w:rPr>
      </w:pPr>
      <w:r>
        <w:rPr>
          <w:rFonts w:hint="eastAsia" w:ascii="宋体" w:hAnsi="宋体" w:cs="宋体"/>
          <w:sz w:val="24"/>
        </w:rPr>
        <w:t>1.1中标人必须按合同条款的规定负责采购、验收、运输和保管工程施工中所需的全部材料。材料应具有材质证明或出厂合格证书，并符合国家相关技术规范的要求。</w:t>
      </w:r>
    </w:p>
    <w:p w14:paraId="46614AB4">
      <w:pPr>
        <w:spacing w:line="480" w:lineRule="auto"/>
        <w:ind w:firstLine="480" w:firstLineChars="200"/>
        <w:rPr>
          <w:rFonts w:hint="eastAsia" w:ascii="宋体" w:hAnsi="宋体" w:cs="宋体"/>
          <w:sz w:val="24"/>
        </w:rPr>
      </w:pPr>
      <w:r>
        <w:rPr>
          <w:rFonts w:hint="eastAsia" w:ascii="宋体" w:hAnsi="宋体" w:cs="宋体"/>
          <w:sz w:val="24"/>
        </w:rPr>
        <w:t>1.2由于某种原因无法提供规定材料时，中标人可以提出使用代用材料的申请报告，报送招标人批准。采用代用材料的报告必须附有代用材料的技术标准和试验报告，只有在证明其不降低工程质量并经招标人批准后才能采用。</w:t>
      </w:r>
    </w:p>
    <w:p w14:paraId="1726A7B5">
      <w:pPr>
        <w:spacing w:line="480" w:lineRule="auto"/>
        <w:ind w:firstLine="480" w:firstLineChars="200"/>
        <w:rPr>
          <w:rFonts w:hint="eastAsia" w:ascii="宋体" w:hAnsi="宋体" w:cs="宋体"/>
          <w:sz w:val="24"/>
        </w:rPr>
      </w:pPr>
      <w:r>
        <w:rPr>
          <w:rFonts w:hint="eastAsia" w:ascii="宋体" w:hAnsi="宋体" w:cs="宋体"/>
          <w:sz w:val="24"/>
        </w:rPr>
        <w:t>1.3由中标人提供的材料应按有关规定经过检查和试验，中标人须提供材质证明、出厂合格证书、材料样品和试验报告。中标人对其提供使用的材料应负全部责任，招标人一旦发现中标人在本工程中使用不合格的材料时，中标人应按监理人或招标人的指示立即更换材料，并承担由于工程质量不合格所造成的一切损失。</w:t>
      </w:r>
    </w:p>
    <w:p w14:paraId="4E45D9B1">
      <w:pPr>
        <w:spacing w:line="480" w:lineRule="auto"/>
        <w:ind w:firstLine="480" w:firstLineChars="200"/>
        <w:rPr>
          <w:rFonts w:hint="eastAsia" w:ascii="宋体" w:hAnsi="宋体" w:cs="宋体"/>
          <w:sz w:val="24"/>
        </w:rPr>
      </w:pPr>
      <w:r>
        <w:rPr>
          <w:rFonts w:hint="eastAsia" w:ascii="宋体" w:hAnsi="宋体" w:cs="宋体"/>
          <w:sz w:val="24"/>
        </w:rPr>
        <w:t>1.4中标人所有设备均须按有关规定经过检查、验证和运转试验，中标人对其所用的设备负有全部责任。监理人或招标人一旦发现中标人所用的施工设备影响工程的进度和质量时，中标人应按监理人或招标人的指示更换设备。</w:t>
      </w:r>
      <w:bookmarkStart w:id="20" w:name="_Toc286839483"/>
    </w:p>
    <w:bookmarkEnd w:id="20"/>
    <w:p w14:paraId="239C1D8D">
      <w:pPr>
        <w:spacing w:line="480" w:lineRule="auto"/>
        <w:ind w:firstLine="482" w:firstLineChars="200"/>
        <w:rPr>
          <w:rFonts w:hint="eastAsia" w:ascii="宋体" w:hAnsi="宋体" w:cs="宋体"/>
          <w:b/>
          <w:bCs/>
          <w:sz w:val="24"/>
        </w:rPr>
      </w:pPr>
      <w:bookmarkStart w:id="21" w:name="_Toc286839484"/>
      <w:r>
        <w:rPr>
          <w:rFonts w:hint="eastAsia" w:ascii="宋体" w:hAnsi="宋体" w:cs="宋体"/>
          <w:b/>
          <w:bCs/>
          <w:sz w:val="24"/>
        </w:rPr>
        <w:t>2.由招标人提供的图纸和文件</w:t>
      </w:r>
      <w:bookmarkEnd w:id="21"/>
    </w:p>
    <w:p w14:paraId="574B6FC0">
      <w:pPr>
        <w:spacing w:line="480" w:lineRule="auto"/>
        <w:ind w:firstLine="480" w:firstLineChars="200"/>
        <w:rPr>
          <w:rFonts w:hint="eastAsia" w:ascii="宋体" w:hAnsi="宋体" w:cs="宋体"/>
          <w:sz w:val="24"/>
        </w:rPr>
      </w:pPr>
      <w:r>
        <w:rPr>
          <w:rFonts w:hint="eastAsia" w:ascii="宋体" w:hAnsi="宋体" w:cs="宋体"/>
          <w:sz w:val="24"/>
        </w:rPr>
        <w:t>2.1招标人负责向中标人递交为有效地实施本工程所必需施工图纸和必要的文字说明(下文统称图纸和文件)。招标人向中标人提供3套用于施工的图纸，中标人竣工验收后向招标人提供3套完整的竣工图。</w:t>
      </w:r>
    </w:p>
    <w:p w14:paraId="48CD3B94">
      <w:pPr>
        <w:spacing w:line="480" w:lineRule="auto"/>
        <w:ind w:firstLine="480" w:firstLineChars="200"/>
        <w:rPr>
          <w:rFonts w:hint="eastAsia" w:ascii="宋体" w:hAnsi="宋体" w:cs="宋体"/>
          <w:sz w:val="24"/>
        </w:rPr>
      </w:pPr>
      <w:r>
        <w:rPr>
          <w:rFonts w:hint="eastAsia" w:ascii="宋体" w:hAnsi="宋体" w:cs="宋体"/>
          <w:sz w:val="24"/>
        </w:rPr>
        <w:t>2.2中标人对招标人提供的任何图纸和文件应仔细审阅，如发现错误或表达不清楚的地方，须在图纸或文件下发后2天内通知监理人或招标人。</w:t>
      </w:r>
    </w:p>
    <w:p w14:paraId="3D696263">
      <w:pPr>
        <w:spacing w:line="480" w:lineRule="auto"/>
        <w:ind w:firstLine="482" w:firstLineChars="200"/>
        <w:rPr>
          <w:rFonts w:hint="eastAsia" w:ascii="宋体" w:hAnsi="宋体" w:cs="宋体"/>
          <w:b/>
          <w:bCs/>
          <w:sz w:val="24"/>
        </w:rPr>
      </w:pPr>
      <w:r>
        <w:rPr>
          <w:rFonts w:hint="eastAsia" w:ascii="宋体" w:hAnsi="宋体" w:cs="宋体"/>
          <w:b/>
          <w:bCs/>
          <w:sz w:val="24"/>
        </w:rPr>
        <w:t>3.中标人对安全防护的责任</w:t>
      </w:r>
    </w:p>
    <w:p w14:paraId="33844295">
      <w:pPr>
        <w:spacing w:line="480" w:lineRule="auto"/>
        <w:ind w:firstLine="480" w:firstLineChars="200"/>
        <w:rPr>
          <w:rFonts w:hint="eastAsia" w:ascii="宋体" w:hAnsi="宋体" w:cs="宋体"/>
          <w:sz w:val="24"/>
        </w:rPr>
      </w:pPr>
      <w:r>
        <w:rPr>
          <w:rFonts w:hint="eastAsia" w:ascii="宋体" w:hAnsi="宋体" w:cs="宋体"/>
          <w:sz w:val="24"/>
        </w:rPr>
        <w:t>在工程最终交付使用之前的整个施工期内，中标人必须制订并实施一切必要的措施，保证工程现场施工安全(包括中标人和非中标人的人员安全)，维护工地正常生产、生活秩序。对于用电等危险性作业，中标人须设专职人员进行操作，用电用水需积极与总包沟通,配合总包安排。中标人必须遵守国家颁布的有关安全规程，对于不符合我国法律、法规、安全规程及合同规定的安全隐患，监理人或招标人有权要求中标人限期整改。若发生安全事故，中标人必须在国家相关法规规定时间内向监理人及招标人汇报、递交事故报告。</w:t>
      </w:r>
    </w:p>
    <w:p w14:paraId="30F2F5BC">
      <w:pPr>
        <w:spacing w:line="480" w:lineRule="auto"/>
        <w:ind w:firstLine="482" w:firstLineChars="200"/>
        <w:rPr>
          <w:rFonts w:hint="eastAsia" w:ascii="宋体" w:hAnsi="宋体" w:cs="宋体"/>
          <w:b/>
          <w:bCs/>
          <w:sz w:val="24"/>
        </w:rPr>
      </w:pPr>
      <w:bookmarkStart w:id="22" w:name="_Toc286839487"/>
      <w:r>
        <w:rPr>
          <w:rFonts w:hint="eastAsia" w:ascii="宋体" w:hAnsi="宋体" w:cs="宋体"/>
          <w:b/>
          <w:bCs/>
          <w:sz w:val="24"/>
        </w:rPr>
        <w:t>4.中标人对环境保护</w:t>
      </w:r>
      <w:bookmarkEnd w:id="22"/>
      <w:r>
        <w:rPr>
          <w:rFonts w:hint="eastAsia" w:ascii="宋体" w:hAnsi="宋体" w:cs="宋体"/>
          <w:b/>
          <w:bCs/>
          <w:sz w:val="24"/>
        </w:rPr>
        <w:t>的责任</w:t>
      </w:r>
    </w:p>
    <w:p w14:paraId="395D2B5C">
      <w:pPr>
        <w:spacing w:line="480" w:lineRule="auto"/>
        <w:ind w:firstLine="480" w:firstLineChars="200"/>
        <w:rPr>
          <w:rFonts w:hint="eastAsia" w:ascii="宋体" w:hAnsi="宋体" w:cs="宋体"/>
          <w:sz w:val="24"/>
        </w:rPr>
      </w:pPr>
      <w:r>
        <w:rPr>
          <w:rFonts w:hint="eastAsia" w:ascii="宋体" w:hAnsi="宋体" w:cs="宋体"/>
          <w:sz w:val="24"/>
        </w:rPr>
        <w:t>4.1中标人必须遵守国家和地方政府颁发的有关环境保护的法律、法规、条例。中标人不得将有害物质(如燃料、油料、化学品、酸等，以及超过允许剂量的有害气体和尘埃、</w:t>
      </w:r>
      <w:r>
        <w:rPr>
          <w:rFonts w:hint="eastAsia" w:ascii="宋体" w:hAnsi="宋体" w:cs="宋体"/>
          <w:color w:val="000000"/>
          <w:sz w:val="24"/>
        </w:rPr>
        <w:t>弃渣等)污染土地、河川。倘因中标人过失破坏环境保护而导致经济损失或</w:t>
      </w:r>
      <w:r>
        <w:rPr>
          <w:rFonts w:hint="eastAsia" w:ascii="宋体" w:hAnsi="宋体" w:cs="宋体"/>
          <w:sz w:val="24"/>
        </w:rPr>
        <w:t>赔偿，中标人应承担全部责任。</w:t>
      </w:r>
    </w:p>
    <w:p w14:paraId="6A7B250E">
      <w:pPr>
        <w:spacing w:line="480" w:lineRule="auto"/>
        <w:ind w:firstLine="480" w:firstLineChars="200"/>
        <w:rPr>
          <w:rFonts w:hint="eastAsia" w:ascii="宋体" w:hAnsi="宋体" w:cs="宋体"/>
          <w:sz w:val="24"/>
        </w:rPr>
      </w:pPr>
      <w:r>
        <w:rPr>
          <w:rFonts w:hint="eastAsia" w:ascii="宋体" w:hAnsi="宋体" w:cs="宋体"/>
          <w:sz w:val="24"/>
        </w:rPr>
        <w:t>4.2 中标人应将工程垃圾按照当地环卫部门规定的要求堆放。由于中标人的施工违反当地城市管理相关规定，造成的人身安全事故、环境破坏和经济损失，由中标人承担全部责任。</w:t>
      </w:r>
    </w:p>
    <w:p w14:paraId="1B5EFC2A">
      <w:pPr>
        <w:spacing w:line="480" w:lineRule="auto"/>
        <w:ind w:firstLine="480" w:firstLineChars="200"/>
        <w:rPr>
          <w:rFonts w:hint="eastAsia" w:ascii="宋体" w:hAnsi="宋体" w:cs="宋体"/>
          <w:sz w:val="24"/>
        </w:rPr>
      </w:pPr>
      <w:r>
        <w:rPr>
          <w:rFonts w:hint="eastAsia" w:ascii="宋体" w:hAnsi="宋体" w:cs="宋体"/>
          <w:sz w:val="24"/>
        </w:rPr>
        <w:t>4.3 为保持施工区的环境卫生，必须及时清理垃圾，并将其运至当地环卫部门指定的地点。</w:t>
      </w:r>
    </w:p>
    <w:p w14:paraId="26A789E0">
      <w:pPr>
        <w:spacing w:line="480" w:lineRule="auto"/>
        <w:ind w:firstLine="480" w:firstLineChars="200"/>
        <w:rPr>
          <w:rFonts w:hint="eastAsia" w:ascii="宋体" w:hAnsi="宋体" w:cs="宋体"/>
          <w:sz w:val="24"/>
        </w:rPr>
      </w:pPr>
      <w:r>
        <w:rPr>
          <w:rFonts w:hint="eastAsia" w:ascii="宋体" w:hAnsi="宋体" w:cs="宋体"/>
          <w:sz w:val="24"/>
        </w:rPr>
        <w:t>4.4 中标人应按监理人及招标人指令拆除施工临时设施和临时生活设施，拆除后的场地应清理并恢复。清理工作所需费用由中标人承担。</w:t>
      </w:r>
    </w:p>
    <w:p w14:paraId="52663066">
      <w:pPr>
        <w:spacing w:line="480" w:lineRule="auto"/>
        <w:ind w:firstLine="482" w:firstLineChars="200"/>
        <w:rPr>
          <w:rFonts w:hint="eastAsia" w:ascii="宋体" w:hAnsi="宋体" w:cs="宋体"/>
          <w:b/>
          <w:bCs/>
          <w:sz w:val="24"/>
        </w:rPr>
      </w:pPr>
      <w:r>
        <w:rPr>
          <w:rFonts w:hint="eastAsia" w:ascii="宋体" w:hAnsi="宋体" w:cs="宋体"/>
          <w:b/>
          <w:bCs/>
          <w:sz w:val="24"/>
        </w:rPr>
        <w:t>5.招标人对工程承担的责任</w:t>
      </w:r>
    </w:p>
    <w:p w14:paraId="3E350E73">
      <w:pPr>
        <w:spacing w:line="480" w:lineRule="auto"/>
        <w:ind w:firstLine="480" w:firstLineChars="200"/>
        <w:rPr>
          <w:rFonts w:hint="eastAsia" w:ascii="宋体" w:hAnsi="宋体" w:cs="宋体"/>
          <w:sz w:val="24"/>
        </w:rPr>
      </w:pPr>
      <w:r>
        <w:rPr>
          <w:rFonts w:hint="eastAsia" w:ascii="宋体" w:hAnsi="宋体" w:cs="宋体"/>
          <w:sz w:val="24"/>
        </w:rPr>
        <w:t>5.1 提供详细设计图纸及文件；</w:t>
      </w:r>
    </w:p>
    <w:p w14:paraId="41856AF3">
      <w:pPr>
        <w:spacing w:line="480" w:lineRule="auto"/>
        <w:ind w:firstLine="480" w:firstLineChars="200"/>
        <w:rPr>
          <w:rFonts w:hint="eastAsia" w:ascii="宋体" w:hAnsi="宋体" w:cs="宋体"/>
          <w:sz w:val="24"/>
        </w:rPr>
      </w:pPr>
      <w:r>
        <w:rPr>
          <w:rFonts w:hint="eastAsia" w:ascii="宋体" w:hAnsi="宋体" w:cs="宋体"/>
          <w:sz w:val="24"/>
        </w:rPr>
        <w:t>5.2 按照合同约定支付工程款；</w:t>
      </w:r>
    </w:p>
    <w:p w14:paraId="5C0D072F">
      <w:pPr>
        <w:spacing w:line="480" w:lineRule="auto"/>
        <w:ind w:firstLine="480" w:firstLineChars="200"/>
        <w:rPr>
          <w:rFonts w:hint="eastAsia" w:ascii="宋体" w:hAnsi="宋体" w:cs="宋体"/>
          <w:sz w:val="24"/>
        </w:rPr>
      </w:pPr>
      <w:r>
        <w:rPr>
          <w:rFonts w:hint="eastAsia" w:ascii="宋体" w:hAnsi="宋体" w:cs="宋体"/>
          <w:sz w:val="24"/>
        </w:rPr>
        <w:t>5.3 工程完工后组织对工程的验收。</w:t>
      </w:r>
    </w:p>
    <w:p w14:paraId="138D9554">
      <w:pPr>
        <w:spacing w:line="360" w:lineRule="auto"/>
        <w:ind w:firstLine="562" w:firstLineChars="200"/>
        <w:outlineLvl w:val="0"/>
        <w:rPr>
          <w:rFonts w:hint="eastAsia" w:ascii="宋体" w:hAnsi="宋体" w:cs="宋体"/>
          <w:b/>
          <w:bCs/>
          <w:sz w:val="28"/>
          <w:szCs w:val="28"/>
        </w:rPr>
      </w:pPr>
      <w:bookmarkStart w:id="23" w:name="_Toc2521"/>
      <w:bookmarkStart w:id="24" w:name="_Toc32496"/>
      <w:r>
        <w:rPr>
          <w:rFonts w:hint="eastAsia" w:ascii="宋体" w:hAnsi="宋体" w:cs="宋体"/>
          <w:b/>
          <w:bCs/>
          <w:sz w:val="28"/>
          <w:szCs w:val="28"/>
        </w:rPr>
        <w:t>五、 质量控制及工艺要求：</w:t>
      </w:r>
      <w:bookmarkEnd w:id="23"/>
      <w:bookmarkEnd w:id="24"/>
    </w:p>
    <w:p w14:paraId="693A4E62">
      <w:pPr>
        <w:spacing w:line="480" w:lineRule="auto"/>
        <w:ind w:firstLine="480" w:firstLineChars="200"/>
        <w:rPr>
          <w:rFonts w:hint="eastAsia" w:ascii="宋体" w:hAnsi="宋体" w:cs="宋体"/>
          <w:sz w:val="24"/>
        </w:rPr>
      </w:pPr>
      <w:r>
        <w:rPr>
          <w:rFonts w:hint="eastAsia" w:ascii="宋体" w:hAnsi="宋体" w:cs="宋体"/>
          <w:sz w:val="24"/>
        </w:rPr>
        <w:t>1.本工程质量标准：合格。</w:t>
      </w:r>
    </w:p>
    <w:p w14:paraId="0535376A">
      <w:pPr>
        <w:spacing w:line="480" w:lineRule="auto"/>
        <w:ind w:left="479" w:leftChars="228"/>
        <w:rPr>
          <w:rFonts w:hint="eastAsia" w:ascii="宋体" w:hAnsi="宋体" w:cs="宋体"/>
          <w:sz w:val="24"/>
        </w:rPr>
      </w:pPr>
      <w:r>
        <w:rPr>
          <w:rFonts w:hint="eastAsia" w:ascii="宋体" w:hAnsi="宋体" w:cs="宋体"/>
          <w:sz w:val="24"/>
        </w:rPr>
        <w:t>2.现场施工执行发包方的各项质量管理制度的相关规定，包括但不限于如下：《 钢筋工程工艺标准做法》</w:t>
      </w:r>
    </w:p>
    <w:p w14:paraId="24706343">
      <w:pPr>
        <w:spacing w:line="480" w:lineRule="auto"/>
        <w:ind w:firstLine="480" w:firstLineChars="200"/>
        <w:rPr>
          <w:rFonts w:hint="eastAsia" w:ascii="宋体" w:hAnsi="宋体" w:cs="宋体"/>
          <w:sz w:val="24"/>
        </w:rPr>
      </w:pPr>
      <w:r>
        <w:rPr>
          <w:rFonts w:hint="eastAsia" w:ascii="宋体" w:hAnsi="宋体" w:cs="宋体"/>
          <w:sz w:val="24"/>
        </w:rPr>
        <w:t>《园林景观施工管理规范及验收标准》</w:t>
      </w:r>
    </w:p>
    <w:p w14:paraId="267690C1">
      <w:pPr>
        <w:spacing w:line="480" w:lineRule="auto"/>
        <w:ind w:left="479" w:leftChars="228"/>
        <w:rPr>
          <w:rFonts w:hint="eastAsia" w:ascii="宋体" w:hAnsi="宋体" w:cs="宋体"/>
          <w:sz w:val="24"/>
        </w:rPr>
      </w:pPr>
      <w:r>
        <w:rPr>
          <w:rFonts w:hint="eastAsia" w:ascii="宋体" w:hAnsi="宋体" w:cs="宋体"/>
          <w:sz w:val="24"/>
        </w:rPr>
        <w:t>《绿化工程整地质量检查验收记录表》</w:t>
      </w:r>
    </w:p>
    <w:p w14:paraId="75E8C551">
      <w:pPr>
        <w:spacing w:line="480" w:lineRule="auto"/>
        <w:ind w:left="479" w:leftChars="228"/>
        <w:rPr>
          <w:rFonts w:hint="eastAsia" w:ascii="宋体" w:hAnsi="宋体" w:cs="宋体"/>
          <w:sz w:val="24"/>
        </w:rPr>
      </w:pPr>
      <w:r>
        <w:rPr>
          <w:rFonts w:hint="eastAsia" w:ascii="宋体" w:hAnsi="宋体" w:cs="宋体"/>
          <w:sz w:val="24"/>
        </w:rPr>
        <w:t>《苗木进场验收表》</w:t>
      </w:r>
    </w:p>
    <w:p w14:paraId="1EFE2765">
      <w:pPr>
        <w:spacing w:line="480" w:lineRule="auto"/>
        <w:ind w:left="479" w:leftChars="228"/>
        <w:rPr>
          <w:rFonts w:hint="eastAsia" w:ascii="宋体" w:hAnsi="宋体" w:cs="宋体"/>
          <w:sz w:val="24"/>
        </w:rPr>
      </w:pPr>
      <w:r>
        <w:rPr>
          <w:rFonts w:hint="eastAsia" w:ascii="宋体" w:hAnsi="宋体" w:cs="宋体"/>
          <w:sz w:val="24"/>
        </w:rPr>
        <w:t>《苗木种植分项工程检查记录表》</w:t>
      </w:r>
    </w:p>
    <w:p w14:paraId="2576F309">
      <w:pPr>
        <w:spacing w:line="480" w:lineRule="auto"/>
        <w:ind w:left="479" w:leftChars="228"/>
        <w:rPr>
          <w:rFonts w:hint="eastAsia" w:ascii="宋体" w:hAnsi="宋体" w:cs="宋体"/>
          <w:sz w:val="24"/>
        </w:rPr>
      </w:pPr>
      <w:r>
        <w:rPr>
          <w:rFonts w:hint="eastAsia" w:ascii="宋体" w:hAnsi="宋体" w:cs="宋体"/>
          <w:sz w:val="24"/>
        </w:rPr>
        <w:t>《回填土方检查验收记录》</w:t>
      </w:r>
    </w:p>
    <w:p w14:paraId="1BF87908">
      <w:pPr>
        <w:spacing w:line="480" w:lineRule="auto"/>
        <w:ind w:left="479" w:leftChars="228"/>
        <w:rPr>
          <w:rFonts w:hint="eastAsia" w:ascii="宋体" w:hAnsi="宋体" w:cs="宋体"/>
          <w:sz w:val="24"/>
        </w:rPr>
      </w:pPr>
      <w:r>
        <w:rPr>
          <w:rFonts w:hint="eastAsia" w:ascii="宋体" w:hAnsi="宋体" w:cs="宋体"/>
          <w:sz w:val="24"/>
        </w:rPr>
        <w:t>承包方提出所有相关施工方案、施工组织设计均需满足上述制度的要求。</w:t>
      </w:r>
    </w:p>
    <w:p w14:paraId="76838168">
      <w:pPr>
        <w:spacing w:line="480" w:lineRule="auto"/>
        <w:ind w:left="479" w:leftChars="228"/>
        <w:rPr>
          <w:rFonts w:hint="eastAsia" w:ascii="宋体" w:hAnsi="宋体" w:cs="宋体"/>
          <w:sz w:val="24"/>
        </w:rPr>
      </w:pPr>
      <w:r>
        <w:rPr>
          <w:rFonts w:hint="eastAsia" w:ascii="宋体" w:hAnsi="宋体" w:cs="宋体"/>
          <w:sz w:val="24"/>
        </w:rPr>
        <w:t>3.现场全面执行样板施工制度，在施工中严格遵守发包方制定的“样板引路”制度，所有工序要求在现场施工样板并确认后方可实施并大面积展开施工。未经样板确认就大面施工而导致的返工由承包方负全责，且已开展工作执行全面返工和不少于10000元人民币/次的处罚。</w:t>
      </w:r>
    </w:p>
    <w:p w14:paraId="25F5E28D">
      <w:pPr>
        <w:spacing w:line="480" w:lineRule="auto"/>
        <w:ind w:left="479" w:leftChars="228"/>
        <w:rPr>
          <w:rFonts w:hint="eastAsia" w:ascii="宋体" w:hAnsi="宋体" w:cs="宋体"/>
          <w:sz w:val="24"/>
        </w:rPr>
      </w:pPr>
      <w:r>
        <w:rPr>
          <w:rFonts w:hint="eastAsia" w:ascii="宋体" w:hAnsi="宋体" w:cs="宋体"/>
          <w:sz w:val="24"/>
        </w:rPr>
        <w:t>4.在工程隐蔽前，按发包单位要求绘制景观竣工图(满足能根据该图查询隐蔽后的线管实际走向和位置)，该图上详细标明各种线管的具体位置和详细尺寸，并在现场牌示标明各种管线的名称、位置和走向。该图纸为验收和工程移交</w:t>
      </w:r>
      <w:r>
        <w:rPr>
          <w:rFonts w:hint="eastAsia" w:ascii="宋体" w:hAnsi="宋体" w:cs="宋体"/>
          <w:color w:val="000000"/>
          <w:sz w:val="24"/>
        </w:rPr>
        <w:t>的资料之一</w:t>
      </w:r>
      <w:r>
        <w:rPr>
          <w:rFonts w:hint="eastAsia" w:ascii="宋体" w:hAnsi="宋体" w:cs="宋体"/>
          <w:sz w:val="24"/>
        </w:rPr>
        <w:t>。未提交相关隐蔽图纸和完成现场标示的，按1000元人民币/次（处/项）进行处罚。</w:t>
      </w:r>
    </w:p>
    <w:p w14:paraId="5ED59A6D">
      <w:pPr>
        <w:spacing w:line="480" w:lineRule="auto"/>
        <w:ind w:left="479" w:leftChars="228"/>
        <w:rPr>
          <w:rFonts w:hint="eastAsia" w:ascii="宋体" w:hAnsi="宋体" w:cs="宋体"/>
          <w:sz w:val="24"/>
        </w:rPr>
      </w:pPr>
      <w:r>
        <w:rPr>
          <w:rFonts w:hint="eastAsia" w:ascii="宋体" w:hAnsi="宋体" w:cs="宋体"/>
          <w:sz w:val="24"/>
        </w:rPr>
        <w:t>5.对于招标人发出的整改通知单（包含质量和安全），</w:t>
      </w:r>
      <w:r>
        <w:rPr>
          <w:rFonts w:hint="eastAsia" w:ascii="宋体" w:hAnsi="宋体" w:cs="宋体"/>
          <w:color w:val="000000"/>
          <w:sz w:val="24"/>
        </w:rPr>
        <w:t>必须在3日内整改</w:t>
      </w:r>
      <w:r>
        <w:rPr>
          <w:rFonts w:hint="eastAsia" w:ascii="宋体" w:hAnsi="宋体" w:cs="宋体"/>
          <w:sz w:val="24"/>
        </w:rPr>
        <w:t>到位并进行书面回复，否则将按照5000元人民币/次（处/项）进行处罚。</w:t>
      </w:r>
    </w:p>
    <w:p w14:paraId="5923A82F">
      <w:pPr>
        <w:spacing w:line="480" w:lineRule="auto"/>
        <w:ind w:firstLine="482" w:firstLineChars="200"/>
        <w:rPr>
          <w:rFonts w:hint="eastAsia" w:ascii="宋体" w:hAnsi="宋体" w:cs="宋体"/>
          <w:b/>
          <w:bCs/>
          <w:color w:val="000000"/>
          <w:sz w:val="24"/>
        </w:rPr>
      </w:pPr>
      <w:r>
        <w:rPr>
          <w:rFonts w:hint="eastAsia" w:ascii="宋体" w:hAnsi="宋体" w:cs="宋体"/>
          <w:b/>
          <w:bCs/>
          <w:color w:val="000000"/>
          <w:sz w:val="24"/>
        </w:rPr>
        <w:t>6</w:t>
      </w:r>
      <w:r>
        <w:rPr>
          <w:rFonts w:hint="eastAsia" w:ascii="宋体" w:hAnsi="宋体" w:cs="宋体"/>
          <w:b/>
          <w:bCs/>
          <w:sz w:val="24"/>
        </w:rPr>
        <w:t>土建施工工艺及质量控制要点（如有）</w:t>
      </w:r>
    </w:p>
    <w:p w14:paraId="44600A07">
      <w:pPr>
        <w:spacing w:line="480" w:lineRule="auto"/>
        <w:ind w:firstLine="482" w:firstLineChars="200"/>
        <w:rPr>
          <w:rFonts w:ascii="宋体" w:hAnsi="宋体" w:cs="宋体"/>
          <w:b/>
          <w:bCs/>
          <w:sz w:val="24"/>
        </w:rPr>
      </w:pPr>
      <w:r>
        <w:rPr>
          <w:rFonts w:hint="eastAsia" w:ascii="宋体" w:hAnsi="宋体" w:cs="宋体"/>
          <w:b/>
          <w:bCs/>
          <w:sz w:val="24"/>
        </w:rPr>
        <w:t>6.1图纸技术要求</w:t>
      </w:r>
    </w:p>
    <w:p w14:paraId="5D530D3F">
      <w:pPr>
        <w:spacing w:line="480" w:lineRule="auto"/>
        <w:ind w:left="479" w:leftChars="228"/>
        <w:rPr>
          <w:rFonts w:hint="eastAsia" w:ascii="宋体" w:hAnsi="宋体" w:cs="宋体"/>
          <w:sz w:val="24"/>
        </w:rPr>
      </w:pPr>
      <w:r>
        <w:rPr>
          <w:rFonts w:hint="eastAsia" w:ascii="宋体" w:hAnsi="宋体" w:cs="宋体"/>
          <w:sz w:val="24"/>
        </w:rPr>
        <w:t>本图纸标高分为绝对标高和相对标高，详见相关图纸说明。</w:t>
      </w:r>
    </w:p>
    <w:p w14:paraId="66C9CF9B">
      <w:pPr>
        <w:spacing w:line="480" w:lineRule="auto"/>
        <w:ind w:left="479" w:leftChars="228"/>
        <w:rPr>
          <w:rFonts w:hint="eastAsia" w:ascii="宋体" w:hAnsi="宋体" w:cs="宋体"/>
          <w:sz w:val="24"/>
        </w:rPr>
      </w:pPr>
      <w:r>
        <w:rPr>
          <w:rFonts w:hint="eastAsia" w:ascii="宋体" w:hAnsi="宋体" w:cs="宋体"/>
          <w:sz w:val="24"/>
        </w:rPr>
        <w:t>6.1.1 本图纸尺寸除有特别说明外均以（mm）为单位，标高以（m）为单位。</w:t>
      </w:r>
    </w:p>
    <w:p w14:paraId="5958EADD">
      <w:pPr>
        <w:spacing w:line="480" w:lineRule="auto"/>
        <w:ind w:left="479" w:leftChars="228"/>
        <w:rPr>
          <w:rFonts w:hint="eastAsia" w:ascii="宋体" w:hAnsi="宋体" w:cs="宋体"/>
          <w:sz w:val="24"/>
        </w:rPr>
      </w:pPr>
      <w:r>
        <w:rPr>
          <w:rFonts w:hint="eastAsia" w:ascii="宋体" w:hAnsi="宋体" w:cs="宋体"/>
          <w:sz w:val="24"/>
        </w:rPr>
        <w:t>6.1.2 本图须与总图、绿化、建筑、园建、给水、电气等有关专业图纸同时配合施工。预先做好施工组织设计，在时间和空间上应有足够的计划安排。</w:t>
      </w:r>
    </w:p>
    <w:p w14:paraId="24F31789">
      <w:pPr>
        <w:spacing w:line="480" w:lineRule="auto"/>
        <w:ind w:left="479" w:leftChars="228"/>
        <w:rPr>
          <w:rFonts w:hint="eastAsia" w:ascii="宋体" w:hAnsi="宋体" w:cs="宋体"/>
          <w:sz w:val="24"/>
        </w:rPr>
      </w:pPr>
      <w:r>
        <w:rPr>
          <w:rFonts w:hint="eastAsia" w:ascii="宋体" w:hAnsi="宋体" w:cs="宋体"/>
          <w:sz w:val="24"/>
        </w:rPr>
        <w:t>6.1.3务必审阅清单充分，开工前完成清单会审。</w:t>
      </w:r>
    </w:p>
    <w:p w14:paraId="044F7A8D">
      <w:pPr>
        <w:spacing w:line="480" w:lineRule="auto"/>
        <w:ind w:left="479" w:leftChars="228"/>
        <w:rPr>
          <w:rFonts w:hint="eastAsia" w:ascii="宋体" w:hAnsi="宋体" w:cs="宋体"/>
          <w:sz w:val="24"/>
        </w:rPr>
      </w:pPr>
      <w:r>
        <w:rPr>
          <w:rFonts w:hint="eastAsia" w:ascii="宋体" w:hAnsi="宋体" w:cs="宋体"/>
          <w:sz w:val="24"/>
        </w:rPr>
        <w:t>6.1.4 所有材料须有国家或部、省、市认可的产品合格证，替代品必须得到有关部门批准方可使用。</w:t>
      </w:r>
    </w:p>
    <w:p w14:paraId="042922FF">
      <w:pPr>
        <w:spacing w:line="480" w:lineRule="auto"/>
        <w:ind w:left="479" w:leftChars="228"/>
        <w:rPr>
          <w:rFonts w:hint="eastAsia" w:ascii="宋体" w:hAnsi="宋体" w:cs="宋体"/>
          <w:sz w:val="24"/>
        </w:rPr>
      </w:pPr>
      <w:r>
        <w:rPr>
          <w:rFonts w:hint="eastAsia" w:ascii="宋体" w:hAnsi="宋体" w:cs="宋体"/>
          <w:sz w:val="24"/>
        </w:rPr>
        <w:t>6.1.5其它详尽说明详见相关图纸。</w:t>
      </w:r>
    </w:p>
    <w:p w14:paraId="72851386">
      <w:pPr>
        <w:widowControl/>
        <w:spacing w:line="480" w:lineRule="auto"/>
        <w:ind w:firstLine="480" w:firstLineChars="200"/>
        <w:rPr>
          <w:rFonts w:hint="eastAsia" w:ascii="宋体" w:hAnsi="宋体" w:cs="宋体"/>
          <w:b/>
          <w:bCs/>
          <w:color w:val="000000"/>
          <w:sz w:val="24"/>
        </w:rPr>
      </w:pPr>
      <w:r>
        <w:rPr>
          <w:rFonts w:hint="eastAsia" w:ascii="宋体" w:hAnsi="宋体" w:cs="宋体"/>
          <w:sz w:val="24"/>
        </w:rPr>
        <w:t>6.2</w:t>
      </w:r>
      <w:r>
        <w:rPr>
          <w:rFonts w:hint="eastAsia" w:ascii="宋体" w:hAnsi="宋体" w:cs="宋体"/>
          <w:b/>
          <w:bCs/>
          <w:color w:val="000000"/>
          <w:sz w:val="24"/>
        </w:rPr>
        <w:t>绿化养护</w:t>
      </w:r>
    </w:p>
    <w:p w14:paraId="276135E3">
      <w:pPr>
        <w:spacing w:line="480" w:lineRule="auto"/>
        <w:ind w:left="479" w:leftChars="228"/>
        <w:rPr>
          <w:rFonts w:hint="eastAsia" w:ascii="宋体" w:hAnsi="宋体" w:cs="宋体"/>
          <w:sz w:val="24"/>
        </w:rPr>
      </w:pPr>
      <w:r>
        <w:rPr>
          <w:rFonts w:hint="eastAsia" w:ascii="宋体" w:hAnsi="宋体" w:cs="宋体"/>
          <w:sz w:val="24"/>
        </w:rPr>
        <w:t>园林绿化养护要求，必须安排专人现场进行养护，绿化工程完成验收后开始记算，养护时间为1年，1年内出现非人为原因病死、坏死或自然死亡，绿化施工单位均需进行免费更换。养护期内，应及时更新复壮受损植物等，并能按设计意图和植物生态特性，如：喜阳、喜阴、耐旱、耐湿等分别养护，且根据植物生长不同阶段及时调整，保持丰富的层次和群落结构，在养护期内负责清理杂物、浇水保持土壤湿润、追肥、修建整形、抹不定芽、防风、防治病虫害（应选无公害农药）、除杂草、排渍除涝等，其中：</w:t>
      </w:r>
    </w:p>
    <w:p w14:paraId="3AA86504">
      <w:pPr>
        <w:spacing w:line="480" w:lineRule="auto"/>
        <w:ind w:left="479" w:leftChars="228"/>
        <w:rPr>
          <w:rFonts w:hint="eastAsia" w:ascii="宋体" w:hAnsi="宋体" w:cs="宋体"/>
          <w:sz w:val="24"/>
        </w:rPr>
      </w:pPr>
      <w:r>
        <w:rPr>
          <w:rFonts w:hint="eastAsia" w:ascii="宋体" w:hAnsi="宋体" w:cs="宋体"/>
          <w:sz w:val="24"/>
        </w:rPr>
        <w:t>6.2.1 追肥：主要追施氮肥和复合肥。草地追肥多为氮肥，在养护期 6 个月内，按面积计算约每月每平方米50g（分2～3次）尿素做追肥，可撒施或水施。施工时的具体用量依实而定。</w:t>
      </w:r>
    </w:p>
    <w:p w14:paraId="086994B3">
      <w:pPr>
        <w:spacing w:line="480" w:lineRule="auto"/>
        <w:ind w:left="479" w:leftChars="228"/>
        <w:rPr>
          <w:rFonts w:hint="eastAsia" w:ascii="宋体" w:hAnsi="宋体" w:cs="宋体"/>
          <w:sz w:val="24"/>
        </w:rPr>
      </w:pPr>
      <w:r>
        <w:rPr>
          <w:rFonts w:hint="eastAsia" w:ascii="宋体" w:hAnsi="宋体" w:cs="宋体"/>
          <w:sz w:val="24"/>
        </w:rPr>
        <w:t>6.2.2 浇水：为确保土壤适当潮湿利于良好生长，所有植物都要加强肥水管理。在早期的成活阶段应勤浇水，干旱季节应每日浇水，潮湿季节在需要时浇水。</w:t>
      </w:r>
    </w:p>
    <w:p w14:paraId="646C04A8">
      <w:pPr>
        <w:spacing w:line="480" w:lineRule="auto"/>
        <w:ind w:left="479" w:leftChars="228"/>
        <w:rPr>
          <w:rFonts w:hint="eastAsia" w:ascii="宋体" w:hAnsi="宋体" w:cs="宋体"/>
          <w:sz w:val="24"/>
        </w:rPr>
      </w:pPr>
      <w:r>
        <w:rPr>
          <w:rFonts w:hint="eastAsia" w:ascii="宋体" w:hAnsi="宋体" w:cs="宋体"/>
          <w:sz w:val="24"/>
        </w:rPr>
        <w:t>6.2.3 除草：保证种植区域无杂草，至少每月应彻底除草一次，所有被去除掉的覆盖料与土壤应重新填回。将所有除掉的杂草与垃圾搬离绿地。</w:t>
      </w:r>
    </w:p>
    <w:p w14:paraId="499082E2">
      <w:pPr>
        <w:spacing w:line="480" w:lineRule="auto"/>
        <w:ind w:left="479" w:leftChars="228"/>
        <w:rPr>
          <w:rFonts w:hint="eastAsia" w:ascii="宋体" w:hAnsi="宋体" w:cs="宋体"/>
          <w:sz w:val="24"/>
        </w:rPr>
      </w:pPr>
      <w:r>
        <w:rPr>
          <w:rFonts w:hint="eastAsia" w:ascii="宋体" w:hAnsi="宋体" w:cs="宋体"/>
          <w:sz w:val="24"/>
        </w:rPr>
        <w:t>6.2.4 修剪：修剪是以加速植物繁茂生长，促进开花，所有死、坏枝条及枯花应及时去除。修建时期依不同植物品种而定。用锋利剪刀修剪整齐切口避免撕破，修剪枝条时切口应与茎齐平。所有直径＞3cm的切口应涂以适当保护材料。</w:t>
      </w:r>
    </w:p>
    <w:p w14:paraId="611953F0">
      <w:pPr>
        <w:spacing w:line="480" w:lineRule="auto"/>
        <w:ind w:left="479" w:leftChars="228"/>
        <w:rPr>
          <w:rFonts w:hint="eastAsia" w:ascii="宋体" w:hAnsi="宋体" w:cs="宋体"/>
          <w:sz w:val="24"/>
        </w:rPr>
      </w:pPr>
      <w:r>
        <w:rPr>
          <w:rFonts w:hint="eastAsia" w:ascii="宋体" w:hAnsi="宋体" w:cs="宋体"/>
          <w:sz w:val="24"/>
        </w:rPr>
        <w:t>6.2.5 病虫害防治：以预防为主，定期检查所有地面植物是否被病虫害感染。鉴定感染特征，种类；及时消除所有病害。</w:t>
      </w:r>
    </w:p>
    <w:p w14:paraId="5CD6212F">
      <w:pPr>
        <w:spacing w:line="480" w:lineRule="auto"/>
        <w:ind w:left="479" w:leftChars="228"/>
        <w:rPr>
          <w:rFonts w:hint="eastAsia" w:ascii="宋体" w:hAnsi="宋体" w:cs="宋体"/>
          <w:sz w:val="24"/>
        </w:rPr>
      </w:pPr>
      <w:r>
        <w:rPr>
          <w:rFonts w:hint="eastAsia" w:ascii="宋体" w:hAnsi="宋体" w:cs="宋体"/>
          <w:sz w:val="24"/>
        </w:rPr>
        <w:t>6.2.6修剪草坪：在主要生长季每月至少剪草一次，手剪或机械剪不限。干旱季节应修剪两次，留茬高度依不同品种而定，一般为50mm。被剪下的草应收集在一起，从基地运走。</w:t>
      </w:r>
    </w:p>
    <w:p w14:paraId="06AC4428">
      <w:pPr>
        <w:spacing w:line="480" w:lineRule="auto"/>
        <w:ind w:left="479" w:leftChars="228"/>
        <w:rPr>
          <w:rFonts w:hint="eastAsia" w:ascii="宋体" w:hAnsi="宋体" w:cs="宋体"/>
          <w:sz w:val="24"/>
        </w:rPr>
      </w:pPr>
      <w:r>
        <w:rPr>
          <w:rFonts w:hint="eastAsia" w:ascii="宋体" w:hAnsi="宋体" w:cs="宋体"/>
          <w:sz w:val="24"/>
        </w:rPr>
        <w:t>6.2.7 施工场地清理：种植施工完成后，应立即清理施工现场四周的施工杂物，维护施工中因不慎破坏的道路设施，保证道路及施工现场整洁，体现文明施工。</w:t>
      </w:r>
    </w:p>
    <w:p w14:paraId="2C80BA0F">
      <w:pPr>
        <w:spacing w:line="360" w:lineRule="auto"/>
        <w:ind w:firstLine="562" w:firstLineChars="200"/>
        <w:outlineLvl w:val="0"/>
        <w:rPr>
          <w:rFonts w:hint="eastAsia" w:ascii="宋体" w:hAnsi="宋体" w:cs="宋体"/>
          <w:b/>
          <w:bCs/>
          <w:sz w:val="28"/>
          <w:szCs w:val="28"/>
        </w:rPr>
      </w:pPr>
      <w:bookmarkStart w:id="25" w:name="_Toc24554"/>
      <w:bookmarkStart w:id="26" w:name="_Toc31250"/>
      <w:r>
        <w:rPr>
          <w:rFonts w:hint="eastAsia" w:ascii="宋体" w:hAnsi="宋体" w:cs="宋体"/>
          <w:b/>
          <w:bCs/>
          <w:sz w:val="28"/>
          <w:szCs w:val="28"/>
        </w:rPr>
        <w:t>六、施工用水、用电要求和临时生活区的布置</w:t>
      </w:r>
      <w:bookmarkEnd w:id="25"/>
      <w:bookmarkEnd w:id="26"/>
    </w:p>
    <w:p w14:paraId="4D71A080">
      <w:pPr>
        <w:spacing w:line="480" w:lineRule="auto"/>
        <w:ind w:left="479" w:leftChars="228"/>
        <w:outlineLvl w:val="1"/>
        <w:rPr>
          <w:rFonts w:hint="eastAsia" w:ascii="宋体" w:hAnsi="宋体" w:cs="宋体"/>
          <w:sz w:val="24"/>
        </w:rPr>
      </w:pPr>
      <w:bookmarkStart w:id="27" w:name="_Toc7878"/>
      <w:r>
        <w:rPr>
          <w:rFonts w:hint="eastAsia" w:ascii="宋体" w:hAnsi="宋体" w:cs="宋体"/>
          <w:sz w:val="24"/>
        </w:rPr>
        <w:t>6.2施工用水：</w:t>
      </w:r>
      <w:bookmarkEnd w:id="27"/>
    </w:p>
    <w:p w14:paraId="069648E8">
      <w:pPr>
        <w:spacing w:line="480" w:lineRule="auto"/>
        <w:ind w:left="479" w:leftChars="228"/>
        <w:rPr>
          <w:rFonts w:hint="eastAsia" w:ascii="宋体" w:hAnsi="宋体" w:cs="宋体"/>
          <w:sz w:val="24"/>
        </w:rPr>
      </w:pPr>
      <w:r>
        <w:rPr>
          <w:rFonts w:hint="eastAsia" w:ascii="宋体" w:hAnsi="宋体" w:cs="宋体"/>
          <w:sz w:val="24"/>
        </w:rPr>
        <w:t>6.2.1招标人只提供现场现状，施工用水由承包人自行解决，费用在报价中综合考虑，结算时不予调整；</w:t>
      </w:r>
    </w:p>
    <w:p w14:paraId="2D1ABEB0">
      <w:pPr>
        <w:spacing w:line="480" w:lineRule="auto"/>
        <w:ind w:left="479" w:leftChars="228"/>
        <w:rPr>
          <w:rFonts w:hint="eastAsia" w:ascii="宋体" w:hAnsi="宋体" w:cs="宋体"/>
          <w:sz w:val="24"/>
        </w:rPr>
      </w:pPr>
      <w:r>
        <w:rPr>
          <w:rFonts w:hint="eastAsia" w:ascii="宋体" w:hAnsi="宋体" w:cs="宋体"/>
          <w:sz w:val="24"/>
        </w:rPr>
        <w:t>6.2.2中标人进场后应在现场（监理人或招标人指定位置）完成储水池及用水加压设备，保证满足施工消防用水、施工用水等要求。设备设施要求维持到综合验收完成并通过监理人或招标人的书面同意下才能拆除。</w:t>
      </w:r>
    </w:p>
    <w:p w14:paraId="36B4FEB9">
      <w:pPr>
        <w:spacing w:line="480" w:lineRule="auto"/>
        <w:ind w:left="479" w:leftChars="228"/>
        <w:outlineLvl w:val="1"/>
        <w:rPr>
          <w:rFonts w:hint="eastAsia" w:ascii="宋体" w:hAnsi="宋体" w:cs="宋体"/>
          <w:sz w:val="24"/>
        </w:rPr>
      </w:pPr>
      <w:bookmarkStart w:id="28" w:name="_Toc5098"/>
      <w:r>
        <w:rPr>
          <w:rFonts w:hint="eastAsia" w:ascii="宋体" w:hAnsi="宋体" w:cs="宋体"/>
          <w:sz w:val="24"/>
        </w:rPr>
        <w:t>6.3电气：</w:t>
      </w:r>
      <w:bookmarkEnd w:id="28"/>
    </w:p>
    <w:p w14:paraId="6E02DB26">
      <w:pPr>
        <w:spacing w:line="480" w:lineRule="auto"/>
        <w:ind w:left="479" w:leftChars="228"/>
        <w:rPr>
          <w:rFonts w:hint="eastAsia" w:ascii="宋体" w:hAnsi="宋体" w:cs="宋体"/>
          <w:sz w:val="24"/>
        </w:rPr>
      </w:pPr>
      <w:r>
        <w:rPr>
          <w:rFonts w:hint="eastAsia" w:ascii="宋体" w:hAnsi="宋体" w:cs="宋体"/>
          <w:sz w:val="24"/>
        </w:rPr>
        <w:t>6.3.1 招标人只提供现场现状，施工用电（含接驳费）由中标单位自行解决，费用在报价中综合考虑，结算时不予调整。</w:t>
      </w:r>
    </w:p>
    <w:p w14:paraId="2F8419D1">
      <w:pPr>
        <w:spacing w:line="480" w:lineRule="auto"/>
        <w:ind w:left="479" w:leftChars="228"/>
        <w:rPr>
          <w:rFonts w:hint="eastAsia" w:ascii="宋体" w:hAnsi="宋体" w:cs="宋体"/>
          <w:sz w:val="24"/>
        </w:rPr>
      </w:pPr>
      <w:r>
        <w:rPr>
          <w:rFonts w:hint="eastAsia" w:ascii="宋体" w:hAnsi="宋体" w:cs="宋体"/>
          <w:sz w:val="24"/>
        </w:rPr>
        <w:t>6.3.3计量电表箱出线至施工用电总电房的电表需要有供电局效验合格证书。必须按招标人工程师审定的路径埋设。</w:t>
      </w:r>
    </w:p>
    <w:p w14:paraId="606AA936">
      <w:pPr>
        <w:spacing w:line="480" w:lineRule="auto"/>
        <w:ind w:left="479" w:leftChars="228"/>
        <w:rPr>
          <w:rFonts w:hint="eastAsia" w:ascii="宋体" w:hAnsi="宋体" w:cs="宋体"/>
          <w:sz w:val="24"/>
        </w:rPr>
      </w:pPr>
      <w:r>
        <w:rPr>
          <w:rFonts w:hint="eastAsia" w:ascii="宋体" w:hAnsi="宋体" w:cs="宋体"/>
          <w:sz w:val="24"/>
        </w:rPr>
        <w:t>6.3.4 各承包方须自备发电机，负荷需满足施工以及相关要求，租赁及使用费用考虑在综合单价内考虑。</w:t>
      </w:r>
    </w:p>
    <w:p w14:paraId="37DB6C1F">
      <w:pPr>
        <w:spacing w:line="480" w:lineRule="auto"/>
        <w:ind w:left="479" w:leftChars="228"/>
        <w:rPr>
          <w:rFonts w:hint="eastAsia" w:ascii="宋体" w:hAnsi="宋体" w:cs="宋体"/>
          <w:sz w:val="24"/>
        </w:rPr>
      </w:pPr>
      <w:r>
        <w:rPr>
          <w:rFonts w:hint="eastAsia" w:ascii="宋体" w:hAnsi="宋体" w:cs="宋体"/>
          <w:sz w:val="24"/>
        </w:rPr>
        <w:t>6.3.5现场临水、临电安装需满足《建筑施工安全检查标准》JQJ59-2011等相关要求。</w:t>
      </w:r>
    </w:p>
    <w:p w14:paraId="0530DB50">
      <w:pPr>
        <w:spacing w:line="480" w:lineRule="auto"/>
        <w:ind w:left="479" w:leftChars="228"/>
        <w:outlineLvl w:val="1"/>
        <w:rPr>
          <w:rFonts w:hint="eastAsia" w:ascii="宋体" w:hAnsi="宋体" w:cs="宋体"/>
          <w:sz w:val="24"/>
        </w:rPr>
      </w:pPr>
      <w:bookmarkStart w:id="29" w:name="_Toc5239"/>
      <w:r>
        <w:rPr>
          <w:rFonts w:hint="eastAsia" w:ascii="宋体" w:hAnsi="宋体" w:cs="宋体"/>
          <w:sz w:val="24"/>
        </w:rPr>
        <w:t>6.4 生活、办公用房</w:t>
      </w:r>
      <w:bookmarkEnd w:id="29"/>
    </w:p>
    <w:p w14:paraId="1DAE500F">
      <w:pPr>
        <w:spacing w:line="480" w:lineRule="auto"/>
        <w:ind w:left="479" w:leftChars="228"/>
        <w:rPr>
          <w:rFonts w:hint="eastAsia" w:ascii="宋体" w:hAnsi="宋体" w:cs="宋体"/>
          <w:sz w:val="24"/>
        </w:rPr>
      </w:pPr>
      <w:r>
        <w:rPr>
          <w:rFonts w:hint="eastAsia" w:ascii="宋体" w:hAnsi="宋体" w:cs="宋体"/>
          <w:sz w:val="24"/>
        </w:rPr>
        <w:t>6.4.1 因本项目受场地影响，发包方不提供搭建临时板房的场地；生活、办公场所由投标方综合考虑到附近居民村租用民房作为生活、办公所用，所需费用投标时，综合考虑报价，中标后发包方不另外增加费用。</w:t>
      </w:r>
    </w:p>
    <w:p w14:paraId="610AF39D">
      <w:pPr>
        <w:spacing w:line="480" w:lineRule="auto"/>
        <w:ind w:left="479" w:leftChars="228"/>
        <w:outlineLvl w:val="1"/>
        <w:rPr>
          <w:rFonts w:hint="eastAsia" w:ascii="宋体" w:hAnsi="宋体" w:cs="宋体"/>
          <w:sz w:val="24"/>
        </w:rPr>
      </w:pPr>
      <w:bookmarkStart w:id="30" w:name="_Toc21909"/>
      <w:r>
        <w:rPr>
          <w:rFonts w:hint="eastAsia" w:ascii="宋体" w:hAnsi="宋体" w:cs="宋体"/>
          <w:sz w:val="24"/>
        </w:rPr>
        <w:t>6.5 其他</w:t>
      </w:r>
      <w:bookmarkEnd w:id="30"/>
    </w:p>
    <w:p w14:paraId="5483B968">
      <w:pPr>
        <w:spacing w:line="480" w:lineRule="auto"/>
        <w:ind w:left="479" w:leftChars="228"/>
        <w:rPr>
          <w:rFonts w:hint="eastAsia" w:ascii="宋体" w:hAnsi="宋体" w:cs="宋体"/>
          <w:sz w:val="24"/>
        </w:rPr>
      </w:pPr>
      <w:r>
        <w:rPr>
          <w:rFonts w:hint="eastAsia" w:ascii="宋体" w:hAnsi="宋体" w:cs="宋体"/>
          <w:sz w:val="24"/>
        </w:rPr>
        <w:t>6.5.1中标人应在进场后对各具体施工区域进行放线确认施工范围，并围闭保证施工安全，投标人在投标时综合考虑，招标人不另外增加费用。</w:t>
      </w:r>
    </w:p>
    <w:p w14:paraId="343E32DD">
      <w:pPr>
        <w:spacing w:line="480" w:lineRule="auto"/>
        <w:ind w:left="479" w:leftChars="228"/>
        <w:rPr>
          <w:rFonts w:hint="eastAsia" w:ascii="宋体" w:hAnsi="宋体" w:cs="宋体"/>
          <w:sz w:val="24"/>
        </w:rPr>
      </w:pPr>
      <w:r>
        <w:rPr>
          <w:rFonts w:hint="eastAsia" w:ascii="宋体" w:hAnsi="宋体" w:cs="宋体"/>
          <w:sz w:val="24"/>
        </w:rPr>
        <w:t>6.5.2为保证工程进度，中标人需考虑采取发电机、洒水车等一切可行措施进行供电和供水，相关费用在投标报价中考虑。</w:t>
      </w:r>
    </w:p>
    <w:p w14:paraId="6F832F1F">
      <w:pPr>
        <w:spacing w:line="360" w:lineRule="auto"/>
        <w:outlineLvl w:val="0"/>
        <w:rPr>
          <w:rFonts w:hint="eastAsia" w:ascii="宋体" w:hAnsi="宋体" w:cs="宋体"/>
          <w:b/>
          <w:bCs/>
          <w:sz w:val="28"/>
          <w:szCs w:val="28"/>
        </w:rPr>
      </w:pPr>
      <w:bookmarkStart w:id="31" w:name="_Toc25051"/>
      <w:r>
        <w:rPr>
          <w:rFonts w:hint="eastAsia" w:ascii="宋体" w:hAnsi="宋体" w:cs="宋体"/>
          <w:b/>
          <w:bCs/>
          <w:sz w:val="28"/>
          <w:szCs w:val="28"/>
        </w:rPr>
        <w:t>七、安全文明施工要求</w:t>
      </w:r>
      <w:bookmarkEnd w:id="31"/>
    </w:p>
    <w:p w14:paraId="20A17367">
      <w:pPr>
        <w:spacing w:line="480" w:lineRule="auto"/>
        <w:ind w:left="479" w:leftChars="228"/>
        <w:rPr>
          <w:rFonts w:hint="eastAsia" w:ascii="宋体" w:hAnsi="宋体" w:cs="宋体"/>
          <w:sz w:val="24"/>
        </w:rPr>
      </w:pPr>
      <w:r>
        <w:rPr>
          <w:rFonts w:hint="eastAsia" w:ascii="宋体" w:hAnsi="宋体" w:cs="宋体"/>
          <w:sz w:val="24"/>
        </w:rPr>
        <w:t>7.1中标人需严格执行招标人的各项安全文明施工的管理制度，包括但不限于以下：</w:t>
      </w:r>
    </w:p>
    <w:p w14:paraId="6E47832A">
      <w:pPr>
        <w:spacing w:line="480" w:lineRule="auto"/>
        <w:ind w:left="479" w:leftChars="228"/>
        <w:rPr>
          <w:rFonts w:hint="eastAsia" w:ascii="宋体" w:hAnsi="宋体" w:cs="宋体"/>
          <w:sz w:val="24"/>
        </w:rPr>
      </w:pPr>
      <w:r>
        <w:rPr>
          <w:rFonts w:hint="eastAsia" w:ascii="宋体" w:hAnsi="宋体" w:cs="宋体"/>
          <w:sz w:val="24"/>
        </w:rPr>
        <w:t>《正方房产公司项目安全标准化管理指导手册》</w:t>
      </w:r>
    </w:p>
    <w:p w14:paraId="12BDC1B5">
      <w:pPr>
        <w:spacing w:line="480" w:lineRule="auto"/>
        <w:ind w:left="479" w:leftChars="228"/>
        <w:rPr>
          <w:rFonts w:hint="eastAsia" w:ascii="宋体" w:hAnsi="宋体" w:cs="宋体"/>
          <w:sz w:val="24"/>
        </w:rPr>
      </w:pPr>
      <w:r>
        <w:rPr>
          <w:rFonts w:hint="eastAsia" w:ascii="宋体" w:hAnsi="宋体" w:cs="宋体"/>
          <w:sz w:val="24"/>
        </w:rPr>
        <w:t>《正方房产公司项目安全生产管理制度汇编》</w:t>
      </w:r>
    </w:p>
    <w:p w14:paraId="3361F0FC">
      <w:pPr>
        <w:spacing w:line="480" w:lineRule="auto"/>
        <w:ind w:firstLine="480" w:firstLineChars="200"/>
        <w:rPr>
          <w:rFonts w:hint="eastAsia" w:ascii="宋体" w:hAnsi="宋体" w:cs="宋体"/>
          <w:sz w:val="24"/>
        </w:rPr>
      </w:pPr>
      <w:r>
        <w:rPr>
          <w:rFonts w:hint="eastAsia" w:ascii="宋体" w:hAnsi="宋体" w:cs="宋体"/>
          <w:sz w:val="24"/>
        </w:rPr>
        <w:t>其他有关的安全文明施工管理规范</w:t>
      </w:r>
    </w:p>
    <w:p w14:paraId="1BEA7304">
      <w:pPr>
        <w:spacing w:line="480" w:lineRule="auto"/>
        <w:ind w:left="479" w:leftChars="228"/>
        <w:rPr>
          <w:rFonts w:hint="eastAsia" w:ascii="宋体" w:hAnsi="宋体" w:cs="宋体"/>
          <w:sz w:val="24"/>
        </w:rPr>
      </w:pPr>
      <w:r>
        <w:rPr>
          <w:rFonts w:hint="eastAsia" w:ascii="宋体" w:hAnsi="宋体" w:cs="宋体"/>
          <w:sz w:val="24"/>
        </w:rPr>
        <w:t>7.2施工单位需严格控制实施施工扬尘控制“六个100%”，即施工现场100%围蔽、工地砂土不用时100%覆盖、工地路面100%硬地化、拆除工程100%洒水降尘、出工地车辆100%冲净车轮车身、施工现场长期裸土100%覆盖或绿化；相关费用总价包干，投标时综合考虑。施工单位若未切实履行上述措施导致受到相关部门处罚的，全部责任由其承担，且我司有权对此另行处罚。</w:t>
      </w:r>
    </w:p>
    <w:p w14:paraId="5A361529">
      <w:pPr>
        <w:spacing w:line="480" w:lineRule="auto"/>
        <w:ind w:left="479" w:leftChars="228"/>
        <w:rPr>
          <w:rFonts w:hint="eastAsia" w:ascii="宋体" w:hAnsi="宋体" w:cs="宋体"/>
          <w:sz w:val="24"/>
        </w:rPr>
      </w:pPr>
      <w:r>
        <w:rPr>
          <w:rFonts w:hint="eastAsia" w:ascii="宋体" w:hAnsi="宋体" w:cs="宋体"/>
          <w:sz w:val="24"/>
        </w:rPr>
        <w:t>7.3 中标人需保证进出市政道路的安全文明施工要求，配合市政道路管理部门做好市政道路的保洁工作；中标人需配备专人管理进出工地的车辆，杜绝车辆带泥出行，配备专人清扫市政道路，且有可靠的洒水措施避免扬尘。如因污染市政道路造成市政管理部门经济处罚，该由相关责任单位承担。中标人须在现场配备自动洗轮机冲洗系统。</w:t>
      </w:r>
    </w:p>
    <w:p w14:paraId="3DF78105">
      <w:pPr>
        <w:spacing w:line="480" w:lineRule="auto"/>
        <w:ind w:left="479" w:leftChars="228"/>
        <w:rPr>
          <w:rFonts w:ascii="宋体" w:hAnsi="宋体" w:cs="宋体"/>
          <w:sz w:val="24"/>
        </w:rPr>
      </w:pPr>
      <w:r>
        <w:rPr>
          <w:rFonts w:hint="eastAsia" w:ascii="宋体" w:hAnsi="宋体" w:cs="宋体"/>
          <w:sz w:val="24"/>
        </w:rPr>
        <w:t>7.4 现场区域临时围蔽，警示带或定型防护。</w:t>
      </w:r>
    </w:p>
    <w:p w14:paraId="1C5F597F">
      <w:pPr>
        <w:spacing w:line="480" w:lineRule="auto"/>
        <w:ind w:left="479" w:leftChars="228"/>
        <w:rPr>
          <w:rFonts w:hint="eastAsia" w:ascii="宋体" w:hAnsi="宋体" w:cs="宋体"/>
          <w:sz w:val="24"/>
        </w:rPr>
      </w:pPr>
      <w:r>
        <w:rPr>
          <w:rFonts w:hint="eastAsia" w:ascii="宋体" w:hAnsi="宋体" w:cs="宋体"/>
          <w:sz w:val="24"/>
        </w:rPr>
        <w:t>7.5 应当做好临边洞口等的围蔽。</w:t>
      </w:r>
    </w:p>
    <w:p w14:paraId="3F6F37EA">
      <w:pPr>
        <w:spacing w:line="480" w:lineRule="auto"/>
        <w:ind w:left="479" w:leftChars="228"/>
        <w:rPr>
          <w:rFonts w:hint="eastAsia" w:ascii="宋体" w:hAnsi="宋体" w:cs="宋体"/>
          <w:sz w:val="24"/>
        </w:rPr>
      </w:pPr>
      <w:r>
        <w:rPr>
          <w:rFonts w:hint="eastAsia" w:ascii="宋体" w:hAnsi="宋体" w:cs="宋体"/>
          <w:sz w:val="24"/>
        </w:rPr>
        <w:t>7.6 临时用电需满足《施工现场临时用电安全技术规范JGJ 46-2005》要求。</w:t>
      </w:r>
    </w:p>
    <w:p w14:paraId="29B1326C">
      <w:pPr>
        <w:spacing w:line="480" w:lineRule="auto"/>
        <w:ind w:left="479" w:leftChars="228"/>
        <w:rPr>
          <w:rFonts w:hint="eastAsia" w:ascii="宋体" w:hAnsi="宋体" w:cs="宋体"/>
          <w:sz w:val="24"/>
        </w:rPr>
      </w:pPr>
      <w:r>
        <w:rPr>
          <w:rFonts w:hint="eastAsia" w:ascii="宋体" w:hAnsi="宋体" w:cs="宋体"/>
          <w:sz w:val="24"/>
        </w:rPr>
        <w:t>7.7 日常施工管理过程中需配合甲方、监理做好每周安全巡查工作，对于巡查发现的安全问题必须在三个日历天内整改完成，并以文件形式回复，公司其他部门或项目部日常巡查后下发的安全问题整改单也需要在三个日历天内整改完成，并以文件形式回复。汽车吊等大型机械使用过程中、脚手架安拆、动火作业等需要安全员全过程旁站；日常施工安全员应督促施工人员按要求穿戴安全帽、荧光衣，疫情期间戴好口罩；做好日常施工临电、防火等安全巡视，做好巡视记录；暴雨期间做好防汛工作。</w:t>
      </w:r>
    </w:p>
    <w:p w14:paraId="3E23CD29">
      <w:pPr>
        <w:spacing w:line="480" w:lineRule="auto"/>
        <w:ind w:left="479" w:leftChars="228"/>
        <w:rPr>
          <w:rFonts w:ascii="宋体" w:hAnsi="宋体" w:cs="宋体"/>
          <w:sz w:val="24"/>
        </w:rPr>
      </w:pPr>
      <w:r>
        <w:rPr>
          <w:rFonts w:hint="eastAsia" w:ascii="宋体" w:hAnsi="宋体" w:cs="宋体"/>
          <w:sz w:val="24"/>
        </w:rPr>
        <w:t>7.8 需对进场施工人员进行安全教育。汽车吊等大型机械使用、移动平台使用、脚手架安拆及使用、动火作业等需配合甲方、监理进行安全交底，完善交底文件；同步按甲方、监理交底内容对班组进行安全交底，并完成交底资料提交监理审核，并报甲方查看。</w:t>
      </w:r>
    </w:p>
    <w:p w14:paraId="6E71C08F">
      <w:pPr>
        <w:spacing w:line="480" w:lineRule="auto"/>
        <w:ind w:left="479" w:leftChars="228"/>
        <w:rPr>
          <w:rFonts w:hint="eastAsia" w:ascii="宋体" w:hAnsi="宋体" w:cs="宋体"/>
          <w:sz w:val="24"/>
        </w:rPr>
      </w:pPr>
      <w:r>
        <w:rPr>
          <w:rFonts w:hint="eastAsia" w:ascii="宋体" w:hAnsi="宋体" w:cs="宋体"/>
          <w:sz w:val="24"/>
        </w:rPr>
        <w:t>7.9 开工后，所有施工管理人员及施工人员进入施工现场必须佩戴安全帽、穿好荧光衣，违反规定者每人每次处以500元处罚。</w:t>
      </w:r>
    </w:p>
    <w:p w14:paraId="519A968D">
      <w:pPr>
        <w:spacing w:line="480" w:lineRule="auto"/>
        <w:ind w:left="479" w:leftChars="228"/>
        <w:rPr>
          <w:rFonts w:hint="eastAsia" w:ascii="宋体" w:hAnsi="宋体" w:cs="宋体"/>
          <w:sz w:val="24"/>
        </w:rPr>
      </w:pPr>
      <w:r>
        <w:rPr>
          <w:rFonts w:hint="eastAsia" w:ascii="宋体" w:hAnsi="宋体" w:cs="宋体"/>
          <w:sz w:val="24"/>
        </w:rPr>
        <w:t>7.10 安全文明施工目标：</w:t>
      </w:r>
    </w:p>
    <w:p w14:paraId="1189BF54">
      <w:pPr>
        <w:spacing w:line="480" w:lineRule="auto"/>
        <w:ind w:left="479" w:leftChars="228"/>
        <w:rPr>
          <w:rFonts w:hint="eastAsia" w:ascii="宋体" w:hAnsi="宋体" w:cs="宋体"/>
          <w:sz w:val="24"/>
        </w:rPr>
      </w:pPr>
      <w:r>
        <w:rPr>
          <w:rFonts w:hint="eastAsia" w:ascii="宋体" w:hAnsi="宋体" w:cs="宋体"/>
          <w:sz w:val="24"/>
        </w:rPr>
        <w:t>安全生产、文明施工达标合格率100%，优良率80%，杜绝重伤以上事故，轻伤事故率控制在0.3%以内。</w:t>
      </w:r>
    </w:p>
    <w:p w14:paraId="1F7DF3C5">
      <w:pPr>
        <w:spacing w:line="480" w:lineRule="auto"/>
        <w:ind w:left="479" w:leftChars="228"/>
        <w:rPr>
          <w:rFonts w:hint="eastAsia" w:ascii="宋体" w:hAnsi="宋体" w:cs="宋体"/>
          <w:sz w:val="24"/>
        </w:rPr>
      </w:pPr>
      <w:r>
        <w:rPr>
          <w:rFonts w:hint="eastAsia" w:ascii="宋体" w:hAnsi="宋体" w:cs="宋体"/>
          <w:sz w:val="24"/>
        </w:rPr>
        <w:t>7.11中标人须按标段划分范围进行封闭施工，并符合广东省、珠海市的安全文明施工要求，若无法满足其他强制性要求时，中标人要及时上报监理人和招标人，待审批相关方案后再行处理。</w:t>
      </w:r>
    </w:p>
    <w:p w14:paraId="4287F859">
      <w:pPr>
        <w:spacing w:line="480" w:lineRule="auto"/>
        <w:ind w:left="479" w:leftChars="228"/>
        <w:rPr>
          <w:rFonts w:hint="eastAsia" w:ascii="宋体" w:hAnsi="宋体" w:cs="宋体"/>
          <w:sz w:val="24"/>
        </w:rPr>
      </w:pPr>
      <w:r>
        <w:rPr>
          <w:rFonts w:hint="eastAsia" w:ascii="宋体" w:hAnsi="宋体" w:cs="宋体"/>
          <w:sz w:val="24"/>
        </w:rPr>
        <w:t>7.12 项目施工期间进出工地的所有车辆均必须经过清洗清理干净后方可进入市政道路，确保其正常使用，并提供车辆清理必备的工具（高压水枪机等），所需费用在投标报价中综合考虑，结算时不予调整。</w:t>
      </w:r>
    </w:p>
    <w:p w14:paraId="1C88273F">
      <w:pPr>
        <w:spacing w:line="480" w:lineRule="auto"/>
        <w:ind w:left="479" w:leftChars="228"/>
        <w:rPr>
          <w:rFonts w:hint="eastAsia" w:ascii="宋体" w:hAnsi="宋体" w:cs="宋体"/>
          <w:sz w:val="24"/>
        </w:rPr>
      </w:pPr>
      <w:r>
        <w:rPr>
          <w:rFonts w:hint="eastAsia" w:ascii="宋体" w:hAnsi="宋体" w:cs="宋体"/>
          <w:sz w:val="24"/>
        </w:rPr>
        <w:t>7.13承包单位主要通向本次招标项目现场需由南湾首府二期项目工地进出，其中由承包单位与二期总包单位洽定安全文明、道路通行冲洗等相关手续及费用确认，且费用包含在中标人安全文明措施费中，为保证出入车辆冲洗效果，防止带泥进入市政道路，中标人须设置加压水箱和高压水枪。以上费用包含在中标人安全文明措施费用中。</w:t>
      </w:r>
    </w:p>
    <w:p w14:paraId="28D8E1D0">
      <w:pPr>
        <w:spacing w:line="480" w:lineRule="auto"/>
        <w:ind w:left="479" w:leftChars="228"/>
        <w:rPr>
          <w:rFonts w:hint="eastAsia" w:ascii="宋体" w:hAnsi="宋体" w:cs="宋体"/>
          <w:sz w:val="24"/>
        </w:rPr>
      </w:pPr>
      <w:r>
        <w:rPr>
          <w:rFonts w:hint="eastAsia" w:ascii="宋体" w:hAnsi="宋体" w:cs="宋体"/>
          <w:sz w:val="24"/>
        </w:rPr>
        <w:t>7.14 承包方进场后，需规划生产垃圾和生活垃圾堆放处，送招标人审核备案；承包方有义务约束各专业单位统一堆放并定期清理。如未按要求执行，招标人有权安排第三方单位清理，费用由中标人承担。</w:t>
      </w:r>
    </w:p>
    <w:p w14:paraId="1DA43A6A">
      <w:pPr>
        <w:pStyle w:val="2"/>
        <w:spacing w:line="360" w:lineRule="auto"/>
        <w:ind w:firstLine="480"/>
        <w:rPr>
          <w:rFonts w:hint="eastAsia" w:ascii="宋体" w:hAnsi="宋体" w:cs="宋体"/>
          <w:sz w:val="24"/>
        </w:rPr>
      </w:pPr>
      <w:r>
        <w:rPr>
          <w:rFonts w:hint="eastAsia" w:ascii="宋体" w:hAnsi="宋体" w:cs="宋体"/>
          <w:sz w:val="24"/>
        </w:rPr>
        <w:t>7.15森林防火施工保证措施</w:t>
      </w:r>
    </w:p>
    <w:p w14:paraId="59397E39">
      <w:pPr>
        <w:pStyle w:val="2"/>
        <w:spacing w:line="360" w:lineRule="auto"/>
        <w:ind w:firstLine="480"/>
        <w:rPr>
          <w:rFonts w:hint="eastAsia" w:ascii="宋体" w:hAnsi="宋体" w:cs="宋体"/>
          <w:sz w:val="24"/>
        </w:rPr>
      </w:pPr>
      <w:r>
        <w:rPr>
          <w:rFonts w:hint="eastAsia" w:ascii="宋体" w:hAnsi="宋体" w:cs="宋体"/>
          <w:sz w:val="24"/>
        </w:rPr>
        <w:t>本工程施工现场主要有电气焊、电路起火、雷电等火源，控制火源是森林防火的关键。因此特制定以下措施：</w:t>
      </w:r>
    </w:p>
    <w:p w14:paraId="1A3C7755">
      <w:pPr>
        <w:pStyle w:val="2"/>
        <w:spacing w:line="360" w:lineRule="auto"/>
        <w:ind w:firstLine="480"/>
        <w:rPr>
          <w:rFonts w:hint="eastAsia" w:ascii="宋体" w:hAnsi="宋体" w:cs="宋体"/>
          <w:sz w:val="24"/>
        </w:rPr>
      </w:pPr>
      <w:r>
        <w:rPr>
          <w:rFonts w:hint="eastAsia" w:ascii="宋体" w:hAnsi="宋体" w:cs="宋体"/>
          <w:sz w:val="24"/>
        </w:rPr>
        <w:t>7.15.1电气焊等作业：严格按规程操作，制定开动火证制度，有用火证、操作证、看火人并携带灭火器，才能进行明火作业，动火证开具前开开具人要到现场检查，将易燃易爆品清理干净。施工人员施工完毕后，确认彻底熄灭火后，才可离开</w:t>
      </w:r>
    </w:p>
    <w:p w14:paraId="6C97B75A">
      <w:pPr>
        <w:pStyle w:val="2"/>
        <w:spacing w:line="360" w:lineRule="auto"/>
        <w:ind w:firstLine="480"/>
        <w:rPr>
          <w:rFonts w:hint="eastAsia" w:ascii="宋体" w:hAnsi="宋体" w:cs="宋体"/>
          <w:sz w:val="24"/>
        </w:rPr>
      </w:pPr>
      <w:r>
        <w:rPr>
          <w:rFonts w:hint="eastAsia" w:ascii="宋体" w:hAnsi="宋体" w:cs="宋体"/>
          <w:sz w:val="24"/>
        </w:rPr>
        <w:t>7.15.2吸烟的管理：设置吸烟室：现场内设吸烟室，专人管理。吸烟室内专人供烟供火，吸烟室内设水桶，内装半桶水。烟头放在水桶内，严禁将烟火带出吸烟室。吸烟室以外任何区域严禁吸烟。施工现场周围设置“禁止吸烟”、“护林防火”等警示牌，并派专人进行检查。制定关于吸烟的处罚奖励措施。</w:t>
      </w:r>
    </w:p>
    <w:p w14:paraId="1E48E333">
      <w:pPr>
        <w:pStyle w:val="2"/>
        <w:spacing w:line="360" w:lineRule="auto"/>
        <w:ind w:firstLine="480"/>
        <w:rPr>
          <w:rFonts w:hint="eastAsia" w:ascii="宋体" w:hAnsi="宋体" w:cs="宋体"/>
          <w:sz w:val="24"/>
        </w:rPr>
      </w:pPr>
      <w:r>
        <w:rPr>
          <w:rFonts w:hint="eastAsia" w:ascii="宋体" w:hAnsi="宋体" w:cs="宋体"/>
          <w:sz w:val="24"/>
        </w:rPr>
        <w:t>7.15.3电路起火：现场电路定期进行检查，规范接线，杜绝短路事故。项目办公区的空调、电暖气要合理使用，人不在时所有用电设备、取暖设备必须关闭。</w:t>
      </w:r>
    </w:p>
    <w:p w14:paraId="0D739006">
      <w:pPr>
        <w:pStyle w:val="2"/>
        <w:spacing w:line="360" w:lineRule="auto"/>
        <w:ind w:firstLine="480"/>
        <w:rPr>
          <w:rFonts w:hint="eastAsia" w:ascii="宋体" w:hAnsi="宋体" w:cs="宋体"/>
          <w:sz w:val="24"/>
        </w:rPr>
      </w:pPr>
      <w:r>
        <w:rPr>
          <w:rFonts w:hint="eastAsia" w:ascii="宋体" w:hAnsi="宋体" w:cs="宋体"/>
          <w:sz w:val="24"/>
        </w:rPr>
        <w:t>7.15.4防雷电：操作架架等必须进行避雷接地，防止春季雷击事故的发生。</w:t>
      </w:r>
    </w:p>
    <w:p w14:paraId="1BCDD962">
      <w:pPr>
        <w:pStyle w:val="2"/>
        <w:spacing w:line="360" w:lineRule="auto"/>
        <w:ind w:firstLine="480"/>
        <w:rPr>
          <w:rFonts w:hint="eastAsia" w:ascii="宋体" w:hAnsi="宋体" w:cs="宋体"/>
          <w:sz w:val="24"/>
        </w:rPr>
      </w:pPr>
      <w:r>
        <w:rPr>
          <w:rFonts w:hint="eastAsia" w:ascii="宋体" w:hAnsi="宋体" w:cs="宋体"/>
          <w:sz w:val="24"/>
        </w:rPr>
        <w:t>7.15.6消防器械及隔离带的布置：</w:t>
      </w:r>
    </w:p>
    <w:p w14:paraId="5E55819F">
      <w:pPr>
        <w:pStyle w:val="2"/>
        <w:spacing w:line="360" w:lineRule="auto"/>
        <w:ind w:firstLine="480"/>
        <w:rPr>
          <w:rFonts w:hint="eastAsia" w:ascii="宋体" w:hAnsi="宋体" w:cs="宋体"/>
          <w:sz w:val="24"/>
        </w:rPr>
      </w:pPr>
      <w:r>
        <w:rPr>
          <w:rFonts w:hint="eastAsia" w:ascii="宋体" w:hAnsi="宋体" w:cs="宋体"/>
          <w:sz w:val="24"/>
        </w:rPr>
        <w:t>①施工现场设循环消防器械，并随时要保持畅通，消防器械不堆放任何物品。②防火隔离带设置：开工前将施工现场内及围墙附近5米内的落叶、枯枝全部清理干净，以后派专人每天进行清理，保障隔离带起到作用。根据现场和消防要求，在现场及围墙外侧周围，设置一定数量的灭火器材和设施。如灭火器、消火栓、水龙带、防火鞭等</w:t>
      </w:r>
    </w:p>
    <w:p w14:paraId="247BEF18">
      <w:pPr>
        <w:spacing w:line="360" w:lineRule="auto"/>
        <w:outlineLvl w:val="0"/>
        <w:rPr>
          <w:rFonts w:hint="eastAsia" w:ascii="宋体" w:hAnsi="宋体" w:cs="宋体"/>
          <w:b/>
          <w:bCs/>
          <w:sz w:val="28"/>
          <w:szCs w:val="28"/>
        </w:rPr>
      </w:pPr>
      <w:bookmarkStart w:id="32" w:name="_Toc18007"/>
      <w:bookmarkStart w:id="33" w:name="_Toc365449105"/>
      <w:r>
        <w:rPr>
          <w:rFonts w:hint="eastAsia" w:ascii="宋体" w:hAnsi="宋体" w:cs="宋体"/>
          <w:b/>
          <w:bCs/>
          <w:sz w:val="28"/>
          <w:szCs w:val="28"/>
        </w:rPr>
        <w:t>八、成品保护责任要求</w:t>
      </w:r>
      <w:bookmarkEnd w:id="32"/>
      <w:bookmarkEnd w:id="33"/>
    </w:p>
    <w:p w14:paraId="16A3E85A">
      <w:pPr>
        <w:spacing w:line="480" w:lineRule="auto"/>
        <w:ind w:left="479" w:leftChars="228"/>
        <w:rPr>
          <w:rFonts w:hint="eastAsia" w:ascii="宋体" w:hAnsi="宋体" w:cs="宋体"/>
          <w:sz w:val="24"/>
        </w:rPr>
      </w:pPr>
      <w:r>
        <w:rPr>
          <w:rFonts w:hint="eastAsia" w:ascii="宋体" w:hAnsi="宋体" w:cs="宋体"/>
          <w:sz w:val="24"/>
        </w:rPr>
        <w:t>成品保护包括但不限于以下要求，投标人在投标时综合考虑，招标人不另增加费用。</w:t>
      </w:r>
    </w:p>
    <w:p w14:paraId="6F9B08D3">
      <w:pPr>
        <w:spacing w:line="480" w:lineRule="auto"/>
        <w:ind w:left="479" w:leftChars="228"/>
        <w:outlineLvl w:val="1"/>
        <w:rPr>
          <w:rFonts w:hint="eastAsia" w:ascii="宋体" w:hAnsi="宋体" w:cs="宋体"/>
          <w:sz w:val="24"/>
        </w:rPr>
      </w:pPr>
      <w:bookmarkStart w:id="34" w:name="_Toc267900116"/>
      <w:bookmarkStart w:id="35" w:name="_Toc21606"/>
      <w:bookmarkStart w:id="36" w:name="_Toc172715009"/>
      <w:bookmarkStart w:id="37" w:name="_Toc172715006"/>
      <w:bookmarkStart w:id="38" w:name="_Toc267900113"/>
      <w:r>
        <w:rPr>
          <w:rFonts w:hint="eastAsia" w:ascii="宋体" w:hAnsi="宋体" w:cs="宋体"/>
          <w:sz w:val="24"/>
        </w:rPr>
        <w:t>8.1现有设施的保护</w:t>
      </w:r>
      <w:bookmarkEnd w:id="34"/>
      <w:bookmarkEnd w:id="35"/>
      <w:bookmarkEnd w:id="36"/>
    </w:p>
    <w:p w14:paraId="2EEE65A4">
      <w:pPr>
        <w:spacing w:line="480" w:lineRule="auto"/>
        <w:ind w:left="479" w:leftChars="228"/>
        <w:rPr>
          <w:rFonts w:hint="eastAsia" w:ascii="宋体" w:hAnsi="宋体" w:cs="宋体"/>
          <w:sz w:val="24"/>
        </w:rPr>
      </w:pPr>
      <w:r>
        <w:rPr>
          <w:rFonts w:hint="eastAsia" w:ascii="宋体" w:hAnsi="宋体" w:cs="宋体"/>
          <w:sz w:val="24"/>
        </w:rPr>
        <w:t>8.1.1承包人须保证任何现有通过施工场地的公共设施如电力电线（缆）、电话线路、煤气管道、给水排水系统等在施工期内得到保护。</w:t>
      </w:r>
    </w:p>
    <w:p w14:paraId="7E9B8B88">
      <w:pPr>
        <w:spacing w:line="480" w:lineRule="auto"/>
        <w:ind w:left="479" w:leftChars="228"/>
        <w:rPr>
          <w:rFonts w:hint="eastAsia" w:ascii="宋体" w:hAnsi="宋体" w:cs="宋体"/>
          <w:sz w:val="24"/>
        </w:rPr>
      </w:pPr>
      <w:r>
        <w:rPr>
          <w:rFonts w:hint="eastAsia" w:ascii="宋体" w:hAnsi="宋体" w:cs="宋体"/>
          <w:sz w:val="24"/>
        </w:rPr>
        <w:t>8.1.2承包人须与有关单位联络安排有关设施所需的任何截断及移位。承包人若需查阅地下管线探测报告须自行获得。</w:t>
      </w:r>
    </w:p>
    <w:p w14:paraId="48F61636">
      <w:pPr>
        <w:spacing w:line="480" w:lineRule="auto"/>
        <w:ind w:left="479" w:leftChars="228"/>
        <w:outlineLvl w:val="1"/>
        <w:rPr>
          <w:rFonts w:hint="eastAsia" w:ascii="宋体" w:hAnsi="宋体" w:cs="宋体"/>
          <w:sz w:val="24"/>
        </w:rPr>
      </w:pPr>
      <w:bookmarkStart w:id="39" w:name="_Toc12640"/>
      <w:r>
        <w:rPr>
          <w:rFonts w:hint="eastAsia" w:ascii="宋体" w:hAnsi="宋体" w:cs="宋体"/>
          <w:sz w:val="24"/>
        </w:rPr>
        <w:t>8.2成品保护措施</w:t>
      </w:r>
      <w:bookmarkEnd w:id="39"/>
    </w:p>
    <w:p w14:paraId="29F9A94A">
      <w:pPr>
        <w:spacing w:line="480" w:lineRule="auto"/>
        <w:ind w:left="479" w:leftChars="228"/>
        <w:rPr>
          <w:rFonts w:hint="eastAsia" w:ascii="宋体" w:hAnsi="宋体" w:cs="宋体"/>
          <w:sz w:val="24"/>
        </w:rPr>
      </w:pPr>
      <w:r>
        <w:rPr>
          <w:rFonts w:hint="eastAsia" w:ascii="宋体" w:hAnsi="宋体" w:cs="宋体"/>
          <w:sz w:val="24"/>
        </w:rPr>
        <w:t>8.2.1土建工程</w:t>
      </w:r>
    </w:p>
    <w:p w14:paraId="08555B93">
      <w:pPr>
        <w:spacing w:line="480" w:lineRule="auto"/>
        <w:ind w:left="479" w:leftChars="228"/>
        <w:rPr>
          <w:rFonts w:hint="eastAsia" w:ascii="宋体" w:hAnsi="宋体" w:cs="宋体"/>
          <w:sz w:val="24"/>
        </w:rPr>
      </w:pPr>
      <w:r>
        <w:rPr>
          <w:rFonts w:hint="eastAsia" w:ascii="宋体" w:hAnsi="宋体" w:cs="宋体"/>
          <w:sz w:val="24"/>
        </w:rPr>
        <w:t>（1） 施工用小推车运料时不得碰撞已完成花基坐凳、花架等。</w:t>
      </w:r>
    </w:p>
    <w:p w14:paraId="73336831">
      <w:pPr>
        <w:spacing w:line="480" w:lineRule="auto"/>
        <w:ind w:left="479" w:leftChars="228"/>
        <w:rPr>
          <w:rFonts w:hint="eastAsia" w:ascii="宋体" w:hAnsi="宋体" w:cs="宋体"/>
          <w:sz w:val="24"/>
        </w:rPr>
      </w:pPr>
      <w:r>
        <w:rPr>
          <w:rFonts w:hint="eastAsia" w:ascii="宋体" w:hAnsi="宋体" w:cs="宋体"/>
          <w:sz w:val="24"/>
        </w:rPr>
        <w:t>（2）收水口等部位安放的临时遮挡物要保护好，以防落入杂物，造成堵塞。</w:t>
      </w:r>
    </w:p>
    <w:p w14:paraId="481D1451">
      <w:pPr>
        <w:spacing w:line="480" w:lineRule="auto"/>
        <w:ind w:left="479" w:leftChars="228"/>
        <w:rPr>
          <w:rFonts w:hint="eastAsia" w:ascii="宋体" w:hAnsi="宋体" w:cs="宋体"/>
          <w:sz w:val="24"/>
        </w:rPr>
      </w:pPr>
      <w:r>
        <w:rPr>
          <w:rFonts w:hint="eastAsia" w:ascii="宋体" w:hAnsi="宋体" w:cs="宋体"/>
          <w:sz w:val="24"/>
        </w:rPr>
        <w:t>（3）地面养护期间不准上人，其他工种不得进入操作。</w:t>
      </w:r>
    </w:p>
    <w:p w14:paraId="2837F567">
      <w:pPr>
        <w:pStyle w:val="2"/>
        <w:rPr>
          <w:rFonts w:hint="eastAsia"/>
        </w:rPr>
      </w:pPr>
    </w:p>
    <w:p w14:paraId="46B46873">
      <w:pPr>
        <w:spacing w:line="480" w:lineRule="auto"/>
        <w:ind w:left="479" w:leftChars="228"/>
        <w:rPr>
          <w:rFonts w:hint="eastAsia" w:ascii="宋体" w:hAnsi="宋体" w:cs="宋体"/>
          <w:sz w:val="24"/>
        </w:rPr>
      </w:pPr>
      <w:r>
        <w:rPr>
          <w:rFonts w:hint="eastAsia" w:ascii="宋体" w:hAnsi="宋体" w:cs="宋体"/>
          <w:sz w:val="24"/>
        </w:rPr>
        <w:t>8.2.2上道工序与下道工序要办理交接手续。</w:t>
      </w:r>
    </w:p>
    <w:p w14:paraId="696908AF">
      <w:pPr>
        <w:spacing w:line="480" w:lineRule="auto"/>
        <w:ind w:left="479" w:leftChars="228"/>
        <w:rPr>
          <w:rFonts w:hint="eastAsia" w:ascii="宋体" w:hAnsi="宋体" w:cs="宋体"/>
          <w:sz w:val="24"/>
        </w:rPr>
      </w:pPr>
      <w:r>
        <w:rPr>
          <w:rFonts w:hint="eastAsia" w:ascii="宋体" w:hAnsi="宋体" w:cs="宋体"/>
          <w:sz w:val="24"/>
        </w:rPr>
        <w:t>8.2.4施工人员，必须严格遵守现场各项管理制度，如须动火，必须取得用火证后方可进行施工。</w:t>
      </w:r>
    </w:p>
    <w:p w14:paraId="714C074C">
      <w:pPr>
        <w:spacing w:line="360" w:lineRule="auto"/>
        <w:ind w:left="479" w:leftChars="228"/>
      </w:pPr>
      <w:r>
        <w:rPr>
          <w:rFonts w:hint="eastAsia" w:ascii="宋体" w:hAnsi="宋体" w:cs="宋体"/>
          <w:sz w:val="24"/>
        </w:rPr>
        <w:t>8.2.5对所有的入场施工队伍都要定期进行成品保护意识教育、技术总负责做好各工种的技术交底。</w:t>
      </w:r>
      <w:bookmarkEnd w:id="37"/>
      <w:bookmarkEnd w:id="38"/>
    </w:p>
    <w:p w14:paraId="47C45105">
      <w:pPr>
        <w:spacing w:line="360" w:lineRule="auto"/>
        <w:outlineLvl w:val="0"/>
        <w:rPr>
          <w:rFonts w:ascii="宋体" w:hAnsi="宋体" w:cs="宋体"/>
          <w:b/>
          <w:bCs/>
          <w:sz w:val="28"/>
          <w:szCs w:val="28"/>
        </w:rPr>
      </w:pPr>
      <w:r>
        <w:rPr>
          <w:rFonts w:hint="eastAsia" w:ascii="宋体" w:hAnsi="宋体" w:cs="宋体"/>
          <w:b/>
          <w:bCs/>
          <w:sz w:val="28"/>
          <w:szCs w:val="28"/>
        </w:rPr>
        <w:t>九、质保相关要求</w:t>
      </w:r>
    </w:p>
    <w:p w14:paraId="1EC02834">
      <w:pPr>
        <w:spacing w:line="360" w:lineRule="auto"/>
        <w:ind w:firstLine="480" w:firstLineChars="200"/>
        <w:rPr>
          <w:rFonts w:hint="eastAsia" w:ascii="宋体" w:hAnsi="宋体"/>
          <w:color w:val="000000"/>
          <w:sz w:val="24"/>
        </w:rPr>
      </w:pPr>
      <w:r>
        <w:rPr>
          <w:rFonts w:hint="eastAsia" w:ascii="宋体" w:hAnsi="宋体"/>
          <w:color w:val="000000"/>
          <w:sz w:val="24"/>
        </w:rPr>
        <w:t>9.1 本项目缺陷责任期为 24 个月，自全部工程量完成并经甲方终验合格之日起算。</w:t>
      </w:r>
    </w:p>
    <w:p w14:paraId="1975BE9A">
      <w:pPr>
        <w:spacing w:line="360" w:lineRule="auto"/>
        <w:ind w:firstLine="480" w:firstLineChars="200"/>
        <w:rPr>
          <w:rFonts w:hint="eastAsia" w:ascii="宋体" w:hAnsi="宋体"/>
          <w:color w:val="000000"/>
          <w:sz w:val="24"/>
        </w:rPr>
      </w:pPr>
      <w:r>
        <w:rPr>
          <w:rFonts w:hint="eastAsia" w:ascii="宋体" w:hAnsi="宋体"/>
          <w:color w:val="000000"/>
          <w:sz w:val="24"/>
        </w:rPr>
        <w:t>9.2 在乙方将已完成工程移交甲方后，因乙方原因产生的质量缺陷，乙方应承担质量缺陷责任和工程保修义务。缺陷责任期届满，乙方仍应按法律法规规定的工程各部位保修年限承担己方施工范围内的工程的保修义务。对于超出质保期出现的质量问题，如因为乙方在施工过程中施工不规范导致，乙方仍应承担维护义务，乙方对因施工质量的责任不因质保期满而免除，乙方拒绝维护的，按照质保期内未能修复处理。</w:t>
      </w:r>
    </w:p>
    <w:p w14:paraId="7B9FC51A">
      <w:pPr>
        <w:spacing w:line="360" w:lineRule="auto"/>
        <w:ind w:firstLine="480" w:firstLineChars="200"/>
        <w:rPr>
          <w:rFonts w:hint="eastAsia" w:ascii="宋体" w:hAnsi="宋体"/>
          <w:color w:val="000000"/>
          <w:sz w:val="24"/>
        </w:rPr>
      </w:pPr>
      <w:r>
        <w:rPr>
          <w:rFonts w:hint="eastAsia" w:ascii="宋体" w:hAnsi="宋体"/>
          <w:color w:val="000000"/>
          <w:sz w:val="24"/>
        </w:rPr>
        <w:t>9.3 缺陷责任期或质保期内，由乙方原因造成的缺陷，乙方应负责维护，并承担鉴定及维护费用，直至检验合格为止。如乙方拒绝维护或未能在合理期限内修复缺陷或损坏，甲方有权不经招投标程序/询价/比价等前置程序直接选定第三方维护单位进行维护或自行修复，所需费用由乙方承担(乙方除承把维护费用外，还应按照实际发生维护费用的 20%向甲方支付违约金及管理费，甲方有权直接从质量保证金中扣除，费用超出质量保证金金额的，甲方按实际发生金额向乙方追偿。乙方维护并承担相应费用后，不免除对工程的损失赔偿责任。缺陷责任期或质保期内发生质量问题经维护合格后，相应工程缺陷责任期或质保期自维护合格之日起重新起算。</w:t>
      </w:r>
    </w:p>
    <w:p w14:paraId="7FF5EE1A">
      <w:pPr>
        <w:spacing w:line="360" w:lineRule="auto"/>
        <w:ind w:firstLine="480" w:firstLineChars="200"/>
        <w:rPr>
          <w:rFonts w:hint="eastAsia" w:ascii="宋体" w:hAnsi="宋体"/>
          <w:color w:val="000000"/>
          <w:sz w:val="24"/>
        </w:rPr>
      </w:pPr>
      <w:r>
        <w:rPr>
          <w:rFonts w:hint="eastAsia" w:ascii="宋体" w:hAnsi="宋体"/>
          <w:color w:val="000000"/>
          <w:sz w:val="24"/>
        </w:rPr>
        <w:t>9.4 属于乙方保修范围内的，乙方应当在接到保修通知 (保修通知可采取电话、手机短信或书面的形式) 之日起 24 小时内派人保修;发生紧急抢修事故时，乙方应立即到达事故现场抢修。</w:t>
      </w:r>
    </w:p>
    <w:p w14:paraId="54315DFC">
      <w:pPr>
        <w:spacing w:line="360" w:lineRule="auto"/>
        <w:ind w:firstLine="480" w:firstLineChars="200"/>
        <w:rPr>
          <w:rFonts w:hint="eastAsia" w:ascii="宋体" w:hAnsi="宋体"/>
          <w:color w:val="000000"/>
          <w:sz w:val="24"/>
        </w:rPr>
      </w:pPr>
      <w:r>
        <w:rPr>
          <w:rFonts w:hint="eastAsia" w:ascii="宋体" w:hAnsi="宋体"/>
          <w:color w:val="000000"/>
          <w:sz w:val="24"/>
        </w:rPr>
        <w:t>9.5如工程或工程设备的缺陷或损害使甲方实质上失去了工程的整体功能，甲方有权向乙方追回已支付的工程款项，并要求其赔偿甲方相应损失。</w:t>
      </w:r>
    </w:p>
    <w:p w14:paraId="6F5368EE">
      <w:pPr>
        <w:spacing w:line="360" w:lineRule="auto"/>
        <w:ind w:firstLine="480" w:firstLineChars="200"/>
        <w:rPr>
          <w:rFonts w:hint="eastAsia" w:ascii="宋体" w:hAnsi="宋体"/>
          <w:color w:val="000000"/>
          <w:sz w:val="24"/>
        </w:rPr>
      </w:pPr>
    </w:p>
    <w:p w14:paraId="353730C0">
      <w:pPr>
        <w:spacing w:line="360" w:lineRule="auto"/>
        <w:ind w:firstLine="480" w:firstLineChars="200"/>
        <w:rPr>
          <w:rFonts w:hint="eastAsia" w:ascii="宋体" w:hAnsi="宋体"/>
          <w:color w:val="000000"/>
          <w:sz w:val="24"/>
        </w:rPr>
      </w:pPr>
    </w:p>
    <w:p w14:paraId="1D795763">
      <w:pPr>
        <w:spacing w:line="360" w:lineRule="auto"/>
        <w:ind w:firstLine="480" w:firstLineChars="200"/>
        <w:rPr>
          <w:rFonts w:hint="eastAsia" w:ascii="宋体" w:hAnsi="宋体"/>
          <w:color w:val="000000"/>
          <w:sz w:val="24"/>
        </w:rPr>
      </w:pPr>
    </w:p>
    <w:p w14:paraId="0C84DBB3">
      <w:pPr>
        <w:spacing w:line="360" w:lineRule="auto"/>
        <w:ind w:firstLine="480" w:firstLineChars="200"/>
        <w:rPr>
          <w:rFonts w:hint="eastAsia" w:ascii="宋体" w:hAnsi="宋体"/>
          <w:color w:val="000000"/>
          <w:sz w:val="24"/>
        </w:rPr>
      </w:pPr>
    </w:p>
    <w:p w14:paraId="18D0EA41">
      <w:pPr>
        <w:spacing w:line="360" w:lineRule="auto"/>
        <w:rPr>
          <w:rStyle w:val="27"/>
          <w:b w:val="0"/>
          <w:bCs w:val="0"/>
          <w:szCs w:val="21"/>
        </w:rPr>
      </w:pPr>
    </w:p>
    <w:sectPr>
      <w:footerReference r:id="rId6" w:type="default"/>
      <w:pgSz w:w="11906" w:h="16838"/>
      <w:pgMar w:top="1304" w:right="1418" w:bottom="1304" w:left="141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Dotum">
    <w:altName w:val="Malgun Gothic"/>
    <w:panose1 w:val="020B0600000101010101"/>
    <w:charset w:val="81"/>
    <w:family w:val="swiss"/>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Arial Unicode MS">
    <w:panose1 w:val="020B0604020202020204"/>
    <w:charset w:val="86"/>
    <w:family w:val="swiss"/>
    <w:pitch w:val="default"/>
    <w:sig w:usb0="FFFFFFFF" w:usb1="E9FFFFFF" w:usb2="0000003F" w:usb3="00000000" w:csb0="601F00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2CF5D">
    <w:pPr>
      <w:pStyle w:val="17"/>
      <w:ind w:right="360"/>
      <w:rPr>
        <w:rFonts w:hint="eastAsia"/>
      </w:rPr>
    </w:pPr>
  </w:p>
  <w:p w14:paraId="72D46679">
    <w:pPr>
      <w:pStyle w:val="17"/>
      <w:ind w:right="360"/>
      <w:rPr>
        <w:rFonts w:hint="eastAsia"/>
      </w:rPr>
    </w:pPr>
  </w:p>
  <w:p w14:paraId="7885F895">
    <w:pPr>
      <w:pStyle w:val="17"/>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9F484">
    <w:pPr>
      <w:pStyle w:val="1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27BDED1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w:t>
                          </w:r>
                          <w:r>
                            <w:rPr>
                              <w:rFonts w:hint="eastAsia"/>
                              <w:sz w:val="18"/>
                            </w:rPr>
                            <w:fldChar w:fldCharType="end"/>
                          </w:r>
                        </w:p>
                      </w:txbxContent>
                    </wps:txbx>
                    <wps:bodyPr wrap="none" lIns="0" tIns="0" rIns="0" bIns="0" upright="0">
                      <a:spAutoFit/>
                    </wps:bodyPr>
                  </wps:wsp>
                </a:graphicData>
              </a:graphic>
            </wp:anchor>
          </w:drawing>
        </mc:Choice>
        <mc:Fallback>
          <w:pict>
            <v:rect id="文本框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XlFa18MBAACOAwAADgAAAAAAAAABACAAAAAfAQAAZHJzL2Uyb0RvYy54bWxQ&#10;SwUGAAAAAAYABgBZAQAAVAUAAAAA&#10;">
              <v:fill on="f" focussize="0,0"/>
              <v:stroke on="f"/>
              <v:imagedata o:title=""/>
              <o:lock v:ext="edit" aspectratio="f"/>
              <v:textbox inset="0mm,0mm,0mm,0mm" style="mso-fit-shape-to-text:t;">
                <w:txbxContent>
                  <w:p w14:paraId="27BDED1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w:t>
                    </w:r>
                    <w:r>
                      <w:rPr>
                        <w:rFonts w:hint="eastAsia"/>
                        <w:sz w:val="18"/>
                      </w:rP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0983E">
    <w:pPr>
      <w:pStyle w:val="17"/>
      <w:ind w:right="360"/>
      <w:rPr>
        <w:rFonts w:hint="eastAsia"/>
      </w:rPr>
    </w:pPr>
    <w:r>
      <mc:AlternateContent>
        <mc:Choice Requires="wps">
          <w:drawing>
            <wp:anchor distT="0" distB="0" distL="114300" distR="114300" simplePos="0" relativeHeight="251660288" behindDoc="0" locked="0" layoutInCell="1" allowOverlap="1">
              <wp:simplePos x="0" y="0"/>
              <wp:positionH relativeFrom="margin">
                <wp:posOffset>2479675</wp:posOffset>
              </wp:positionH>
              <wp:positionV relativeFrom="paragraph">
                <wp:posOffset>0</wp:posOffset>
              </wp:positionV>
              <wp:extent cx="1204595" cy="1828800"/>
              <wp:effectExtent l="0" t="0" r="0" b="0"/>
              <wp:wrapNone/>
              <wp:docPr id="4" name="文本框 9"/>
              <wp:cNvGraphicFramePr/>
              <a:graphic xmlns:a="http://schemas.openxmlformats.org/drawingml/2006/main">
                <a:graphicData uri="http://schemas.microsoft.com/office/word/2010/wordprocessingShape">
                  <wps:wsp>
                    <wps:cNvSpPr txBox="1"/>
                    <wps:spPr>
                      <a:xfrm>
                        <a:off x="0" y="0"/>
                        <a:ext cx="1204595" cy="1828800"/>
                      </a:xfrm>
                      <a:prstGeom prst="rect">
                        <a:avLst/>
                      </a:prstGeom>
                      <a:noFill/>
                      <a:ln w="15875">
                        <a:noFill/>
                      </a:ln>
                    </wps:spPr>
                    <wps:txbx>
                      <w:txbxContent>
                        <w:p w14:paraId="4F943741">
                          <w:pPr>
                            <w:pStyle w:val="17"/>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 xml:space="preserve"> 页 共 16页</w:t>
                          </w:r>
                        </w:p>
                      </w:txbxContent>
                    </wps:txbx>
                    <wps:bodyPr wrap="square" lIns="0" tIns="0" rIns="0" bIns="0" upright="0">
                      <a:spAutoFit/>
                    </wps:bodyPr>
                  </wps:wsp>
                </a:graphicData>
              </a:graphic>
            </wp:anchor>
          </w:drawing>
        </mc:Choice>
        <mc:Fallback>
          <w:pict>
            <v:shape id="文本框 9" o:spid="_x0000_s1026" o:spt="202" type="#_x0000_t202" style="position:absolute;left:0pt;margin-left:195.25pt;margin-top:0pt;height:144pt;width:94.85pt;mso-position-horizontal-relative:margin;z-index:251660288;mso-width-relative:page;mso-height-relative:page;" filled="f" stroked="f" coordsize="21600,21600" o:gfxdata="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R13o61wAAAAgBAAAPAAAAAAAA&#10;AAEAIAAAACIAAABkcnMvZG93bnJldi54bWxQSwECFAAUAAAACACHTuJA7SUSINoBAAClAwAADgAA&#10;AAAAAAABACAAAAAmAQAAZHJzL2Uyb0RvYy54bWxQSwUGAAAAAAYABgBZAQAAcgUAAAAA&#10;">
              <v:fill on="f" focussize="0,0"/>
              <v:stroke on="f" weight="1.25pt"/>
              <v:imagedata o:title=""/>
              <o:lock v:ext="edit" aspectratio="f"/>
              <v:textbox inset="0mm,0mm,0mm,0mm" style="mso-fit-shape-to-text:t;">
                <w:txbxContent>
                  <w:p w14:paraId="4F943741">
                    <w:pPr>
                      <w:pStyle w:val="17"/>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 xml:space="preserve"> 页 共 16页</w:t>
                    </w:r>
                  </w:p>
                </w:txbxContent>
              </v:textbox>
            </v:shape>
          </w:pict>
        </mc:Fallback>
      </mc:AlternateContent>
    </w:r>
  </w:p>
  <w:p w14:paraId="59BA2113">
    <w:pPr>
      <w:pStyle w:val="17"/>
      <w:ind w:right="360"/>
      <w:rPr>
        <w:rFonts w:hint="eastAsia"/>
      </w:rPr>
    </w:pPr>
  </w:p>
  <w:p w14:paraId="035A24E9">
    <w:pPr>
      <w:pStyle w:val="17"/>
      <w:ind w:right="360"/>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C14ED">
    <w:pPr>
      <w:pStyle w:val="18"/>
    </w:pPr>
    <w:r>
      <w:rPr>
        <w:rFonts w:hint="eastAsia"/>
      </w:rPr>
      <w:drawing>
        <wp:anchor distT="0" distB="0" distL="114300" distR="114300" simplePos="0" relativeHeight="251661312" behindDoc="1" locked="0" layoutInCell="1" allowOverlap="1">
          <wp:simplePos x="0" y="0"/>
          <wp:positionH relativeFrom="column">
            <wp:posOffset>17780</wp:posOffset>
          </wp:positionH>
          <wp:positionV relativeFrom="paragraph">
            <wp:posOffset>-165100</wp:posOffset>
          </wp:positionV>
          <wp:extent cx="1414780" cy="309245"/>
          <wp:effectExtent l="0" t="0" r="13970" b="14605"/>
          <wp:wrapTight wrapText="bothSides">
            <wp:wrapPolygon>
              <wp:start x="21592" y="-2"/>
              <wp:lineTo x="0" y="0"/>
              <wp:lineTo x="0" y="21600"/>
              <wp:lineTo x="21592" y="21602"/>
              <wp:lineTo x="8" y="21602"/>
              <wp:lineTo x="21600" y="21600"/>
              <wp:lineTo x="21600" y="0"/>
              <wp:lineTo x="8" y="-2"/>
              <wp:lineTo x="21592" y="-2"/>
            </wp:wrapPolygon>
          </wp:wrapTight>
          <wp:docPr id="5" name="图片 10" descr="正方房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 descr="正方房产"/>
                  <pic:cNvPicPr>
                    <a:picLocks noChangeAspect="1"/>
                  </pic:cNvPicPr>
                </pic:nvPicPr>
                <pic:blipFill>
                  <a:blip r:embed="rId1"/>
                  <a:stretch>
                    <a:fillRect/>
                  </a:stretch>
                </pic:blipFill>
                <pic:spPr>
                  <a:xfrm>
                    <a:off x="0" y="0"/>
                    <a:ext cx="1414780" cy="309245"/>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C"/>
    <w:multiLevelType w:val="multilevel"/>
    <w:tmpl w:val="0000000C"/>
    <w:lvl w:ilvl="0" w:tentative="0">
      <w:start w:val="1"/>
      <w:numFmt w:val="none"/>
      <w:pStyle w:val="3"/>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5"/>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pStyle w:val="7"/>
      <w:lvlText w:val="           "/>
      <w:lvlJc w:val="left"/>
      <w:pPr>
        <w:tabs>
          <w:tab w:val="left" w:pos="1440"/>
        </w:tabs>
        <w:ind w:left="1152" w:hanging="1152"/>
      </w:pPr>
      <w:rPr>
        <w:rFonts w:hint="eastAsia"/>
      </w:rPr>
    </w:lvl>
    <w:lvl w:ilvl="6" w:tentative="0">
      <w:start w:val="1"/>
      <w:numFmt w:val="decimal"/>
      <w:pStyle w:val="8"/>
      <w:lvlText w:val="%1.%2.%3.%4.%5.%6.%7"/>
      <w:lvlJc w:val="left"/>
      <w:pPr>
        <w:tabs>
          <w:tab w:val="left" w:pos="2520"/>
        </w:tabs>
        <w:ind w:left="1296" w:hanging="1296"/>
      </w:pPr>
      <w:rPr>
        <w:rFonts w:hint="eastAsia"/>
      </w:rPr>
    </w:lvl>
    <w:lvl w:ilvl="7" w:tentative="0">
      <w:start w:val="1"/>
      <w:numFmt w:val="decimal"/>
      <w:pStyle w:val="9"/>
      <w:lvlText w:val="%1.%2.%3.%4.%5.%6.%7.%8"/>
      <w:lvlJc w:val="left"/>
      <w:pPr>
        <w:tabs>
          <w:tab w:val="left" w:pos="1440"/>
        </w:tabs>
        <w:ind w:left="1440" w:hanging="1440"/>
      </w:pPr>
      <w:rPr>
        <w:rFonts w:hint="eastAsia"/>
      </w:rPr>
    </w:lvl>
    <w:lvl w:ilvl="8" w:tentative="0">
      <w:start w:val="1"/>
      <w:numFmt w:val="decimal"/>
      <w:pStyle w:val="10"/>
      <w:lvlText w:val="%1.%2.%3.%4.%5.%6.%7.%8.%9"/>
      <w:lvlJc w:val="left"/>
      <w:pPr>
        <w:tabs>
          <w:tab w:val="left" w:pos="1584"/>
        </w:tabs>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lNTFiMmVjOGMxMzE5ZjYxMGQwNTExMmM2MjZmNDcifQ=="/>
  </w:docVars>
  <w:rsids>
    <w:rsidRoot w:val="00172A27"/>
    <w:rsid w:val="00006737"/>
    <w:rsid w:val="0001740A"/>
    <w:rsid w:val="00023890"/>
    <w:rsid w:val="00030844"/>
    <w:rsid w:val="00046211"/>
    <w:rsid w:val="00057E0B"/>
    <w:rsid w:val="00061CD0"/>
    <w:rsid w:val="00065D20"/>
    <w:rsid w:val="0007571E"/>
    <w:rsid w:val="000877BA"/>
    <w:rsid w:val="00095C7E"/>
    <w:rsid w:val="00096147"/>
    <w:rsid w:val="000978B0"/>
    <w:rsid w:val="000A3A5E"/>
    <w:rsid w:val="000A5021"/>
    <w:rsid w:val="000B4EC7"/>
    <w:rsid w:val="000B675E"/>
    <w:rsid w:val="000D6456"/>
    <w:rsid w:val="000E6849"/>
    <w:rsid w:val="000E6E03"/>
    <w:rsid w:val="000F4A77"/>
    <w:rsid w:val="00110000"/>
    <w:rsid w:val="00126183"/>
    <w:rsid w:val="00135776"/>
    <w:rsid w:val="00144AB1"/>
    <w:rsid w:val="00156822"/>
    <w:rsid w:val="001571E3"/>
    <w:rsid w:val="00162FDE"/>
    <w:rsid w:val="00180B99"/>
    <w:rsid w:val="00186C18"/>
    <w:rsid w:val="00193926"/>
    <w:rsid w:val="001B1C30"/>
    <w:rsid w:val="001B335C"/>
    <w:rsid w:val="001C1D97"/>
    <w:rsid w:val="001C27D6"/>
    <w:rsid w:val="001C2CDF"/>
    <w:rsid w:val="001D4811"/>
    <w:rsid w:val="001D49DA"/>
    <w:rsid w:val="001D7237"/>
    <w:rsid w:val="001E568B"/>
    <w:rsid w:val="001E57D6"/>
    <w:rsid w:val="001F4706"/>
    <w:rsid w:val="001F5254"/>
    <w:rsid w:val="00204E21"/>
    <w:rsid w:val="00204EB1"/>
    <w:rsid w:val="00213926"/>
    <w:rsid w:val="002244DA"/>
    <w:rsid w:val="0022754D"/>
    <w:rsid w:val="00232756"/>
    <w:rsid w:val="0023284C"/>
    <w:rsid w:val="002330B0"/>
    <w:rsid w:val="00235DE5"/>
    <w:rsid w:val="002379B5"/>
    <w:rsid w:val="00237B48"/>
    <w:rsid w:val="00244DCD"/>
    <w:rsid w:val="00246474"/>
    <w:rsid w:val="00252C35"/>
    <w:rsid w:val="002541EC"/>
    <w:rsid w:val="00257A74"/>
    <w:rsid w:val="002644DE"/>
    <w:rsid w:val="00266CCC"/>
    <w:rsid w:val="00266DCC"/>
    <w:rsid w:val="00267B1D"/>
    <w:rsid w:val="00270240"/>
    <w:rsid w:val="00271AFC"/>
    <w:rsid w:val="00275FB5"/>
    <w:rsid w:val="00277936"/>
    <w:rsid w:val="002866C4"/>
    <w:rsid w:val="002A1587"/>
    <w:rsid w:val="002B15F6"/>
    <w:rsid w:val="002C195C"/>
    <w:rsid w:val="002C6195"/>
    <w:rsid w:val="002D1945"/>
    <w:rsid w:val="002E6413"/>
    <w:rsid w:val="002E658C"/>
    <w:rsid w:val="002F1169"/>
    <w:rsid w:val="002F18FE"/>
    <w:rsid w:val="002F2A91"/>
    <w:rsid w:val="003033FD"/>
    <w:rsid w:val="00310D99"/>
    <w:rsid w:val="00315859"/>
    <w:rsid w:val="00317AC0"/>
    <w:rsid w:val="00320D97"/>
    <w:rsid w:val="00321B81"/>
    <w:rsid w:val="00323802"/>
    <w:rsid w:val="00331995"/>
    <w:rsid w:val="0037116C"/>
    <w:rsid w:val="00373548"/>
    <w:rsid w:val="00383929"/>
    <w:rsid w:val="003914A2"/>
    <w:rsid w:val="0039174B"/>
    <w:rsid w:val="003938AA"/>
    <w:rsid w:val="00397021"/>
    <w:rsid w:val="003B1B8D"/>
    <w:rsid w:val="003B2795"/>
    <w:rsid w:val="003B3823"/>
    <w:rsid w:val="003B4D08"/>
    <w:rsid w:val="003C0368"/>
    <w:rsid w:val="003C7854"/>
    <w:rsid w:val="003D0536"/>
    <w:rsid w:val="003D72BC"/>
    <w:rsid w:val="003E0746"/>
    <w:rsid w:val="003E71BB"/>
    <w:rsid w:val="003F73ED"/>
    <w:rsid w:val="004003E5"/>
    <w:rsid w:val="0040103F"/>
    <w:rsid w:val="0040656D"/>
    <w:rsid w:val="0040759F"/>
    <w:rsid w:val="0041491F"/>
    <w:rsid w:val="00416888"/>
    <w:rsid w:val="0043697A"/>
    <w:rsid w:val="00437FAB"/>
    <w:rsid w:val="0044061E"/>
    <w:rsid w:val="004468E5"/>
    <w:rsid w:val="00452788"/>
    <w:rsid w:val="004659F2"/>
    <w:rsid w:val="00466E99"/>
    <w:rsid w:val="004751D6"/>
    <w:rsid w:val="00483ED7"/>
    <w:rsid w:val="004874C9"/>
    <w:rsid w:val="0049257D"/>
    <w:rsid w:val="00497B50"/>
    <w:rsid w:val="004A4FAA"/>
    <w:rsid w:val="004A7E81"/>
    <w:rsid w:val="004B2105"/>
    <w:rsid w:val="004C22B5"/>
    <w:rsid w:val="004C3571"/>
    <w:rsid w:val="004C44F7"/>
    <w:rsid w:val="004C58A5"/>
    <w:rsid w:val="004D655B"/>
    <w:rsid w:val="004E7E03"/>
    <w:rsid w:val="004F19E0"/>
    <w:rsid w:val="00503B0D"/>
    <w:rsid w:val="00514532"/>
    <w:rsid w:val="00514C5A"/>
    <w:rsid w:val="0051760A"/>
    <w:rsid w:val="0052130F"/>
    <w:rsid w:val="00531C94"/>
    <w:rsid w:val="0054357A"/>
    <w:rsid w:val="00543BF7"/>
    <w:rsid w:val="00547604"/>
    <w:rsid w:val="00552D7B"/>
    <w:rsid w:val="0055439A"/>
    <w:rsid w:val="005545F2"/>
    <w:rsid w:val="00556008"/>
    <w:rsid w:val="005613A2"/>
    <w:rsid w:val="00562595"/>
    <w:rsid w:val="00567091"/>
    <w:rsid w:val="00567E72"/>
    <w:rsid w:val="00571018"/>
    <w:rsid w:val="00574448"/>
    <w:rsid w:val="005753F2"/>
    <w:rsid w:val="00576039"/>
    <w:rsid w:val="00585F03"/>
    <w:rsid w:val="0059402A"/>
    <w:rsid w:val="00596D28"/>
    <w:rsid w:val="00597A7A"/>
    <w:rsid w:val="005A2656"/>
    <w:rsid w:val="005B3AF1"/>
    <w:rsid w:val="005C28FF"/>
    <w:rsid w:val="005D5D32"/>
    <w:rsid w:val="005E4121"/>
    <w:rsid w:val="005F27DD"/>
    <w:rsid w:val="005F6975"/>
    <w:rsid w:val="00604B80"/>
    <w:rsid w:val="0060752E"/>
    <w:rsid w:val="006116DA"/>
    <w:rsid w:val="00620466"/>
    <w:rsid w:val="00621C9E"/>
    <w:rsid w:val="00623670"/>
    <w:rsid w:val="00623C45"/>
    <w:rsid w:val="006328C9"/>
    <w:rsid w:val="006361F3"/>
    <w:rsid w:val="00636AE2"/>
    <w:rsid w:val="00642E47"/>
    <w:rsid w:val="00645A33"/>
    <w:rsid w:val="00663192"/>
    <w:rsid w:val="00663B24"/>
    <w:rsid w:val="00685637"/>
    <w:rsid w:val="0069327B"/>
    <w:rsid w:val="00694377"/>
    <w:rsid w:val="00696638"/>
    <w:rsid w:val="006A439F"/>
    <w:rsid w:val="006C74CD"/>
    <w:rsid w:val="006D2EB0"/>
    <w:rsid w:val="006D71D4"/>
    <w:rsid w:val="006E7DED"/>
    <w:rsid w:val="006F1307"/>
    <w:rsid w:val="00701D48"/>
    <w:rsid w:val="007038DB"/>
    <w:rsid w:val="00704A59"/>
    <w:rsid w:val="00707856"/>
    <w:rsid w:val="00731DD0"/>
    <w:rsid w:val="00742CCF"/>
    <w:rsid w:val="00754400"/>
    <w:rsid w:val="00766DD0"/>
    <w:rsid w:val="00771562"/>
    <w:rsid w:val="00774D50"/>
    <w:rsid w:val="00776C61"/>
    <w:rsid w:val="00777049"/>
    <w:rsid w:val="0079448C"/>
    <w:rsid w:val="007950CF"/>
    <w:rsid w:val="00795563"/>
    <w:rsid w:val="007A02CA"/>
    <w:rsid w:val="007A2509"/>
    <w:rsid w:val="007B715E"/>
    <w:rsid w:val="007C2045"/>
    <w:rsid w:val="007C59EA"/>
    <w:rsid w:val="007D273A"/>
    <w:rsid w:val="007D4156"/>
    <w:rsid w:val="007E57AD"/>
    <w:rsid w:val="007F3342"/>
    <w:rsid w:val="0080791B"/>
    <w:rsid w:val="00810738"/>
    <w:rsid w:val="00814BD8"/>
    <w:rsid w:val="00814C3A"/>
    <w:rsid w:val="008241DF"/>
    <w:rsid w:val="0083156E"/>
    <w:rsid w:val="008443CB"/>
    <w:rsid w:val="00850F56"/>
    <w:rsid w:val="00855CCD"/>
    <w:rsid w:val="008830AE"/>
    <w:rsid w:val="00891DF2"/>
    <w:rsid w:val="008B00EB"/>
    <w:rsid w:val="008B646C"/>
    <w:rsid w:val="008C1F17"/>
    <w:rsid w:val="008C3669"/>
    <w:rsid w:val="008C4797"/>
    <w:rsid w:val="008C7582"/>
    <w:rsid w:val="008D29B7"/>
    <w:rsid w:val="008D2B83"/>
    <w:rsid w:val="008D5E38"/>
    <w:rsid w:val="008D7D83"/>
    <w:rsid w:val="008E284F"/>
    <w:rsid w:val="008E4884"/>
    <w:rsid w:val="008E6599"/>
    <w:rsid w:val="008F0046"/>
    <w:rsid w:val="008F0A97"/>
    <w:rsid w:val="008F69CD"/>
    <w:rsid w:val="008F7E8A"/>
    <w:rsid w:val="009047BB"/>
    <w:rsid w:val="00906CC6"/>
    <w:rsid w:val="009166D8"/>
    <w:rsid w:val="00917838"/>
    <w:rsid w:val="00926C51"/>
    <w:rsid w:val="009273EE"/>
    <w:rsid w:val="00935C93"/>
    <w:rsid w:val="00941C0E"/>
    <w:rsid w:val="00941FEB"/>
    <w:rsid w:val="00943FF7"/>
    <w:rsid w:val="00945641"/>
    <w:rsid w:val="00947B65"/>
    <w:rsid w:val="00960EDC"/>
    <w:rsid w:val="00962434"/>
    <w:rsid w:val="0096368A"/>
    <w:rsid w:val="00970ADF"/>
    <w:rsid w:val="0097298D"/>
    <w:rsid w:val="00982349"/>
    <w:rsid w:val="009A2179"/>
    <w:rsid w:val="009B3B4C"/>
    <w:rsid w:val="009D516D"/>
    <w:rsid w:val="009E0DEE"/>
    <w:rsid w:val="009E1E09"/>
    <w:rsid w:val="009E516D"/>
    <w:rsid w:val="009F3225"/>
    <w:rsid w:val="00A00635"/>
    <w:rsid w:val="00A163EA"/>
    <w:rsid w:val="00A23004"/>
    <w:rsid w:val="00A2422C"/>
    <w:rsid w:val="00A35C8D"/>
    <w:rsid w:val="00A37012"/>
    <w:rsid w:val="00A37F75"/>
    <w:rsid w:val="00A42290"/>
    <w:rsid w:val="00A44DB2"/>
    <w:rsid w:val="00A44E53"/>
    <w:rsid w:val="00A53BCE"/>
    <w:rsid w:val="00A55BC0"/>
    <w:rsid w:val="00A60D08"/>
    <w:rsid w:val="00A64A42"/>
    <w:rsid w:val="00A71570"/>
    <w:rsid w:val="00A72518"/>
    <w:rsid w:val="00A85A1C"/>
    <w:rsid w:val="00A876D6"/>
    <w:rsid w:val="00A937CE"/>
    <w:rsid w:val="00AB17C7"/>
    <w:rsid w:val="00AB2EBE"/>
    <w:rsid w:val="00AC3FEB"/>
    <w:rsid w:val="00AC6459"/>
    <w:rsid w:val="00AD1770"/>
    <w:rsid w:val="00AE3042"/>
    <w:rsid w:val="00AE3B92"/>
    <w:rsid w:val="00AF6983"/>
    <w:rsid w:val="00B00BB4"/>
    <w:rsid w:val="00B073EA"/>
    <w:rsid w:val="00B12FB9"/>
    <w:rsid w:val="00B32D49"/>
    <w:rsid w:val="00B4262A"/>
    <w:rsid w:val="00B5345D"/>
    <w:rsid w:val="00B7312F"/>
    <w:rsid w:val="00B82621"/>
    <w:rsid w:val="00B9443D"/>
    <w:rsid w:val="00BA17E1"/>
    <w:rsid w:val="00BB57B3"/>
    <w:rsid w:val="00BB69E9"/>
    <w:rsid w:val="00BE5393"/>
    <w:rsid w:val="00C01C53"/>
    <w:rsid w:val="00C056F1"/>
    <w:rsid w:val="00C2619A"/>
    <w:rsid w:val="00C279E1"/>
    <w:rsid w:val="00C3331B"/>
    <w:rsid w:val="00C42B18"/>
    <w:rsid w:val="00C63DAB"/>
    <w:rsid w:val="00C7178E"/>
    <w:rsid w:val="00C7284D"/>
    <w:rsid w:val="00C91232"/>
    <w:rsid w:val="00C948C2"/>
    <w:rsid w:val="00CB302E"/>
    <w:rsid w:val="00CB59D3"/>
    <w:rsid w:val="00CB65A7"/>
    <w:rsid w:val="00CB71FF"/>
    <w:rsid w:val="00CC1454"/>
    <w:rsid w:val="00CD0865"/>
    <w:rsid w:val="00CD4F76"/>
    <w:rsid w:val="00CD6DE8"/>
    <w:rsid w:val="00CF69C8"/>
    <w:rsid w:val="00D1793A"/>
    <w:rsid w:val="00D3021F"/>
    <w:rsid w:val="00D34FF1"/>
    <w:rsid w:val="00D372D5"/>
    <w:rsid w:val="00D406A0"/>
    <w:rsid w:val="00D66917"/>
    <w:rsid w:val="00D70F2B"/>
    <w:rsid w:val="00D77636"/>
    <w:rsid w:val="00D77A8D"/>
    <w:rsid w:val="00D856A2"/>
    <w:rsid w:val="00DA79DB"/>
    <w:rsid w:val="00DB2917"/>
    <w:rsid w:val="00DB3AF9"/>
    <w:rsid w:val="00DB5E07"/>
    <w:rsid w:val="00DB6122"/>
    <w:rsid w:val="00DC36C5"/>
    <w:rsid w:val="00DE0F67"/>
    <w:rsid w:val="00E1390D"/>
    <w:rsid w:val="00E24BD8"/>
    <w:rsid w:val="00E25D8A"/>
    <w:rsid w:val="00E27701"/>
    <w:rsid w:val="00E42014"/>
    <w:rsid w:val="00E448BC"/>
    <w:rsid w:val="00E4578E"/>
    <w:rsid w:val="00E53DEC"/>
    <w:rsid w:val="00E615EE"/>
    <w:rsid w:val="00E61910"/>
    <w:rsid w:val="00E67A22"/>
    <w:rsid w:val="00E75F32"/>
    <w:rsid w:val="00E81172"/>
    <w:rsid w:val="00E838B9"/>
    <w:rsid w:val="00E93353"/>
    <w:rsid w:val="00EB1F7E"/>
    <w:rsid w:val="00EC1DCC"/>
    <w:rsid w:val="00EC67CE"/>
    <w:rsid w:val="00ED3373"/>
    <w:rsid w:val="00ED796A"/>
    <w:rsid w:val="00EE1DD4"/>
    <w:rsid w:val="00EF3E5B"/>
    <w:rsid w:val="00EF58E6"/>
    <w:rsid w:val="00F008A4"/>
    <w:rsid w:val="00F05731"/>
    <w:rsid w:val="00F16D6C"/>
    <w:rsid w:val="00F17B49"/>
    <w:rsid w:val="00F32E65"/>
    <w:rsid w:val="00F3391F"/>
    <w:rsid w:val="00F379D4"/>
    <w:rsid w:val="00F404B0"/>
    <w:rsid w:val="00F40B3E"/>
    <w:rsid w:val="00F41286"/>
    <w:rsid w:val="00F47EB2"/>
    <w:rsid w:val="00F47F4A"/>
    <w:rsid w:val="00F53329"/>
    <w:rsid w:val="00F5477D"/>
    <w:rsid w:val="00F54F82"/>
    <w:rsid w:val="00F748FF"/>
    <w:rsid w:val="00F83CEC"/>
    <w:rsid w:val="00F842EA"/>
    <w:rsid w:val="00F95E80"/>
    <w:rsid w:val="00FC470C"/>
    <w:rsid w:val="00FD267E"/>
    <w:rsid w:val="00FD54BF"/>
    <w:rsid w:val="00FD5B1F"/>
    <w:rsid w:val="00FF1A4E"/>
    <w:rsid w:val="00FF2E16"/>
    <w:rsid w:val="010F3F96"/>
    <w:rsid w:val="013A3893"/>
    <w:rsid w:val="01577882"/>
    <w:rsid w:val="016A0D1A"/>
    <w:rsid w:val="017261CF"/>
    <w:rsid w:val="02035F47"/>
    <w:rsid w:val="020D7F4B"/>
    <w:rsid w:val="021C376D"/>
    <w:rsid w:val="022B15F1"/>
    <w:rsid w:val="026037B0"/>
    <w:rsid w:val="027E5764"/>
    <w:rsid w:val="02FF231C"/>
    <w:rsid w:val="03334CE5"/>
    <w:rsid w:val="03661577"/>
    <w:rsid w:val="03922CB7"/>
    <w:rsid w:val="04101DF3"/>
    <w:rsid w:val="04122495"/>
    <w:rsid w:val="04642D3D"/>
    <w:rsid w:val="047B33D5"/>
    <w:rsid w:val="04A942BA"/>
    <w:rsid w:val="04AB439C"/>
    <w:rsid w:val="04B213C1"/>
    <w:rsid w:val="04D1174E"/>
    <w:rsid w:val="04DC4EED"/>
    <w:rsid w:val="04F61DAB"/>
    <w:rsid w:val="055A71C9"/>
    <w:rsid w:val="05662963"/>
    <w:rsid w:val="05A662C6"/>
    <w:rsid w:val="05A669FC"/>
    <w:rsid w:val="05B8308F"/>
    <w:rsid w:val="05BB2A8E"/>
    <w:rsid w:val="05E853DD"/>
    <w:rsid w:val="05F23A3F"/>
    <w:rsid w:val="060B5E38"/>
    <w:rsid w:val="06162F40"/>
    <w:rsid w:val="06271FB5"/>
    <w:rsid w:val="0650462A"/>
    <w:rsid w:val="06AC244C"/>
    <w:rsid w:val="07067C68"/>
    <w:rsid w:val="070B2321"/>
    <w:rsid w:val="07177895"/>
    <w:rsid w:val="07334CEF"/>
    <w:rsid w:val="07414233"/>
    <w:rsid w:val="079873A9"/>
    <w:rsid w:val="07A67D9D"/>
    <w:rsid w:val="07DB013D"/>
    <w:rsid w:val="0890611E"/>
    <w:rsid w:val="089F746D"/>
    <w:rsid w:val="08AF0948"/>
    <w:rsid w:val="08BD20E2"/>
    <w:rsid w:val="08D247D7"/>
    <w:rsid w:val="093D28B7"/>
    <w:rsid w:val="096F4924"/>
    <w:rsid w:val="097B45F7"/>
    <w:rsid w:val="098C00C2"/>
    <w:rsid w:val="09BA0FB8"/>
    <w:rsid w:val="09BD1025"/>
    <w:rsid w:val="09C77093"/>
    <w:rsid w:val="09EE6275"/>
    <w:rsid w:val="09FA53ED"/>
    <w:rsid w:val="0A6D331F"/>
    <w:rsid w:val="0A842514"/>
    <w:rsid w:val="0A940AD8"/>
    <w:rsid w:val="0AA632DE"/>
    <w:rsid w:val="0AAD6FF9"/>
    <w:rsid w:val="0AB156B0"/>
    <w:rsid w:val="0AD50E7D"/>
    <w:rsid w:val="0AF52612"/>
    <w:rsid w:val="0B013662"/>
    <w:rsid w:val="0B723658"/>
    <w:rsid w:val="0C155F6E"/>
    <w:rsid w:val="0C5B2466"/>
    <w:rsid w:val="0C6A10EA"/>
    <w:rsid w:val="0CD520F0"/>
    <w:rsid w:val="0CE36C43"/>
    <w:rsid w:val="0CE80758"/>
    <w:rsid w:val="0CFB6FDC"/>
    <w:rsid w:val="0D076022"/>
    <w:rsid w:val="0D2037F1"/>
    <w:rsid w:val="0D6C1B29"/>
    <w:rsid w:val="0D966CEB"/>
    <w:rsid w:val="0DBE3773"/>
    <w:rsid w:val="0DEE1B95"/>
    <w:rsid w:val="0DFE7C08"/>
    <w:rsid w:val="0E346944"/>
    <w:rsid w:val="0E401BAA"/>
    <w:rsid w:val="0E601E8E"/>
    <w:rsid w:val="0EB05909"/>
    <w:rsid w:val="0ED3390A"/>
    <w:rsid w:val="0EF372FD"/>
    <w:rsid w:val="0F1D6E91"/>
    <w:rsid w:val="0F4946D0"/>
    <w:rsid w:val="0F4E2C20"/>
    <w:rsid w:val="0F5155DD"/>
    <w:rsid w:val="0F71230E"/>
    <w:rsid w:val="0FE76FDA"/>
    <w:rsid w:val="0FEF4B17"/>
    <w:rsid w:val="101159AF"/>
    <w:rsid w:val="110C36A1"/>
    <w:rsid w:val="1114185F"/>
    <w:rsid w:val="111E6D96"/>
    <w:rsid w:val="11682531"/>
    <w:rsid w:val="11D3621D"/>
    <w:rsid w:val="11EF6B31"/>
    <w:rsid w:val="12572754"/>
    <w:rsid w:val="127D6C2D"/>
    <w:rsid w:val="12D63DA6"/>
    <w:rsid w:val="137166F9"/>
    <w:rsid w:val="13ED4AE3"/>
    <w:rsid w:val="14011847"/>
    <w:rsid w:val="140A3097"/>
    <w:rsid w:val="142657F2"/>
    <w:rsid w:val="14997EA7"/>
    <w:rsid w:val="149E3F2D"/>
    <w:rsid w:val="14CD1279"/>
    <w:rsid w:val="14D85B04"/>
    <w:rsid w:val="14F13524"/>
    <w:rsid w:val="15205895"/>
    <w:rsid w:val="16020606"/>
    <w:rsid w:val="160C3AEF"/>
    <w:rsid w:val="160F1363"/>
    <w:rsid w:val="160F45B5"/>
    <w:rsid w:val="16625A93"/>
    <w:rsid w:val="16734728"/>
    <w:rsid w:val="16877A7D"/>
    <w:rsid w:val="16A2499E"/>
    <w:rsid w:val="16BD495F"/>
    <w:rsid w:val="17991E91"/>
    <w:rsid w:val="179975BA"/>
    <w:rsid w:val="179A4CEB"/>
    <w:rsid w:val="17AF73F2"/>
    <w:rsid w:val="17E06C97"/>
    <w:rsid w:val="186A3788"/>
    <w:rsid w:val="18B515A7"/>
    <w:rsid w:val="192934A1"/>
    <w:rsid w:val="193D426D"/>
    <w:rsid w:val="19D90B78"/>
    <w:rsid w:val="19DD6507"/>
    <w:rsid w:val="1A0F5D52"/>
    <w:rsid w:val="1A2E2C53"/>
    <w:rsid w:val="1A865C2E"/>
    <w:rsid w:val="1AA367B9"/>
    <w:rsid w:val="1AAA325E"/>
    <w:rsid w:val="1AE76C90"/>
    <w:rsid w:val="1AF0716A"/>
    <w:rsid w:val="1AF13BE0"/>
    <w:rsid w:val="1B1C327B"/>
    <w:rsid w:val="1B3629E1"/>
    <w:rsid w:val="1B3D0ABF"/>
    <w:rsid w:val="1B494ED1"/>
    <w:rsid w:val="1B580A85"/>
    <w:rsid w:val="1B785C09"/>
    <w:rsid w:val="1B9F3D71"/>
    <w:rsid w:val="1BA3160C"/>
    <w:rsid w:val="1BC82451"/>
    <w:rsid w:val="1C340C07"/>
    <w:rsid w:val="1C575763"/>
    <w:rsid w:val="1C590CA3"/>
    <w:rsid w:val="1C892AED"/>
    <w:rsid w:val="1CB36130"/>
    <w:rsid w:val="1CC03943"/>
    <w:rsid w:val="1CF0619F"/>
    <w:rsid w:val="1D290A7D"/>
    <w:rsid w:val="1D383EED"/>
    <w:rsid w:val="1D4D4034"/>
    <w:rsid w:val="1D6D0DEC"/>
    <w:rsid w:val="1D737F02"/>
    <w:rsid w:val="1D8B4E33"/>
    <w:rsid w:val="1DC24C5C"/>
    <w:rsid w:val="1DCD344E"/>
    <w:rsid w:val="1DD45AAC"/>
    <w:rsid w:val="1DED0A63"/>
    <w:rsid w:val="1EC02441"/>
    <w:rsid w:val="1EEA55F9"/>
    <w:rsid w:val="1F4010FF"/>
    <w:rsid w:val="1F4E7E2A"/>
    <w:rsid w:val="1FAF4EBA"/>
    <w:rsid w:val="1FF019B5"/>
    <w:rsid w:val="20193041"/>
    <w:rsid w:val="206F337D"/>
    <w:rsid w:val="208148B2"/>
    <w:rsid w:val="20837965"/>
    <w:rsid w:val="20EC135F"/>
    <w:rsid w:val="214A2FD1"/>
    <w:rsid w:val="21556513"/>
    <w:rsid w:val="21BE6DB6"/>
    <w:rsid w:val="21F060D4"/>
    <w:rsid w:val="222628E1"/>
    <w:rsid w:val="22673393"/>
    <w:rsid w:val="22B33588"/>
    <w:rsid w:val="22BC278D"/>
    <w:rsid w:val="22D15DAB"/>
    <w:rsid w:val="2310027B"/>
    <w:rsid w:val="232C0E4C"/>
    <w:rsid w:val="235F219B"/>
    <w:rsid w:val="237E2C37"/>
    <w:rsid w:val="23820A16"/>
    <w:rsid w:val="23C5470E"/>
    <w:rsid w:val="23D95697"/>
    <w:rsid w:val="24034012"/>
    <w:rsid w:val="24156093"/>
    <w:rsid w:val="24222152"/>
    <w:rsid w:val="243D52BD"/>
    <w:rsid w:val="245438E1"/>
    <w:rsid w:val="246102B6"/>
    <w:rsid w:val="24923956"/>
    <w:rsid w:val="24AF4943"/>
    <w:rsid w:val="24BC7BCB"/>
    <w:rsid w:val="24DD3128"/>
    <w:rsid w:val="25175E62"/>
    <w:rsid w:val="256046F3"/>
    <w:rsid w:val="2592693D"/>
    <w:rsid w:val="25BF00CD"/>
    <w:rsid w:val="25FF25C9"/>
    <w:rsid w:val="260B73FB"/>
    <w:rsid w:val="26712A32"/>
    <w:rsid w:val="26993D37"/>
    <w:rsid w:val="26C47137"/>
    <w:rsid w:val="26C94E1F"/>
    <w:rsid w:val="26DD0F6E"/>
    <w:rsid w:val="270B2A2F"/>
    <w:rsid w:val="271F48B8"/>
    <w:rsid w:val="2732420C"/>
    <w:rsid w:val="27965326"/>
    <w:rsid w:val="27A43892"/>
    <w:rsid w:val="27C14725"/>
    <w:rsid w:val="27D34738"/>
    <w:rsid w:val="27D746B9"/>
    <w:rsid w:val="28681A35"/>
    <w:rsid w:val="28942102"/>
    <w:rsid w:val="28B518B9"/>
    <w:rsid w:val="28B7067A"/>
    <w:rsid w:val="28E87EB0"/>
    <w:rsid w:val="2906772A"/>
    <w:rsid w:val="292623B0"/>
    <w:rsid w:val="29337924"/>
    <w:rsid w:val="294A04DC"/>
    <w:rsid w:val="29560A21"/>
    <w:rsid w:val="295A2769"/>
    <w:rsid w:val="299366E9"/>
    <w:rsid w:val="29B95532"/>
    <w:rsid w:val="2A10079D"/>
    <w:rsid w:val="2A276987"/>
    <w:rsid w:val="2A286C03"/>
    <w:rsid w:val="2A2F1F18"/>
    <w:rsid w:val="2A466090"/>
    <w:rsid w:val="2A7841D0"/>
    <w:rsid w:val="2B345DDC"/>
    <w:rsid w:val="2B42622B"/>
    <w:rsid w:val="2B470D4B"/>
    <w:rsid w:val="2B834379"/>
    <w:rsid w:val="2BBD7048"/>
    <w:rsid w:val="2BE22C2E"/>
    <w:rsid w:val="2BF305F6"/>
    <w:rsid w:val="2C213CDF"/>
    <w:rsid w:val="2C6C7F9B"/>
    <w:rsid w:val="2C744CB2"/>
    <w:rsid w:val="2CAE1AA9"/>
    <w:rsid w:val="2CD15701"/>
    <w:rsid w:val="2D1057B9"/>
    <w:rsid w:val="2D4C6BE4"/>
    <w:rsid w:val="2D5C5DC6"/>
    <w:rsid w:val="2D8375A0"/>
    <w:rsid w:val="2DE11F5C"/>
    <w:rsid w:val="2E0C6A90"/>
    <w:rsid w:val="2E2264FF"/>
    <w:rsid w:val="2E6620BE"/>
    <w:rsid w:val="2E697D59"/>
    <w:rsid w:val="2E816EB8"/>
    <w:rsid w:val="2E9D3892"/>
    <w:rsid w:val="2ED81605"/>
    <w:rsid w:val="2F660DEB"/>
    <w:rsid w:val="2F680793"/>
    <w:rsid w:val="2FA15A0A"/>
    <w:rsid w:val="301255CD"/>
    <w:rsid w:val="301E6420"/>
    <w:rsid w:val="304E7940"/>
    <w:rsid w:val="30841703"/>
    <w:rsid w:val="30906F5C"/>
    <w:rsid w:val="30BE74FD"/>
    <w:rsid w:val="30C706E4"/>
    <w:rsid w:val="30F44D37"/>
    <w:rsid w:val="311B4AF6"/>
    <w:rsid w:val="31310C30"/>
    <w:rsid w:val="318879E9"/>
    <w:rsid w:val="31B17876"/>
    <w:rsid w:val="31CB25A3"/>
    <w:rsid w:val="31E960C3"/>
    <w:rsid w:val="32102A09"/>
    <w:rsid w:val="32712F0F"/>
    <w:rsid w:val="33174961"/>
    <w:rsid w:val="334A2B5B"/>
    <w:rsid w:val="3361798A"/>
    <w:rsid w:val="33623ACA"/>
    <w:rsid w:val="33664FA1"/>
    <w:rsid w:val="336874F5"/>
    <w:rsid w:val="337C47C4"/>
    <w:rsid w:val="33936F33"/>
    <w:rsid w:val="33A83E85"/>
    <w:rsid w:val="33AD2D99"/>
    <w:rsid w:val="34713E2B"/>
    <w:rsid w:val="34787314"/>
    <w:rsid w:val="34847ACC"/>
    <w:rsid w:val="34DF0B98"/>
    <w:rsid w:val="34E972E4"/>
    <w:rsid w:val="353A34F0"/>
    <w:rsid w:val="358B0B8E"/>
    <w:rsid w:val="35906AE6"/>
    <w:rsid w:val="359263EA"/>
    <w:rsid w:val="35A856F9"/>
    <w:rsid w:val="35BB4140"/>
    <w:rsid w:val="35DF548A"/>
    <w:rsid w:val="360F6F8E"/>
    <w:rsid w:val="36151C27"/>
    <w:rsid w:val="362253DF"/>
    <w:rsid w:val="36333DB9"/>
    <w:rsid w:val="36883B6C"/>
    <w:rsid w:val="36FF12ED"/>
    <w:rsid w:val="37315D55"/>
    <w:rsid w:val="377C11BD"/>
    <w:rsid w:val="37E97118"/>
    <w:rsid w:val="38114134"/>
    <w:rsid w:val="38433361"/>
    <w:rsid w:val="38473AA7"/>
    <w:rsid w:val="38517F83"/>
    <w:rsid w:val="386A7A58"/>
    <w:rsid w:val="38751AC6"/>
    <w:rsid w:val="38782C60"/>
    <w:rsid w:val="38ED2F70"/>
    <w:rsid w:val="399E5C28"/>
    <w:rsid w:val="39FC69E2"/>
    <w:rsid w:val="3A23408A"/>
    <w:rsid w:val="3A2820DD"/>
    <w:rsid w:val="3A44336C"/>
    <w:rsid w:val="3A5B15D7"/>
    <w:rsid w:val="3AA574B8"/>
    <w:rsid w:val="3AB30E25"/>
    <w:rsid w:val="3AB82862"/>
    <w:rsid w:val="3AD54352"/>
    <w:rsid w:val="3B164422"/>
    <w:rsid w:val="3B5A08FB"/>
    <w:rsid w:val="3B914B85"/>
    <w:rsid w:val="3BA07FC7"/>
    <w:rsid w:val="3BE50C26"/>
    <w:rsid w:val="3C023200"/>
    <w:rsid w:val="3C050967"/>
    <w:rsid w:val="3C6C71F9"/>
    <w:rsid w:val="3C6F0D8F"/>
    <w:rsid w:val="3C8D60A5"/>
    <w:rsid w:val="3C8D6913"/>
    <w:rsid w:val="3CB03D94"/>
    <w:rsid w:val="3CBF4751"/>
    <w:rsid w:val="3CC03974"/>
    <w:rsid w:val="3D3A150F"/>
    <w:rsid w:val="3D5C6162"/>
    <w:rsid w:val="3D5D3E6B"/>
    <w:rsid w:val="3D617664"/>
    <w:rsid w:val="3DB1318E"/>
    <w:rsid w:val="3DDD000C"/>
    <w:rsid w:val="3DFC0826"/>
    <w:rsid w:val="3E1002F7"/>
    <w:rsid w:val="3E7E0890"/>
    <w:rsid w:val="3ED2187D"/>
    <w:rsid w:val="3FA06B74"/>
    <w:rsid w:val="3FA12CAF"/>
    <w:rsid w:val="3FA625F6"/>
    <w:rsid w:val="3FAF52E9"/>
    <w:rsid w:val="40120967"/>
    <w:rsid w:val="4026025D"/>
    <w:rsid w:val="40262ED6"/>
    <w:rsid w:val="403C1FF9"/>
    <w:rsid w:val="408F767A"/>
    <w:rsid w:val="40DE1A19"/>
    <w:rsid w:val="415A5578"/>
    <w:rsid w:val="41940F3C"/>
    <w:rsid w:val="419B35F9"/>
    <w:rsid w:val="41B60061"/>
    <w:rsid w:val="41D95C11"/>
    <w:rsid w:val="42550FE6"/>
    <w:rsid w:val="426E3E72"/>
    <w:rsid w:val="42767C2A"/>
    <w:rsid w:val="42A32C5E"/>
    <w:rsid w:val="42A53877"/>
    <w:rsid w:val="42C62926"/>
    <w:rsid w:val="42EE25DC"/>
    <w:rsid w:val="42F35F81"/>
    <w:rsid w:val="42FC1319"/>
    <w:rsid w:val="43016A94"/>
    <w:rsid w:val="432400CB"/>
    <w:rsid w:val="43262D6B"/>
    <w:rsid w:val="43633E8F"/>
    <w:rsid w:val="43B477F4"/>
    <w:rsid w:val="43E231A6"/>
    <w:rsid w:val="43FE7EAB"/>
    <w:rsid w:val="441E1DC0"/>
    <w:rsid w:val="444269A4"/>
    <w:rsid w:val="44692FDF"/>
    <w:rsid w:val="448C3A58"/>
    <w:rsid w:val="4493736B"/>
    <w:rsid w:val="449B33BC"/>
    <w:rsid w:val="44FD2398"/>
    <w:rsid w:val="45140D01"/>
    <w:rsid w:val="4540536F"/>
    <w:rsid w:val="456A03E4"/>
    <w:rsid w:val="45A5036B"/>
    <w:rsid w:val="45AB2F8F"/>
    <w:rsid w:val="45DF5E93"/>
    <w:rsid w:val="460831AA"/>
    <w:rsid w:val="46686B14"/>
    <w:rsid w:val="46724D82"/>
    <w:rsid w:val="46725AF1"/>
    <w:rsid w:val="467B6B5D"/>
    <w:rsid w:val="469D3163"/>
    <w:rsid w:val="46A9191C"/>
    <w:rsid w:val="46C22130"/>
    <w:rsid w:val="46E12E64"/>
    <w:rsid w:val="46E32699"/>
    <w:rsid w:val="46E568D6"/>
    <w:rsid w:val="46EC0B53"/>
    <w:rsid w:val="47270B0C"/>
    <w:rsid w:val="475A404D"/>
    <w:rsid w:val="478215DC"/>
    <w:rsid w:val="478270CE"/>
    <w:rsid w:val="478832E0"/>
    <w:rsid w:val="480905A7"/>
    <w:rsid w:val="482E20D9"/>
    <w:rsid w:val="484A3064"/>
    <w:rsid w:val="488E194D"/>
    <w:rsid w:val="489152CC"/>
    <w:rsid w:val="48C70C9E"/>
    <w:rsid w:val="48D678E1"/>
    <w:rsid w:val="48DA4E50"/>
    <w:rsid w:val="495B0960"/>
    <w:rsid w:val="49683BC3"/>
    <w:rsid w:val="497971EB"/>
    <w:rsid w:val="49D20024"/>
    <w:rsid w:val="49FC4F1A"/>
    <w:rsid w:val="4A2E1F9C"/>
    <w:rsid w:val="4A3C4A05"/>
    <w:rsid w:val="4A4C0772"/>
    <w:rsid w:val="4A7D2EA4"/>
    <w:rsid w:val="4A8835F0"/>
    <w:rsid w:val="4ABE5443"/>
    <w:rsid w:val="4ADA7D1B"/>
    <w:rsid w:val="4B0E126A"/>
    <w:rsid w:val="4B0E6595"/>
    <w:rsid w:val="4BD20B1A"/>
    <w:rsid w:val="4BDF06EC"/>
    <w:rsid w:val="4BF419F7"/>
    <w:rsid w:val="4C3C6261"/>
    <w:rsid w:val="4C687D12"/>
    <w:rsid w:val="4C6D1ECD"/>
    <w:rsid w:val="4C723701"/>
    <w:rsid w:val="4CAC5CC3"/>
    <w:rsid w:val="4CAC6EA2"/>
    <w:rsid w:val="4CEF2671"/>
    <w:rsid w:val="4D067F8C"/>
    <w:rsid w:val="4D0729DE"/>
    <w:rsid w:val="4D0A2727"/>
    <w:rsid w:val="4D456D42"/>
    <w:rsid w:val="4D8335E1"/>
    <w:rsid w:val="4E00404F"/>
    <w:rsid w:val="4E061FD3"/>
    <w:rsid w:val="4E163BCB"/>
    <w:rsid w:val="4E237DC2"/>
    <w:rsid w:val="4EA02CC5"/>
    <w:rsid w:val="4EED3526"/>
    <w:rsid w:val="4F861C1C"/>
    <w:rsid w:val="4F90367A"/>
    <w:rsid w:val="4FB1539E"/>
    <w:rsid w:val="4FFB3809"/>
    <w:rsid w:val="4FFF1A87"/>
    <w:rsid w:val="501455CC"/>
    <w:rsid w:val="50380D7E"/>
    <w:rsid w:val="50581F3E"/>
    <w:rsid w:val="50B26AB3"/>
    <w:rsid w:val="50B63DF4"/>
    <w:rsid w:val="50C03A6A"/>
    <w:rsid w:val="50DB022B"/>
    <w:rsid w:val="50E05A56"/>
    <w:rsid w:val="50E62A1B"/>
    <w:rsid w:val="50E85DA0"/>
    <w:rsid w:val="510233B5"/>
    <w:rsid w:val="51151EE2"/>
    <w:rsid w:val="51351009"/>
    <w:rsid w:val="51585F74"/>
    <w:rsid w:val="51710F07"/>
    <w:rsid w:val="51A95BA0"/>
    <w:rsid w:val="51CA0B3E"/>
    <w:rsid w:val="51D07D5D"/>
    <w:rsid w:val="51E654B2"/>
    <w:rsid w:val="52160051"/>
    <w:rsid w:val="521B07AA"/>
    <w:rsid w:val="53134015"/>
    <w:rsid w:val="53242F8E"/>
    <w:rsid w:val="53300FC1"/>
    <w:rsid w:val="536E7972"/>
    <w:rsid w:val="538B7A70"/>
    <w:rsid w:val="539A529A"/>
    <w:rsid w:val="53DB1D13"/>
    <w:rsid w:val="53E424BD"/>
    <w:rsid w:val="540153C9"/>
    <w:rsid w:val="54151906"/>
    <w:rsid w:val="546F61A5"/>
    <w:rsid w:val="548F3FD6"/>
    <w:rsid w:val="54BD22A0"/>
    <w:rsid w:val="54FC594C"/>
    <w:rsid w:val="556E4786"/>
    <w:rsid w:val="55841B06"/>
    <w:rsid w:val="55C75065"/>
    <w:rsid w:val="55F52488"/>
    <w:rsid w:val="560079AE"/>
    <w:rsid w:val="560E1204"/>
    <w:rsid w:val="56141F5D"/>
    <w:rsid w:val="5648470B"/>
    <w:rsid w:val="565031A8"/>
    <w:rsid w:val="566E3FE9"/>
    <w:rsid w:val="56C6096B"/>
    <w:rsid w:val="56F85F15"/>
    <w:rsid w:val="570D55B0"/>
    <w:rsid w:val="570D6596"/>
    <w:rsid w:val="572D5335"/>
    <w:rsid w:val="574246A9"/>
    <w:rsid w:val="57461208"/>
    <w:rsid w:val="5747178C"/>
    <w:rsid w:val="57C95FCD"/>
    <w:rsid w:val="581B145D"/>
    <w:rsid w:val="5827341A"/>
    <w:rsid w:val="587A0934"/>
    <w:rsid w:val="58B85D1F"/>
    <w:rsid w:val="58BC3050"/>
    <w:rsid w:val="58C571E2"/>
    <w:rsid w:val="58CB0490"/>
    <w:rsid w:val="5953413E"/>
    <w:rsid w:val="59641B1B"/>
    <w:rsid w:val="59C9454D"/>
    <w:rsid w:val="59DC73B9"/>
    <w:rsid w:val="5A144C20"/>
    <w:rsid w:val="5A305A42"/>
    <w:rsid w:val="5A4B3F9E"/>
    <w:rsid w:val="5A695DC1"/>
    <w:rsid w:val="5A990204"/>
    <w:rsid w:val="5ACE6799"/>
    <w:rsid w:val="5AFA0DED"/>
    <w:rsid w:val="5B201CE2"/>
    <w:rsid w:val="5B266C40"/>
    <w:rsid w:val="5B341818"/>
    <w:rsid w:val="5B3C6B68"/>
    <w:rsid w:val="5B423101"/>
    <w:rsid w:val="5B705148"/>
    <w:rsid w:val="5BD008DC"/>
    <w:rsid w:val="5BD12ED9"/>
    <w:rsid w:val="5C0D7ECC"/>
    <w:rsid w:val="5C482C15"/>
    <w:rsid w:val="5C7C323E"/>
    <w:rsid w:val="5CB170AA"/>
    <w:rsid w:val="5CB25D39"/>
    <w:rsid w:val="5E107FD9"/>
    <w:rsid w:val="5E1F2C5E"/>
    <w:rsid w:val="5E6E4F9C"/>
    <w:rsid w:val="5E772626"/>
    <w:rsid w:val="5E9958B8"/>
    <w:rsid w:val="5EEB35F9"/>
    <w:rsid w:val="5F325A12"/>
    <w:rsid w:val="5F3B299D"/>
    <w:rsid w:val="5F5C72BB"/>
    <w:rsid w:val="5F654BBE"/>
    <w:rsid w:val="5F7E6550"/>
    <w:rsid w:val="5F843344"/>
    <w:rsid w:val="5F976C40"/>
    <w:rsid w:val="5FD73D80"/>
    <w:rsid w:val="5FF649D1"/>
    <w:rsid w:val="60835D16"/>
    <w:rsid w:val="608C1C3B"/>
    <w:rsid w:val="60CA7DF7"/>
    <w:rsid w:val="610543B9"/>
    <w:rsid w:val="611E7FA1"/>
    <w:rsid w:val="61233EA9"/>
    <w:rsid w:val="612952D2"/>
    <w:rsid w:val="614C00C5"/>
    <w:rsid w:val="616C3472"/>
    <w:rsid w:val="6175447D"/>
    <w:rsid w:val="617821BF"/>
    <w:rsid w:val="619E3399"/>
    <w:rsid w:val="61C503AE"/>
    <w:rsid w:val="61DB3902"/>
    <w:rsid w:val="61F15332"/>
    <w:rsid w:val="624269C9"/>
    <w:rsid w:val="624B4FAA"/>
    <w:rsid w:val="627E1801"/>
    <w:rsid w:val="62943029"/>
    <w:rsid w:val="629C6D0D"/>
    <w:rsid w:val="62B571B7"/>
    <w:rsid w:val="62C019D3"/>
    <w:rsid w:val="62E518DB"/>
    <w:rsid w:val="6333598E"/>
    <w:rsid w:val="6381535B"/>
    <w:rsid w:val="639A4751"/>
    <w:rsid w:val="63A32548"/>
    <w:rsid w:val="63AE5AD5"/>
    <w:rsid w:val="63D05749"/>
    <w:rsid w:val="641B4C57"/>
    <w:rsid w:val="642950FE"/>
    <w:rsid w:val="646E7450"/>
    <w:rsid w:val="64C52FC7"/>
    <w:rsid w:val="64F252E0"/>
    <w:rsid w:val="6519733C"/>
    <w:rsid w:val="657D1B52"/>
    <w:rsid w:val="65902C36"/>
    <w:rsid w:val="65A7641E"/>
    <w:rsid w:val="65AA6B17"/>
    <w:rsid w:val="65BC1574"/>
    <w:rsid w:val="66085A34"/>
    <w:rsid w:val="666C04BB"/>
    <w:rsid w:val="66966D4B"/>
    <w:rsid w:val="66B73822"/>
    <w:rsid w:val="66CC6D6E"/>
    <w:rsid w:val="66DB07F6"/>
    <w:rsid w:val="66DC6A56"/>
    <w:rsid w:val="67150D2A"/>
    <w:rsid w:val="67AA27D0"/>
    <w:rsid w:val="67AF7B62"/>
    <w:rsid w:val="67DD2926"/>
    <w:rsid w:val="68197E6A"/>
    <w:rsid w:val="68C26EBC"/>
    <w:rsid w:val="68CC6422"/>
    <w:rsid w:val="68D44543"/>
    <w:rsid w:val="68D95F88"/>
    <w:rsid w:val="69096CED"/>
    <w:rsid w:val="69145F6D"/>
    <w:rsid w:val="693C73E8"/>
    <w:rsid w:val="695A71B7"/>
    <w:rsid w:val="69C433F4"/>
    <w:rsid w:val="69E7131D"/>
    <w:rsid w:val="6A1231B1"/>
    <w:rsid w:val="6A852C34"/>
    <w:rsid w:val="6A93551B"/>
    <w:rsid w:val="6AA60E65"/>
    <w:rsid w:val="6AB10C28"/>
    <w:rsid w:val="6ADC487A"/>
    <w:rsid w:val="6B31793A"/>
    <w:rsid w:val="6B457289"/>
    <w:rsid w:val="6B626F03"/>
    <w:rsid w:val="6B7218F5"/>
    <w:rsid w:val="6B74349F"/>
    <w:rsid w:val="6B8C06A5"/>
    <w:rsid w:val="6BB67F0C"/>
    <w:rsid w:val="6BD12CCD"/>
    <w:rsid w:val="6BE646AF"/>
    <w:rsid w:val="6C1E0D62"/>
    <w:rsid w:val="6C2C7DCA"/>
    <w:rsid w:val="6C9364A6"/>
    <w:rsid w:val="6C940503"/>
    <w:rsid w:val="6CC0168F"/>
    <w:rsid w:val="6CDD452D"/>
    <w:rsid w:val="6D1D11A1"/>
    <w:rsid w:val="6D701D92"/>
    <w:rsid w:val="6E076489"/>
    <w:rsid w:val="6E6F1340"/>
    <w:rsid w:val="6EA2087C"/>
    <w:rsid w:val="6EF74724"/>
    <w:rsid w:val="6F33350C"/>
    <w:rsid w:val="6F655742"/>
    <w:rsid w:val="6F887A72"/>
    <w:rsid w:val="6F931385"/>
    <w:rsid w:val="6F9D59DA"/>
    <w:rsid w:val="6FCD21CF"/>
    <w:rsid w:val="6FF43359"/>
    <w:rsid w:val="70095A6D"/>
    <w:rsid w:val="707848B5"/>
    <w:rsid w:val="709D371B"/>
    <w:rsid w:val="70E01357"/>
    <w:rsid w:val="70EB0F0B"/>
    <w:rsid w:val="7101732C"/>
    <w:rsid w:val="71025602"/>
    <w:rsid w:val="710B1036"/>
    <w:rsid w:val="716F504C"/>
    <w:rsid w:val="71B722D9"/>
    <w:rsid w:val="71BB4C59"/>
    <w:rsid w:val="71DB5BA9"/>
    <w:rsid w:val="725E5872"/>
    <w:rsid w:val="72986CE0"/>
    <w:rsid w:val="72E256EB"/>
    <w:rsid w:val="72E94A95"/>
    <w:rsid w:val="73093CD0"/>
    <w:rsid w:val="730B78BF"/>
    <w:rsid w:val="73441F01"/>
    <w:rsid w:val="734A0BFF"/>
    <w:rsid w:val="73522DD4"/>
    <w:rsid w:val="73603695"/>
    <w:rsid w:val="736D7580"/>
    <w:rsid w:val="73836342"/>
    <w:rsid w:val="739A699E"/>
    <w:rsid w:val="73C34D14"/>
    <w:rsid w:val="73E17F66"/>
    <w:rsid w:val="73EF77E7"/>
    <w:rsid w:val="743E1047"/>
    <w:rsid w:val="74CE084F"/>
    <w:rsid w:val="74DC2C2C"/>
    <w:rsid w:val="74F83F6A"/>
    <w:rsid w:val="751122B7"/>
    <w:rsid w:val="75120509"/>
    <w:rsid w:val="752508A9"/>
    <w:rsid w:val="755766ED"/>
    <w:rsid w:val="757B478C"/>
    <w:rsid w:val="75855AB0"/>
    <w:rsid w:val="760C26CD"/>
    <w:rsid w:val="7621477C"/>
    <w:rsid w:val="764953D6"/>
    <w:rsid w:val="76593745"/>
    <w:rsid w:val="76733BF1"/>
    <w:rsid w:val="76944F4E"/>
    <w:rsid w:val="76A35E15"/>
    <w:rsid w:val="76A74B7E"/>
    <w:rsid w:val="76C4111B"/>
    <w:rsid w:val="770C3C73"/>
    <w:rsid w:val="77274E7A"/>
    <w:rsid w:val="77606851"/>
    <w:rsid w:val="77621256"/>
    <w:rsid w:val="776459DE"/>
    <w:rsid w:val="776C7471"/>
    <w:rsid w:val="779F6112"/>
    <w:rsid w:val="77AB36D8"/>
    <w:rsid w:val="77AD0643"/>
    <w:rsid w:val="77E22A59"/>
    <w:rsid w:val="78022706"/>
    <w:rsid w:val="78B6564F"/>
    <w:rsid w:val="78C77B15"/>
    <w:rsid w:val="78EB315E"/>
    <w:rsid w:val="78FB4C75"/>
    <w:rsid w:val="7907250E"/>
    <w:rsid w:val="792C6659"/>
    <w:rsid w:val="794744F9"/>
    <w:rsid w:val="796706F8"/>
    <w:rsid w:val="79890936"/>
    <w:rsid w:val="79A2763C"/>
    <w:rsid w:val="79C173EA"/>
    <w:rsid w:val="79C7696B"/>
    <w:rsid w:val="79D4008D"/>
    <w:rsid w:val="79F3735E"/>
    <w:rsid w:val="79F55A16"/>
    <w:rsid w:val="7AD162C4"/>
    <w:rsid w:val="7C485103"/>
    <w:rsid w:val="7C5470DD"/>
    <w:rsid w:val="7C7C7F2B"/>
    <w:rsid w:val="7CAF55A0"/>
    <w:rsid w:val="7CF4684D"/>
    <w:rsid w:val="7D190D05"/>
    <w:rsid w:val="7D1C0D30"/>
    <w:rsid w:val="7D262738"/>
    <w:rsid w:val="7D316D2A"/>
    <w:rsid w:val="7D4F74C3"/>
    <w:rsid w:val="7D8F5155"/>
    <w:rsid w:val="7DA908A5"/>
    <w:rsid w:val="7DD75B82"/>
    <w:rsid w:val="7E060117"/>
    <w:rsid w:val="7E327FC9"/>
    <w:rsid w:val="7E737561"/>
    <w:rsid w:val="7E9C7095"/>
    <w:rsid w:val="7EAB4A44"/>
    <w:rsid w:val="7EE8352C"/>
    <w:rsid w:val="7EEC548F"/>
    <w:rsid w:val="7FA94A1E"/>
    <w:rsid w:val="7FAF4901"/>
    <w:rsid w:val="7FB1566B"/>
    <w:rsid w:val="7FCF6091"/>
    <w:rsid w:val="7FE81DB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nhideWhenUsed="0" w:uiPriority="0" w:semiHidden="0" w:name="heading 3"/>
    <w:lsdException w:qFormat="1" w:unhideWhenUsed="0" w:uiPriority="9" w:semiHidden="0" w:name="heading 4"/>
    <w:lsdException w:qFormat="1" w:uiPriority="9"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0" w:semiHidden="0"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semiHidden="0"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nhideWhenUsed="0" w:uiPriority="0"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widowControl/>
      <w:numPr>
        <w:ilvl w:val="0"/>
        <w:numId w:val="1"/>
      </w:numPr>
      <w:jc w:val="center"/>
      <w:outlineLvl w:val="0"/>
    </w:pPr>
    <w:rPr>
      <w:rFonts w:ascii="黑体" w:eastAsia="黑体"/>
      <w:kern w:val="0"/>
      <w:sz w:val="52"/>
      <w:szCs w:val="20"/>
    </w:rPr>
  </w:style>
  <w:style w:type="paragraph" w:styleId="4">
    <w:name w:val="heading 2"/>
    <w:basedOn w:val="1"/>
    <w:next w:val="1"/>
    <w:qFormat/>
    <w:uiPriority w:val="1"/>
    <w:pPr>
      <w:ind w:left="333"/>
      <w:outlineLvl w:val="1"/>
    </w:pPr>
    <w:rPr>
      <w:rFonts w:ascii="Times New Roman" w:hAnsi="Times New Roman" w:eastAsia="Times New Roman" w:cs="Times New Roman"/>
      <w:sz w:val="21"/>
      <w:szCs w:val="21"/>
    </w:rPr>
  </w:style>
  <w:style w:type="paragraph" w:styleId="5">
    <w:name w:val="heading 3"/>
    <w:basedOn w:val="1"/>
    <w:next w:val="2"/>
    <w:qFormat/>
    <w:uiPriority w:val="0"/>
    <w:pPr>
      <w:keepNext/>
      <w:keepLines/>
      <w:widowControl/>
      <w:numPr>
        <w:ilvl w:val="2"/>
        <w:numId w:val="1"/>
      </w:numPr>
      <w:spacing w:before="120" w:beforeLines="0" w:after="120" w:afterLines="0" w:line="360" w:lineRule="auto"/>
      <w:jc w:val="center"/>
      <w:outlineLvl w:val="2"/>
    </w:pPr>
    <w:rPr>
      <w:b/>
      <w:kern w:val="0"/>
      <w:sz w:val="32"/>
      <w:szCs w:val="20"/>
    </w:rPr>
  </w:style>
  <w:style w:type="paragraph" w:styleId="6">
    <w:name w:val="heading 4"/>
    <w:basedOn w:val="1"/>
    <w:next w:val="1"/>
    <w:link w:val="30"/>
    <w:qFormat/>
    <w:uiPriority w:val="9"/>
    <w:pPr>
      <w:keepNext/>
      <w:keepLines/>
      <w:spacing w:before="280" w:after="290" w:line="376" w:lineRule="auto"/>
      <w:outlineLvl w:val="3"/>
    </w:pPr>
    <w:rPr>
      <w:rFonts w:ascii="等线 Light" w:hAnsi="等线 Light" w:eastAsia="等线 Light" w:cs="Times New Roman"/>
      <w:b/>
      <w:bCs/>
      <w:sz w:val="28"/>
      <w:szCs w:val="28"/>
    </w:rPr>
  </w:style>
  <w:style w:type="paragraph" w:styleId="7">
    <w:name w:val="heading 6"/>
    <w:basedOn w:val="1"/>
    <w:next w:val="1"/>
    <w:qFormat/>
    <w:uiPriority w:val="0"/>
    <w:pPr>
      <w:keepNext/>
      <w:keepLines/>
      <w:widowControl/>
      <w:numPr>
        <w:ilvl w:val="5"/>
        <w:numId w:val="1"/>
      </w:numPr>
      <w:spacing w:before="240" w:beforeLines="0" w:after="64" w:afterLines="0" w:line="320" w:lineRule="auto"/>
      <w:jc w:val="left"/>
      <w:outlineLvl w:val="5"/>
    </w:pPr>
    <w:rPr>
      <w:rFonts w:ascii="Arial" w:hAnsi="Arial" w:eastAsia="黑体"/>
      <w:b/>
      <w:bCs/>
      <w:kern w:val="0"/>
      <w:sz w:val="24"/>
    </w:rPr>
  </w:style>
  <w:style w:type="paragraph" w:styleId="8">
    <w:name w:val="heading 7"/>
    <w:basedOn w:val="1"/>
    <w:next w:val="1"/>
    <w:qFormat/>
    <w:uiPriority w:val="0"/>
    <w:pPr>
      <w:keepNext/>
      <w:keepLines/>
      <w:widowControl/>
      <w:numPr>
        <w:ilvl w:val="6"/>
        <w:numId w:val="1"/>
      </w:numPr>
      <w:spacing w:before="240" w:beforeLines="0" w:after="64" w:afterLines="0" w:line="320" w:lineRule="auto"/>
      <w:jc w:val="left"/>
      <w:outlineLvl w:val="6"/>
    </w:pPr>
    <w:rPr>
      <w:b/>
      <w:bCs/>
      <w:kern w:val="0"/>
      <w:sz w:val="24"/>
    </w:rPr>
  </w:style>
  <w:style w:type="paragraph" w:styleId="9">
    <w:name w:val="heading 8"/>
    <w:basedOn w:val="1"/>
    <w:next w:val="1"/>
    <w:qFormat/>
    <w:uiPriority w:val="0"/>
    <w:pPr>
      <w:keepNext/>
      <w:keepLines/>
      <w:widowControl/>
      <w:numPr>
        <w:ilvl w:val="7"/>
        <w:numId w:val="1"/>
      </w:numPr>
      <w:spacing w:before="240" w:beforeLines="0" w:after="64" w:afterLines="0" w:line="320" w:lineRule="auto"/>
      <w:jc w:val="left"/>
      <w:outlineLvl w:val="7"/>
    </w:pPr>
    <w:rPr>
      <w:rFonts w:ascii="Arial" w:hAnsi="Arial" w:eastAsia="黑体"/>
      <w:kern w:val="0"/>
      <w:sz w:val="24"/>
    </w:rPr>
  </w:style>
  <w:style w:type="paragraph" w:styleId="10">
    <w:name w:val="heading 9"/>
    <w:basedOn w:val="1"/>
    <w:next w:val="1"/>
    <w:qFormat/>
    <w:uiPriority w:val="0"/>
    <w:pPr>
      <w:keepNext/>
      <w:keepLines/>
      <w:widowControl/>
      <w:numPr>
        <w:ilvl w:val="8"/>
        <w:numId w:val="1"/>
      </w:numPr>
      <w:spacing w:before="240" w:beforeLines="0" w:after="64" w:afterLines="0" w:line="320" w:lineRule="auto"/>
      <w:jc w:val="left"/>
      <w:outlineLvl w:val="8"/>
    </w:pPr>
    <w:rPr>
      <w:rFonts w:ascii="Arial" w:hAnsi="Arial" w:eastAsia="黑体"/>
      <w:kern w:val="0"/>
      <w:szCs w:val="21"/>
    </w:rPr>
  </w:style>
  <w:style w:type="character" w:default="1" w:styleId="26">
    <w:name w:val="Default Paragraph Font"/>
    <w:uiPriority w:val="0"/>
  </w:style>
  <w:style w:type="table" w:default="1" w:styleId="24">
    <w:name w:val="Normal Table"/>
    <w:unhideWhenUsed/>
    <w:uiPriority w:val="99"/>
    <w:tblPr>
      <w:tblCellMar>
        <w:top w:w="0" w:type="dxa"/>
        <w:left w:w="108" w:type="dxa"/>
        <w:bottom w:w="0" w:type="dxa"/>
        <w:right w:w="108" w:type="dxa"/>
      </w:tblCellMar>
    </w:tblPr>
  </w:style>
  <w:style w:type="paragraph" w:styleId="2">
    <w:name w:val="Normal Indent"/>
    <w:basedOn w:val="1"/>
    <w:uiPriority w:val="0"/>
    <w:pPr>
      <w:ind w:firstLine="420" w:firstLineChars="200"/>
    </w:pPr>
  </w:style>
  <w:style w:type="paragraph" w:styleId="11">
    <w:name w:val="annotation text"/>
    <w:basedOn w:val="1"/>
    <w:link w:val="31"/>
    <w:uiPriority w:val="0"/>
    <w:pPr>
      <w:jc w:val="left"/>
    </w:pPr>
  </w:style>
  <w:style w:type="paragraph" w:styleId="12">
    <w:name w:val="Body Text"/>
    <w:basedOn w:val="1"/>
    <w:uiPriority w:val="0"/>
    <w:rPr>
      <w:sz w:val="28"/>
      <w:szCs w:val="20"/>
    </w:rPr>
  </w:style>
  <w:style w:type="paragraph" w:styleId="13">
    <w:name w:val="Body Text Indent"/>
    <w:basedOn w:val="1"/>
    <w:uiPriority w:val="0"/>
    <w:pPr>
      <w:spacing w:after="120" w:afterLines="0"/>
      <w:ind w:left="420" w:leftChars="200"/>
    </w:pPr>
    <w:rPr>
      <w:rFonts w:eastAsia="宋体"/>
      <w:kern w:val="2"/>
      <w:sz w:val="21"/>
      <w:szCs w:val="24"/>
      <w:lang w:val="en-US" w:eastAsia="zh-CN" w:bidi="ar-SA"/>
    </w:rPr>
  </w:style>
  <w:style w:type="paragraph" w:styleId="14">
    <w:name w:val="Plain Text"/>
    <w:basedOn w:val="1"/>
    <w:link w:val="32"/>
    <w:semiHidden/>
    <w:uiPriority w:val="0"/>
    <w:rPr>
      <w:rFonts w:ascii="宋体" w:hAnsi="Courier New"/>
      <w:szCs w:val="20"/>
    </w:rPr>
  </w:style>
  <w:style w:type="paragraph" w:styleId="15">
    <w:name w:val="Date"/>
    <w:basedOn w:val="1"/>
    <w:next w:val="1"/>
    <w:uiPriority w:val="0"/>
    <w:pPr>
      <w:ind w:left="100" w:leftChars="2500"/>
    </w:pPr>
  </w:style>
  <w:style w:type="paragraph" w:styleId="16">
    <w:name w:val="Balloon Text"/>
    <w:basedOn w:val="1"/>
    <w:uiPriority w:val="0"/>
    <w:rPr>
      <w:sz w:val="18"/>
      <w:szCs w:val="18"/>
    </w:rPr>
  </w:style>
  <w:style w:type="paragraph" w:styleId="17">
    <w:name w:val="footer"/>
    <w:basedOn w:val="1"/>
    <w:link w:val="33"/>
    <w:uiPriority w:val="99"/>
    <w:pPr>
      <w:tabs>
        <w:tab w:val="center" w:pos="4153"/>
        <w:tab w:val="right" w:pos="8306"/>
      </w:tabs>
      <w:snapToGrid w:val="0"/>
      <w:jc w:val="left"/>
    </w:pPr>
    <w:rPr>
      <w:sz w:val="18"/>
      <w:szCs w:val="18"/>
    </w:rPr>
  </w:style>
  <w:style w:type="paragraph" w:styleId="18">
    <w:name w:val="header"/>
    <w:basedOn w:val="1"/>
    <w:link w:val="34"/>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uiPriority w:val="39"/>
  </w:style>
  <w:style w:type="paragraph" w:styleId="20">
    <w:name w:val="toc 2"/>
    <w:basedOn w:val="1"/>
    <w:next w:val="1"/>
    <w:unhideWhenUsed/>
    <w:uiPriority w:val="39"/>
    <w:pPr>
      <w:ind w:left="420" w:leftChars="200"/>
    </w:pPr>
  </w:style>
  <w:style w:type="paragraph" w:styleId="21">
    <w:name w:val="HTML Preformatted"/>
    <w:basedOn w:val="1"/>
    <w:link w:val="35"/>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atLeast"/>
      <w:jc w:val="left"/>
    </w:pPr>
    <w:rPr>
      <w:rFonts w:ascii="Arial" w:hAnsi="Arial"/>
      <w:kern w:val="0"/>
      <w:sz w:val="28"/>
      <w:szCs w:val="28"/>
    </w:rPr>
  </w:style>
  <w:style w:type="paragraph" w:styleId="22">
    <w:name w:val="Normal (Web)"/>
    <w:basedOn w:val="1"/>
    <w:uiPriority w:val="0"/>
    <w:pPr>
      <w:widowControl/>
      <w:spacing w:before="100" w:beforeLines="0" w:beforeAutospacing="1" w:after="100" w:afterLines="0" w:afterAutospacing="1"/>
      <w:jc w:val="left"/>
    </w:pPr>
    <w:rPr>
      <w:rFonts w:hint="eastAsia" w:ascii="宋体" w:hAnsi="宋体"/>
      <w:kern w:val="0"/>
      <w:sz w:val="24"/>
    </w:rPr>
  </w:style>
  <w:style w:type="paragraph" w:styleId="23">
    <w:name w:val="annotation subject"/>
    <w:basedOn w:val="11"/>
    <w:next w:val="11"/>
    <w:uiPriority w:val="0"/>
    <w:rPr>
      <w:b/>
      <w:bCs/>
    </w:rPr>
  </w:style>
  <w:style w:type="table" w:styleId="25">
    <w:name w:val="Table Grid"/>
    <w:basedOn w:val="2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qFormat/>
    <w:uiPriority w:val="0"/>
    <w:rPr>
      <w:b/>
      <w:bCs/>
    </w:rPr>
  </w:style>
  <w:style w:type="character" w:styleId="28">
    <w:name w:val="page number"/>
    <w:uiPriority w:val="0"/>
  </w:style>
  <w:style w:type="character" w:styleId="29">
    <w:name w:val="annotation reference"/>
    <w:uiPriority w:val="0"/>
    <w:rPr>
      <w:sz w:val="21"/>
      <w:szCs w:val="21"/>
    </w:rPr>
  </w:style>
  <w:style w:type="character" w:customStyle="1" w:styleId="30">
    <w:name w:val="标题 4 字符"/>
    <w:link w:val="6"/>
    <w:semiHidden/>
    <w:uiPriority w:val="9"/>
    <w:rPr>
      <w:rFonts w:ascii="等线 Light" w:hAnsi="等线 Light" w:eastAsia="等线 Light" w:cs="Times New Roman"/>
      <w:b/>
      <w:bCs/>
      <w:kern w:val="2"/>
      <w:sz w:val="28"/>
      <w:szCs w:val="28"/>
    </w:rPr>
  </w:style>
  <w:style w:type="character" w:customStyle="1" w:styleId="31">
    <w:name w:val="批注文字 字符"/>
    <w:link w:val="11"/>
    <w:uiPriority w:val="0"/>
    <w:rPr>
      <w:kern w:val="2"/>
      <w:sz w:val="21"/>
      <w:szCs w:val="24"/>
    </w:rPr>
  </w:style>
  <w:style w:type="character" w:customStyle="1" w:styleId="32">
    <w:name w:val="纯文本 字符"/>
    <w:link w:val="14"/>
    <w:semiHidden/>
    <w:uiPriority w:val="0"/>
    <w:rPr>
      <w:rFonts w:ascii="宋体" w:hAnsi="Courier New"/>
      <w:kern w:val="2"/>
      <w:sz w:val="21"/>
    </w:rPr>
  </w:style>
  <w:style w:type="character" w:customStyle="1" w:styleId="33">
    <w:name w:val="页脚 字符"/>
    <w:link w:val="17"/>
    <w:qFormat/>
    <w:uiPriority w:val="99"/>
    <w:rPr>
      <w:kern w:val="2"/>
      <w:sz w:val="18"/>
      <w:szCs w:val="18"/>
    </w:rPr>
  </w:style>
  <w:style w:type="character" w:customStyle="1" w:styleId="34">
    <w:name w:val="页眉 字符"/>
    <w:link w:val="18"/>
    <w:uiPriority w:val="0"/>
    <w:rPr>
      <w:kern w:val="2"/>
      <w:sz w:val="18"/>
      <w:szCs w:val="18"/>
    </w:rPr>
  </w:style>
  <w:style w:type="character" w:customStyle="1" w:styleId="35">
    <w:name w:val="HTML 预设格式 字符"/>
    <w:link w:val="21"/>
    <w:uiPriority w:val="0"/>
    <w:rPr>
      <w:rFonts w:ascii="Arial" w:hAnsi="Arial" w:cs="Arial"/>
      <w:sz w:val="28"/>
      <w:szCs w:val="28"/>
    </w:rPr>
  </w:style>
  <w:style w:type="character" w:customStyle="1" w:styleId="36">
    <w:name w:val="ca-31"/>
    <w:uiPriority w:val="0"/>
    <w:rPr>
      <w:rFonts w:hint="eastAsia" w:ascii="宋体" w:hAnsi="宋体" w:eastAsia="宋体"/>
      <w:b/>
      <w:bCs/>
      <w:spacing w:val="-20"/>
      <w:sz w:val="28"/>
      <w:szCs w:val="28"/>
    </w:rPr>
  </w:style>
  <w:style w:type="character" w:customStyle="1" w:styleId="37">
    <w:name w:val="ca-91"/>
    <w:uiPriority w:val="0"/>
    <w:rPr>
      <w:rFonts w:hint="default" w:ascii="Times New Roman" w:hAnsi="Times New Roman" w:cs="Times New Roman"/>
      <w:sz w:val="18"/>
      <w:szCs w:val="18"/>
    </w:rPr>
  </w:style>
  <w:style w:type="character" w:customStyle="1" w:styleId="38">
    <w:name w:val="ca-71"/>
    <w:uiPriority w:val="0"/>
    <w:rPr>
      <w:rFonts w:hint="default" w:ascii="Times New Roman" w:hAnsi="Times New Roman" w:cs="Times New Roman"/>
      <w:sz w:val="12"/>
      <w:szCs w:val="12"/>
    </w:rPr>
  </w:style>
  <w:style w:type="character" w:customStyle="1" w:styleId="39">
    <w:name w:val="ca-81"/>
    <w:uiPriority w:val="0"/>
    <w:rPr>
      <w:rFonts w:hint="eastAsia" w:ascii="宋体" w:hAnsi="宋体" w:eastAsia="宋体"/>
      <w:sz w:val="21"/>
      <w:szCs w:val="21"/>
    </w:rPr>
  </w:style>
  <w:style w:type="character" w:customStyle="1" w:styleId="40">
    <w:name w:val="ca-01"/>
    <w:uiPriority w:val="0"/>
    <w:rPr>
      <w:rFonts w:hint="eastAsia" w:ascii="黑体" w:eastAsia="黑体"/>
      <w:sz w:val="48"/>
      <w:szCs w:val="48"/>
    </w:rPr>
  </w:style>
  <w:style w:type="character" w:customStyle="1" w:styleId="41">
    <w:name w:val="ca-41"/>
    <w:uiPriority w:val="0"/>
    <w:rPr>
      <w:rFonts w:hint="eastAsia" w:ascii="宋体" w:hAnsi="宋体" w:eastAsia="宋体"/>
      <w:sz w:val="24"/>
      <w:szCs w:val="24"/>
    </w:rPr>
  </w:style>
  <w:style w:type="character" w:customStyle="1" w:styleId="42">
    <w:name w:val="ca-51"/>
    <w:uiPriority w:val="0"/>
    <w:rPr>
      <w:rFonts w:hint="default" w:ascii="Times New Roman" w:hAnsi="Times New Roman" w:cs="Times New Roman"/>
      <w:sz w:val="24"/>
      <w:szCs w:val="24"/>
    </w:rPr>
  </w:style>
  <w:style w:type="paragraph" w:customStyle="1" w:styleId="43">
    <w:name w:val="pa-17"/>
    <w:basedOn w:val="1"/>
    <w:uiPriority w:val="0"/>
    <w:pPr>
      <w:widowControl/>
      <w:spacing w:line="240" w:lineRule="atLeast"/>
      <w:jc w:val="center"/>
    </w:pPr>
    <w:rPr>
      <w:rFonts w:ascii="宋体" w:hAnsi="宋体" w:cs="宋体"/>
      <w:kern w:val="0"/>
      <w:sz w:val="24"/>
    </w:rPr>
  </w:style>
  <w:style w:type="paragraph" w:customStyle="1" w:styleId="44">
    <w:name w:val="左对齐表格文字"/>
    <w:basedOn w:val="1"/>
    <w:qFormat/>
    <w:uiPriority w:val="0"/>
    <w:pPr>
      <w:jc w:val="left"/>
    </w:pPr>
    <w:rPr>
      <w:rFonts w:ascii="宋体" w:eastAsia="宋体"/>
      <w:kern w:val="0"/>
      <w:sz w:val="20"/>
      <w:szCs w:val="21"/>
    </w:rPr>
  </w:style>
  <w:style w:type="paragraph" w:customStyle="1" w:styleId="45">
    <w:name w:val="普通 (Web)"/>
    <w:basedOn w:val="1"/>
    <w:uiPriority w:val="0"/>
    <w:pPr>
      <w:widowControl/>
      <w:spacing w:before="100" w:beforeLines="0" w:beforeAutospacing="1" w:after="100" w:afterLines="0" w:afterAutospacing="1"/>
      <w:jc w:val="left"/>
    </w:pPr>
    <w:rPr>
      <w:rFonts w:ascii="宋体" w:hAnsi="宋体"/>
      <w:kern w:val="0"/>
      <w:sz w:val="24"/>
    </w:rPr>
  </w:style>
  <w:style w:type="paragraph" w:customStyle="1" w:styleId="46">
    <w:name w:val="WPSOffice手动目录 2"/>
    <w:uiPriority w:val="0"/>
    <w:pPr>
      <w:ind w:leftChars="200"/>
    </w:pPr>
    <w:rPr>
      <w:rFonts w:ascii="Times New Roman" w:hAnsi="Times New Roman" w:eastAsia="宋体" w:cs="Times New Roman"/>
      <w:lang w:val="en-US" w:eastAsia="zh-CN" w:bidi="ar-SA"/>
    </w:rPr>
  </w:style>
  <w:style w:type="paragraph" w:customStyle="1" w:styleId="47">
    <w:name w:val="pa-1"/>
    <w:basedOn w:val="1"/>
    <w:uiPriority w:val="0"/>
    <w:pPr>
      <w:widowControl/>
      <w:spacing w:line="320" w:lineRule="atLeast"/>
      <w:jc w:val="center"/>
    </w:pPr>
    <w:rPr>
      <w:rFonts w:ascii="宋体" w:hAnsi="宋体" w:cs="宋体"/>
      <w:kern w:val="0"/>
      <w:sz w:val="24"/>
    </w:rPr>
  </w:style>
  <w:style w:type="paragraph" w:customStyle="1" w:styleId="48">
    <w:name w:val="Table Paragraph"/>
    <w:basedOn w:val="1"/>
    <w:qFormat/>
    <w:uiPriority w:val="1"/>
    <w:pPr>
      <w:spacing w:before="105"/>
      <w:ind w:left="301"/>
    </w:pPr>
    <w:rPr>
      <w:rFonts w:ascii="宋体" w:hAnsi="宋体" w:eastAsia="宋体" w:cs="宋体"/>
    </w:rPr>
  </w:style>
  <w:style w:type="paragraph" w:styleId="49">
    <w:name w:val="List Paragraph"/>
    <w:basedOn w:val="1"/>
    <w:qFormat/>
    <w:uiPriority w:val="0"/>
    <w:pPr>
      <w:ind w:firstLine="420" w:firstLineChars="200"/>
    </w:pPr>
  </w:style>
  <w:style w:type="paragraph" w:customStyle="1" w:styleId="50">
    <w:name w:val="pa-15"/>
    <w:basedOn w:val="1"/>
    <w:uiPriority w:val="0"/>
    <w:pPr>
      <w:widowControl/>
      <w:spacing w:line="320" w:lineRule="atLeast"/>
      <w:jc w:val="right"/>
    </w:pPr>
    <w:rPr>
      <w:rFonts w:ascii="宋体" w:hAnsi="宋体" w:cs="宋体"/>
      <w:kern w:val="0"/>
      <w:sz w:val="24"/>
    </w:rPr>
  </w:style>
  <w:style w:type="paragraph" w:customStyle="1" w:styleId="51">
    <w:name w:val="reader-word-layer"/>
    <w:basedOn w:val="1"/>
    <w:uiPriority w:val="0"/>
    <w:pPr>
      <w:widowControl/>
      <w:spacing w:before="100" w:beforeAutospacing="1" w:after="100" w:afterAutospacing="1"/>
      <w:jc w:val="left"/>
    </w:pPr>
    <w:rPr>
      <w:rFonts w:ascii="宋体" w:hAnsi="宋体" w:cs="宋体"/>
      <w:kern w:val="0"/>
      <w:sz w:val="24"/>
    </w:rPr>
  </w:style>
  <w:style w:type="paragraph" w:customStyle="1" w:styleId="52">
    <w:name w:val="p0"/>
    <w:basedOn w:val="1"/>
    <w:uiPriority w:val="0"/>
    <w:pPr>
      <w:widowControl/>
    </w:pPr>
    <w:rPr>
      <w:kern w:val="0"/>
      <w:szCs w:val="21"/>
    </w:rPr>
  </w:style>
  <w:style w:type="paragraph" w:customStyle="1" w:styleId="53">
    <w:name w:val="_Style 52"/>
    <w:uiPriority w:val="0"/>
    <w:rPr>
      <w:rFonts w:ascii="Times New Roman" w:hAnsi="Times New Roman" w:eastAsia="宋体" w:cs="Times New Roman"/>
      <w:kern w:val="2"/>
      <w:sz w:val="21"/>
      <w:szCs w:val="24"/>
      <w:lang w:val="en-US" w:eastAsia="zh-CN" w:bidi="ar-SA"/>
    </w:rPr>
  </w:style>
  <w:style w:type="paragraph" w:customStyle="1" w:styleId="54">
    <w:name w:val="pa-13"/>
    <w:basedOn w:val="1"/>
    <w:uiPriority w:val="0"/>
    <w:pPr>
      <w:widowControl/>
      <w:spacing w:line="360" w:lineRule="atLeast"/>
    </w:pPr>
    <w:rPr>
      <w:rFonts w:ascii="宋体" w:hAnsi="宋体" w:cs="宋体"/>
      <w:kern w:val="0"/>
      <w:sz w:val="24"/>
    </w:rPr>
  </w:style>
  <w:style w:type="paragraph" w:customStyle="1" w:styleId="55">
    <w:name w:val="pa-16"/>
    <w:basedOn w:val="1"/>
    <w:uiPriority w:val="0"/>
    <w:pPr>
      <w:widowControl/>
      <w:spacing w:line="320" w:lineRule="atLeast"/>
      <w:ind w:firstLine="6000"/>
    </w:pPr>
    <w:rPr>
      <w:rFonts w:ascii="宋体" w:hAnsi="宋体" w:cs="宋体"/>
      <w:kern w:val="0"/>
      <w:sz w:val="24"/>
    </w:rPr>
  </w:style>
  <w:style w:type="paragraph" w:customStyle="1" w:styleId="56">
    <w:name w:val="pa-11"/>
    <w:basedOn w:val="1"/>
    <w:uiPriority w:val="0"/>
    <w:pPr>
      <w:widowControl/>
      <w:spacing w:line="280" w:lineRule="atLeast"/>
    </w:pPr>
    <w:rPr>
      <w:rFonts w:ascii="宋体" w:hAnsi="宋体" w:cs="宋体"/>
      <w:kern w:val="0"/>
      <w:sz w:val="24"/>
    </w:rPr>
  </w:style>
  <w:style w:type="paragraph" w:customStyle="1" w:styleId="57">
    <w:name w:val="pa-2"/>
    <w:basedOn w:val="1"/>
    <w:uiPriority w:val="0"/>
    <w:pPr>
      <w:widowControl/>
      <w:spacing w:line="280" w:lineRule="atLeast"/>
      <w:ind w:firstLine="480"/>
    </w:pPr>
    <w:rPr>
      <w:rFonts w:ascii="宋体" w:hAnsi="宋体" w:cs="宋体"/>
      <w:kern w:val="0"/>
      <w:sz w:val="24"/>
    </w:rPr>
  </w:style>
  <w:style w:type="paragraph" w:customStyle="1" w:styleId="58">
    <w:name w:val=" Char"/>
    <w:basedOn w:val="1"/>
    <w:uiPriority w:val="0"/>
    <w:rPr>
      <w:rFonts w:ascii="Tahoma" w:hAnsi="Tahoma"/>
      <w:sz w:val="24"/>
      <w:szCs w:val="20"/>
    </w:rPr>
  </w:style>
  <w:style w:type="paragraph" w:customStyle="1" w:styleId="59">
    <w:name w:val="样式 宋体 左 行距: 固定值 22 磅"/>
    <w:basedOn w:val="1"/>
    <w:uiPriority w:val="0"/>
    <w:pPr>
      <w:spacing w:line="440" w:lineRule="exact"/>
      <w:ind w:firstLine="480" w:firstLineChars="200"/>
      <w:jc w:val="left"/>
    </w:pPr>
    <w:rPr>
      <w:rFonts w:ascii="宋体" w:hAnsi="宋体" w:eastAsia="仿宋_GB2312" w:cs="宋体"/>
      <w:bCs/>
      <w:color w:val="000000"/>
      <w:sz w:val="24"/>
      <w:szCs w:val="20"/>
    </w:rPr>
  </w:style>
  <w:style w:type="paragraph" w:customStyle="1" w:styleId="60">
    <w:name w:val="WPSOffice手动目录 1"/>
    <w:uiPriority w:val="0"/>
    <w:rPr>
      <w:rFonts w:ascii="Times New Roman" w:hAnsi="Times New Roman" w:eastAsia="宋体" w:cs="Times New Roman"/>
      <w:lang w:val="en-US" w:eastAsia="zh-CN" w:bidi="ar-SA"/>
    </w:rPr>
  </w:style>
  <w:style w:type="paragraph" w:customStyle="1" w:styleId="61">
    <w:name w:val="pa-0"/>
    <w:basedOn w:val="1"/>
    <w:uiPriority w:val="0"/>
    <w:pPr>
      <w:widowControl/>
      <w:spacing w:line="520" w:lineRule="atLeast"/>
      <w:jc w:val="center"/>
    </w:pPr>
    <w:rPr>
      <w:rFonts w:ascii="宋体" w:hAnsi="宋体" w:cs="宋体"/>
      <w:kern w:val="0"/>
      <w:sz w:val="24"/>
    </w:rPr>
  </w:style>
  <w:style w:type="paragraph" w:customStyle="1" w:styleId="62">
    <w:name w:val="列出段落1"/>
    <w:basedOn w:val="1"/>
    <w:uiPriority w:val="34"/>
    <w:pPr>
      <w:widowControl/>
      <w:adjustRightInd w:val="0"/>
      <w:snapToGrid w:val="0"/>
      <w:spacing w:after="200"/>
      <w:ind w:firstLine="420" w:firstLineChars="200"/>
      <w:jc w:val="left"/>
    </w:pPr>
    <w:rPr>
      <w:rFonts w:ascii="Tahoma" w:hAnsi="Tahoma" w:eastAsia="微软雅黑"/>
      <w:kern w:val="0"/>
      <w:sz w:val="22"/>
      <w:szCs w:val="22"/>
    </w:rPr>
  </w:style>
  <w:style w:type="paragraph" w:customStyle="1" w:styleId="63">
    <w:name w:val="表格文字居中"/>
    <w:basedOn w:val="1"/>
    <w:qFormat/>
    <w:uiPriority w:val="0"/>
    <w:pPr>
      <w:jc w:val="center"/>
    </w:pPr>
    <w:rPr>
      <w:rFonts w:ascii="宋体" w:hAnsi="Dotum" w:eastAsia="宋体" w:cs="Arial Unicode MS"/>
      <w:kern w:val="0"/>
      <w:sz w:val="20"/>
      <w:szCs w:val="21"/>
    </w:rPr>
  </w:style>
  <w:style w:type="paragraph" w:customStyle="1" w:styleId="64">
    <w:name w:val="List Paragraph1"/>
    <w:basedOn w:val="1"/>
    <w:qFormat/>
    <w:uiPriority w:val="0"/>
    <w:pPr>
      <w:widowControl/>
      <w:adjustRightInd w:val="0"/>
      <w:snapToGrid w:val="0"/>
      <w:spacing w:after="200"/>
      <w:ind w:firstLine="420" w:firstLineChars="200"/>
      <w:jc w:val="left"/>
    </w:pPr>
    <w:rPr>
      <w:rFonts w:ascii="Tahoma" w:hAnsi="Tahoma" w:eastAsia="微软雅黑"/>
      <w:kern w:val="0"/>
      <w:sz w:val="22"/>
      <w:szCs w:val="22"/>
    </w:rPr>
  </w:style>
  <w:style w:type="paragraph" w:customStyle="1" w:styleId="65">
    <w:name w:val="pa-4"/>
    <w:basedOn w:val="1"/>
    <w:uiPriority w:val="0"/>
    <w:pPr>
      <w:widowControl/>
      <w:spacing w:line="280" w:lineRule="atLeast"/>
      <w:ind w:hanging="600"/>
    </w:pPr>
    <w:rPr>
      <w:rFonts w:ascii="宋体" w:hAnsi="宋体" w:cs="宋体"/>
      <w:kern w:val="0"/>
      <w:sz w:val="24"/>
    </w:rPr>
  </w:style>
  <w:style w:type="paragraph" w:customStyle="1" w:styleId="66">
    <w:name w:val="pa-12"/>
    <w:basedOn w:val="1"/>
    <w:uiPriority w:val="0"/>
    <w:pPr>
      <w:widowControl/>
      <w:spacing w:line="280" w:lineRule="atLeast"/>
    </w:pPr>
    <w:rPr>
      <w:rFonts w:ascii="宋体" w:hAnsi="宋体" w:cs="宋体"/>
      <w:kern w:val="0"/>
      <w:sz w:val="24"/>
    </w:rPr>
  </w:style>
  <w:style w:type="paragraph" w:customStyle="1" w:styleId="67">
    <w:name w:val="pa-14"/>
    <w:basedOn w:val="1"/>
    <w:uiPriority w:val="0"/>
    <w:pPr>
      <w:widowControl/>
      <w:spacing w:line="360" w:lineRule="atLeast"/>
      <w:ind w:firstLine="240"/>
    </w:pPr>
    <w:rPr>
      <w:rFonts w:ascii="宋体" w:hAnsi="宋体" w:cs="宋体"/>
      <w:kern w:val="0"/>
      <w:sz w:val="24"/>
    </w:rPr>
  </w:style>
  <w:style w:type="paragraph" w:customStyle="1" w:styleId="68">
    <w:name w:val="pa-7"/>
    <w:basedOn w:val="1"/>
    <w:uiPriority w:val="0"/>
    <w:pPr>
      <w:widowControl/>
      <w:spacing w:line="280" w:lineRule="atLeast"/>
    </w:pPr>
    <w:rPr>
      <w:rFonts w:ascii="宋体" w:hAnsi="宋体" w:cs="宋体"/>
      <w:kern w:val="0"/>
      <w:sz w:val="24"/>
    </w:rPr>
  </w:style>
  <w:style w:type="paragraph" w:customStyle="1" w:styleId="69">
    <w:name w:val="pa-10"/>
    <w:basedOn w:val="1"/>
    <w:uiPriority w:val="0"/>
    <w:pPr>
      <w:widowControl/>
      <w:spacing w:line="280" w:lineRule="atLeast"/>
      <w:ind w:hanging="1680"/>
    </w:pPr>
    <w:rPr>
      <w:rFonts w:ascii="宋体" w:hAnsi="宋体" w:cs="宋体"/>
      <w:kern w:val="0"/>
      <w:sz w:val="24"/>
    </w:rPr>
  </w:style>
  <w:style w:type="paragraph" w:customStyle="1" w:styleId="70">
    <w:name w:val="pa-9"/>
    <w:basedOn w:val="1"/>
    <w:uiPriority w:val="0"/>
    <w:pPr>
      <w:widowControl/>
      <w:spacing w:line="240" w:lineRule="atLeast"/>
    </w:pPr>
    <w:rPr>
      <w:rFonts w:ascii="宋体" w:hAnsi="宋体" w:cs="宋体"/>
      <w:kern w:val="0"/>
      <w:sz w:val="24"/>
    </w:rPr>
  </w:style>
  <w:style w:type="paragraph" w:customStyle="1" w:styleId="71">
    <w:name w:val="pa-6"/>
    <w:basedOn w:val="1"/>
    <w:uiPriority w:val="0"/>
    <w:pPr>
      <w:widowControl/>
      <w:spacing w:line="280" w:lineRule="atLeast"/>
      <w:ind w:firstLine="2880"/>
    </w:pPr>
    <w:rPr>
      <w:rFonts w:ascii="宋体" w:hAnsi="宋体" w:cs="宋体"/>
      <w:kern w:val="0"/>
      <w:sz w:val="24"/>
    </w:rPr>
  </w:style>
  <w:style w:type="paragraph" w:customStyle="1" w:styleId="72">
    <w:name w:val="pa-5"/>
    <w:basedOn w:val="1"/>
    <w:uiPriority w:val="0"/>
    <w:pPr>
      <w:widowControl/>
      <w:spacing w:line="280" w:lineRule="atLeast"/>
      <w:ind w:hanging="1080"/>
    </w:pPr>
    <w:rPr>
      <w:rFonts w:ascii="宋体" w:hAnsi="宋体" w:cs="宋体"/>
      <w:kern w:val="0"/>
      <w:sz w:val="24"/>
    </w:rPr>
  </w:style>
  <w:style w:type="paragraph" w:customStyle="1" w:styleId="73">
    <w:name w:val="pa-8"/>
    <w:basedOn w:val="1"/>
    <w:uiPriority w:val="0"/>
    <w:pPr>
      <w:widowControl/>
      <w:spacing w:line="280" w:lineRule="atLeast"/>
      <w:jc w:val="right"/>
    </w:pPr>
    <w:rPr>
      <w:rFonts w:ascii="宋体" w:hAnsi="宋体" w:cs="宋体"/>
      <w:kern w:val="0"/>
      <w:sz w:val="24"/>
    </w:rPr>
  </w:style>
  <w:style w:type="paragraph" w:customStyle="1" w:styleId="74">
    <w:name w:val="Body text|1"/>
    <w:basedOn w:val="1"/>
    <w:qFormat/>
    <w:uiPriority w:val="0"/>
    <w:pPr>
      <w:widowControl w:val="0"/>
      <w:shd w:val="clear" w:color="auto" w:fill="auto"/>
      <w:spacing w:after="20" w:line="451" w:lineRule="auto"/>
      <w:ind w:firstLine="400"/>
    </w:pPr>
    <w:rPr>
      <w:rFonts w:ascii="宋体" w:hAnsi="宋体" w:eastAsia="宋体" w:cs="宋体"/>
      <w:sz w:val="18"/>
      <w:szCs w:val="18"/>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16</Pages>
  <Words>7645</Words>
  <Characters>8042</Characters>
  <Lines>290</Lines>
  <Paragraphs>435</Paragraphs>
  <TotalTime>2</TotalTime>
  <ScaleCrop>false</ScaleCrop>
  <LinksUpToDate>false</LinksUpToDate>
  <CharactersWithSpaces>8180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2022-10-12T01:08:00Z</dcterms:created>
  <dc:creator>微软用户</dc:creator>
  <cp:lastModifiedBy>钟业聪</cp:lastModifiedBy>
  <cp:lastPrinted>2026-06-24T07:02:00Z</cp:lastPrinted>
  <dcterms:modified xsi:type="dcterms:W3CDTF">2026-08-20T06:27:39Z</dcterms:modified>
  <dc:title>地招标文件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5E31EDB112F848788C7D25D28FFA51F2_13</vt:lpwstr>
  </property>
  <property fmtid="{D5CDD505-2E9C-101B-9397-08002B2CF9AE}" pid="4" name="KSOTemplateDocerSaveRecord">
    <vt:lpwstr>eyJoZGlkIjoiMDllNTFiMmVjOGMxMzE5ZjYxMGQwNTExMmM2MjZmNDciLCJ1c2VySWQiOiIzNzYxMTY5OTEifQ==</vt:lpwstr>
  </property>
</Properties>
</file>