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铂悦香山案场四害消杀专项服务采购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8</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val="en-US" w:eastAsia="zh-CN"/>
        </w:rPr>
        <w:t>物业公司承接铂悦香山案场物业管理服务，因案场需要开展四害消杀专项服务，现采购四害消杀专项服务，范围：铂悦香山案场范围内（包含展示区、办公区、大堂、走廊、水景、外围绿化、隐蔽设施），每月4次，服务期1年。</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壹万贰仟元整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壹万贰仟元整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铂悦香山案场四害消杀专项服务采购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w:t>
      </w:r>
      <w:r>
        <w:rPr>
          <w:rFonts w:hint="eastAsia" w:cs="Times New Roman"/>
          <w:b w:val="0"/>
          <w:bCs w:val="0"/>
          <w:color w:val="auto"/>
          <w:sz w:val="24"/>
          <w:lang w:val="en-US" w:eastAsia="zh-CN"/>
        </w:rPr>
        <w:t>.</w:t>
      </w:r>
      <w:r>
        <w:rPr>
          <w:rFonts w:hint="default" w:ascii="Times New Roman" w:hAnsi="Times New Roman" w:eastAsia="宋体" w:cs="Times New Roman"/>
          <w:b w:val="0"/>
          <w:bCs w:val="0"/>
          <w:color w:val="auto"/>
          <w:sz w:val="24"/>
        </w:rPr>
        <w:t>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2</w:t>
      </w:r>
      <w:r>
        <w:rPr>
          <w:rFonts w:hint="default" w:ascii="Times New Roman" w:hAnsi="Times New Roman" w:eastAsia="宋体" w:cs="Times New Roman"/>
          <w:b w:val="0"/>
          <w:bCs w:val="0"/>
          <w:color w:val="auto"/>
          <w:sz w:val="24"/>
        </w:rPr>
        <w:t>.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3</w:t>
      </w:r>
      <w:r>
        <w:rPr>
          <w:rFonts w:hint="default" w:ascii="Times New Roman" w:hAnsi="Times New Roman" w:eastAsia="宋体" w:cs="Times New Roman"/>
          <w:b w:val="0"/>
          <w:bCs w:val="0"/>
          <w:color w:val="auto"/>
          <w:sz w:val="24"/>
        </w:rPr>
        <w:t>.未被纳入正方集团“黑名单”；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4</w:t>
      </w:r>
      <w:r>
        <w:rPr>
          <w:rFonts w:hint="default" w:ascii="Times New Roman" w:hAnsi="Times New Roman" w:eastAsia="宋体" w:cs="Times New Roman"/>
          <w:b w:val="0"/>
          <w:bCs w:val="0"/>
          <w:color w:val="auto"/>
          <w:sz w:val="24"/>
        </w:rPr>
        <w:t>.与其他投标人不存在单位负责人为同一人或者存在控股、管理关系；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eastAsia" w:cs="Times New Roman"/>
          <w:b w:val="0"/>
          <w:bCs w:val="0"/>
          <w:color w:val="auto"/>
          <w:sz w:val="24"/>
          <w:lang w:val="en-US" w:eastAsia="zh-CN"/>
        </w:rPr>
        <w:t>5</w:t>
      </w:r>
      <w:r>
        <w:rPr>
          <w:rFonts w:hint="default" w:ascii="Times New Roman" w:hAnsi="Times New Roman" w:eastAsia="宋体" w:cs="Times New Roman"/>
          <w:b w:val="0"/>
          <w:bCs w:val="0"/>
          <w:color w:val="auto"/>
          <w:sz w:val="24"/>
        </w:rPr>
        <w:t>.本项目不接受联合体投标。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 xml:space="preserve"> </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铂悦香山案场四害消杀专项服务采购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月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9199"/>
      <w:bookmarkStart w:id="4" w:name="_Toc15547"/>
      <w:r>
        <w:rPr>
          <w:rFonts w:hint="eastAsia" w:ascii="宋体" w:hAnsi="宋体" w:eastAsia="宋体"/>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rPr>
      </w:pPr>
      <w:bookmarkStart w:id="7" w:name="_Toc276645579"/>
      <w:bookmarkStart w:id="8" w:name="_Toc698"/>
      <w:bookmarkStart w:id="9" w:name="_Toc503427710"/>
      <w:bookmarkStart w:id="10" w:name="_Toc202816996"/>
      <w:bookmarkStart w:id="11" w:name="_Toc202252034"/>
      <w:bookmarkStart w:id="12" w:name="_Toc202251700"/>
      <w:bookmarkStart w:id="13" w:name="_Toc15317"/>
      <w:bookmarkStart w:id="14" w:name="_Toc202254105"/>
      <w:bookmarkStart w:id="15" w:name="_Toc16107"/>
      <w:bookmarkStart w:id="16" w:name="_Toc202251075"/>
      <w:bookmarkStart w:id="17" w:name="_Toc17685"/>
      <w:bookmarkStart w:id="18" w:name="_Toc202820351"/>
      <w:bookmarkStart w:id="19" w:name="_Toc259090982"/>
      <w:bookmarkStart w:id="20" w:name="_Toc202819878"/>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0366"/>
      <w:bookmarkStart w:id="22" w:name="_Toc276645580"/>
      <w:bookmarkStart w:id="23" w:name="_Toc13089"/>
      <w:bookmarkStart w:id="24" w:name="_Toc259090983"/>
      <w:bookmarkStart w:id="25" w:name="_Toc32660"/>
      <w:bookmarkStart w:id="26" w:name="_Toc503427711"/>
      <w:bookmarkStart w:id="27" w:name="_Toc24181"/>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铂悦香山案场四害消杀专项服务采购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528"/>
      <w:bookmarkStart w:id="30" w:name="_Toc17080"/>
      <w:bookmarkStart w:id="31" w:name="_Toc19171"/>
      <w:bookmarkStart w:id="32" w:name="_Toc503427713"/>
      <w:bookmarkStart w:id="33" w:name="_Toc19817"/>
      <w:bookmarkStart w:id="34" w:name="_Toc2759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铂悦香山案场四害消杀专项服务采购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19796"/>
      <w:bookmarkStart w:id="36" w:name="_Toc19969"/>
      <w:bookmarkStart w:id="37" w:name="_Toc14285"/>
      <w:bookmarkStart w:id="38" w:name="_Toc31877"/>
      <w:bookmarkStart w:id="39" w:name="_Toc15464"/>
      <w:bookmarkStart w:id="40" w:name="_Toc24356"/>
      <w:bookmarkStart w:id="41" w:name="_Toc6220"/>
      <w:bookmarkStart w:id="42" w:name="_Toc24969"/>
      <w:bookmarkStart w:id="43" w:name="_Toc13922"/>
      <w:bookmarkStart w:id="44" w:name="_Toc31767"/>
      <w:bookmarkStart w:id="45" w:name="_Toc9476"/>
      <w:bookmarkStart w:id="46" w:name="_Toc5048"/>
      <w:bookmarkStart w:id="47" w:name="_Toc10559"/>
      <w:bookmarkStart w:id="48" w:name="_Toc32141"/>
      <w:bookmarkStart w:id="49" w:name="_Toc26971"/>
      <w:bookmarkStart w:id="50" w:name="_Toc10585"/>
      <w:bookmarkStart w:id="51" w:name="_Toc264628882"/>
      <w:bookmarkStart w:id="52" w:name="_Toc503427714"/>
      <w:bookmarkStart w:id="53" w:name="_Toc27468"/>
      <w:bookmarkStart w:id="54" w:name="_Toc6275"/>
      <w:bookmarkStart w:id="55" w:name="_Toc4726"/>
      <w:bookmarkStart w:id="56" w:name="_Toc32498"/>
      <w:bookmarkStart w:id="57" w:name="_Toc4427"/>
      <w:bookmarkStart w:id="58" w:name="_Toc276645583"/>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必须是在中华人民共和国境内注册的、具有独立承担民事责任能力的法人或其他组织及个体工商户</w:t>
      </w:r>
      <w:bookmarkStart w:id="94" w:name="_GoBack"/>
      <w:bookmarkEnd w:id="94"/>
      <w:r>
        <w:rPr>
          <w:rFonts w:hint="eastAsia" w:ascii="宋体" w:hAnsi="宋体" w:eastAsia="宋体" w:cs="宋体"/>
          <w:kern w:val="28"/>
          <w:sz w:val="24"/>
          <w:szCs w:val="24"/>
        </w:rPr>
        <w:t>，持有合法有效的法人营业执照或登记证书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珠海正方物业管理有限公司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251078"/>
      <w:bookmarkStart w:id="61" w:name="_Toc21572"/>
      <w:bookmarkStart w:id="62" w:name="_Toc259090996"/>
      <w:bookmarkStart w:id="63" w:name="_Toc202252037"/>
      <w:bookmarkStart w:id="64" w:name="_Toc202817000"/>
      <w:bookmarkStart w:id="65" w:name="_Toc202819882"/>
      <w:bookmarkStart w:id="66" w:name="_Toc276645592"/>
      <w:bookmarkStart w:id="67" w:name="_Toc202251703"/>
      <w:bookmarkStart w:id="68" w:name="_Toc3330"/>
      <w:bookmarkStart w:id="69" w:name="_Toc202254108"/>
      <w:bookmarkStart w:id="70" w:name="_Toc503427721"/>
      <w:bookmarkStart w:id="71" w:name="_Toc29543"/>
      <w:bookmarkStart w:id="72" w:name="_Toc24253"/>
      <w:bookmarkStart w:id="73" w:name="_Toc202820355"/>
      <w:bookmarkStart w:id="74" w:name="_Toc12992"/>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7304"/>
      <w:bookmarkStart w:id="76" w:name="_Toc5662"/>
      <w:bookmarkStart w:id="77" w:name="_Toc10726"/>
      <w:bookmarkStart w:id="78" w:name="_Toc30192"/>
      <w:bookmarkStart w:id="79" w:name="_Toc32145"/>
      <w:bookmarkStart w:id="80" w:name="_Toc3193"/>
      <w:bookmarkStart w:id="81" w:name="_Toc16860"/>
      <w:bookmarkStart w:id="82" w:name="_Toc5278"/>
      <w:bookmarkStart w:id="83" w:name="_Toc9094"/>
      <w:bookmarkStart w:id="84" w:name="_Toc29470"/>
      <w:bookmarkStart w:id="85" w:name="_Toc6669"/>
      <w:bookmarkStart w:id="86" w:name="_Toc22499"/>
      <w:bookmarkStart w:id="87" w:name="_Toc500"/>
      <w:bookmarkStart w:id="88" w:name="_Toc113"/>
      <w:bookmarkStart w:id="89" w:name="_Toc24446"/>
      <w:bookmarkStart w:id="90" w:name="_Toc2576"/>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17294"/>
      <w:bookmarkStart w:id="92" w:name="_Toc29247"/>
      <w:bookmarkStart w:id="93" w:name="_Toc28886"/>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铂悦香山案场四害消杀专项服务采购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珠海正方物业管理有限公司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w:t>
      </w:r>
      <w:r>
        <w:rPr>
          <w:rFonts w:hint="eastAsia" w:cs="Times New Roman"/>
          <w:color w:val="auto"/>
          <w:sz w:val="28"/>
          <w:szCs w:val="28"/>
          <w:lang w:val="en-US" w:eastAsia="zh-CN"/>
        </w:rPr>
        <w:t>铂悦香山案场四害消杀专项服务采购</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p>
    <w:p>
      <w:pPr>
        <w:spacing w:line="360" w:lineRule="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            元 （¥          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铂悦香山案场四害消杀专项服务采购</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134"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四害消杀</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rPr>
              <w:t>铂悦香山案场范围内（包含展示区、办公区、大堂、走廊、水景、外围绿化、隐蔽设施）</w:t>
            </w:r>
            <w:r>
              <w:rPr>
                <w:rFonts w:hint="eastAsia" w:ascii="宋体" w:hAnsi="宋体" w:cs="宋体"/>
                <w:i w:val="0"/>
                <w:color w:val="000000"/>
                <w:sz w:val="22"/>
                <w:szCs w:val="22"/>
                <w:u w:val="none"/>
                <w:lang w:val="en-US" w:eastAsia="zh-CN"/>
              </w:rPr>
              <w:t>四害消杀</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项</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48</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详见技术需求书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本次采购数量为预估量，以实际用量结算，水泥分两批送至香山驿站，河沙送至梅华公园球场，送货前需先与收货人联系，收货人：屈克超 13709689029。</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宋体" w:hAnsi="宋体"/>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
        <w:rPr>
          <w:rFonts w:hint="eastAsia" w:ascii="宋体" w:hAnsi="宋体"/>
          <w:sz w:val="24"/>
          <w:szCs w:val="24"/>
        </w:rPr>
      </w:pPr>
    </w:p>
    <w:p>
      <w:pPr>
        <w:rPr>
          <w:rFonts w:hint="eastAsia" w:ascii="宋体" w:hAnsi="宋体"/>
          <w:sz w:val="24"/>
          <w:szCs w:val="24"/>
        </w:rPr>
      </w:pPr>
    </w:p>
    <w:p>
      <w:pPr>
        <w:pStyle w:val="5"/>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附件1：技术需求书</w:t>
      </w:r>
    </w:p>
    <w:p>
      <w:pPr>
        <w:pStyle w:val="3"/>
        <w:bidi w:val="0"/>
        <w:spacing w:line="240" w:lineRule="auto"/>
        <w:jc w:val="center"/>
        <w:rPr>
          <w:rFonts w:hint="eastAsia"/>
          <w:sz w:val="32"/>
          <w:szCs w:val="18"/>
          <w:lang w:val="en-US" w:eastAsia="zh-CN"/>
        </w:rPr>
      </w:pPr>
      <w:r>
        <w:rPr>
          <w:rFonts w:hint="eastAsia"/>
          <w:sz w:val="32"/>
          <w:szCs w:val="18"/>
          <w:lang w:val="en-US" w:eastAsia="zh-CN"/>
        </w:rPr>
        <w:t>2026-2027铂悦香山案场</w:t>
      </w:r>
    </w:p>
    <w:p>
      <w:pPr>
        <w:pStyle w:val="3"/>
        <w:bidi w:val="0"/>
        <w:spacing w:line="240" w:lineRule="auto"/>
        <w:jc w:val="center"/>
        <w:rPr>
          <w:rFonts w:hint="default"/>
          <w:sz w:val="32"/>
          <w:szCs w:val="18"/>
          <w:lang w:val="en-US" w:eastAsia="zh-CN"/>
        </w:rPr>
      </w:pPr>
      <w:r>
        <w:rPr>
          <w:rFonts w:hint="eastAsia"/>
          <w:sz w:val="32"/>
          <w:szCs w:val="18"/>
          <w:lang w:val="en-US" w:eastAsia="zh-CN"/>
        </w:rPr>
        <w:t>四害消杀专项服务采购技术需求书</w:t>
      </w:r>
    </w:p>
    <w:p>
      <w:pPr>
        <w:pageBreakBefore w:val="0"/>
        <w:wordWrap/>
        <w:spacing w:before="160" w:after="0" w:line="360" w:lineRule="auto"/>
        <w:ind w:left="0" w:right="0"/>
        <w:jc w:val="left"/>
        <w:textAlignment w:val="auto"/>
        <w:rPr>
          <w:sz w:val="24"/>
        </w:rPr>
      </w:pPr>
      <w:r>
        <w:rPr>
          <w:rFonts w:ascii="宋体" w:hAnsi="宋体" w:eastAsia="宋体" w:cs="宋体"/>
          <w:b/>
          <w:i w:val="0"/>
          <w:spacing w:val="0"/>
          <w:sz w:val="24"/>
        </w:rPr>
        <w:t>一、项目概况</w:t>
      </w:r>
    </w:p>
    <w:p>
      <w:pPr>
        <w:pageBreakBefore w:val="0"/>
        <w:numPr>
          <w:ilvl w:val="0"/>
          <w:numId w:val="4"/>
        </w:numPr>
        <w:wordWrap/>
        <w:spacing w:before="160" w:after="0" w:line="360" w:lineRule="auto"/>
        <w:ind w:left="440" w:right="0" w:hanging="440"/>
        <w:jc w:val="left"/>
        <w:textAlignment w:val="auto"/>
        <w:rPr>
          <w:sz w:val="24"/>
        </w:rPr>
      </w:pPr>
      <w:r>
        <w:rPr>
          <w:rFonts w:ascii="宋体" w:hAnsi="宋体" w:eastAsia="宋体" w:cs="宋体"/>
          <w:b/>
          <w:i w:val="0"/>
          <w:spacing w:val="0"/>
          <w:sz w:val="24"/>
        </w:rPr>
        <w:t>项目名称</w:t>
      </w:r>
      <w:r>
        <w:rPr>
          <w:rFonts w:ascii="宋体" w:hAnsi="宋体" w:eastAsia="宋体" w:cs="宋体"/>
          <w:b w:val="0"/>
          <w:i w:val="0"/>
          <w:spacing w:val="0"/>
          <w:sz w:val="24"/>
        </w:rPr>
        <w:t>：</w:t>
      </w:r>
      <w:r>
        <w:rPr>
          <w:rFonts w:hint="eastAsia" w:ascii="宋体" w:hAnsi="宋体" w:eastAsia="宋体" w:cs="宋体"/>
          <w:b w:val="0"/>
          <w:i w:val="0"/>
          <w:spacing w:val="0"/>
          <w:sz w:val="24"/>
          <w:lang w:val="en-US" w:eastAsia="zh-CN"/>
        </w:rPr>
        <w:t>铂悦香山案场</w:t>
      </w:r>
    </w:p>
    <w:p>
      <w:pPr>
        <w:pageBreakBefore w:val="0"/>
        <w:numPr>
          <w:ilvl w:val="0"/>
          <w:numId w:val="4"/>
        </w:numPr>
        <w:wordWrap/>
        <w:spacing w:before="160" w:after="0" w:line="360" w:lineRule="auto"/>
        <w:ind w:left="440" w:right="0" w:hanging="440"/>
        <w:jc w:val="left"/>
        <w:textAlignment w:val="auto"/>
        <w:rPr>
          <w:sz w:val="24"/>
        </w:rPr>
      </w:pPr>
      <w:r>
        <w:rPr>
          <w:rFonts w:ascii="宋体" w:hAnsi="宋体" w:eastAsia="宋体" w:cs="宋体"/>
          <w:b/>
          <w:i w:val="0"/>
          <w:spacing w:val="0"/>
          <w:sz w:val="24"/>
        </w:rPr>
        <w:t>项目地点</w:t>
      </w:r>
      <w:r>
        <w:rPr>
          <w:rFonts w:ascii="宋体" w:hAnsi="宋体" w:eastAsia="宋体" w:cs="宋体"/>
          <w:b w:val="0"/>
          <w:i w:val="0"/>
          <w:spacing w:val="0"/>
          <w:sz w:val="24"/>
        </w:rPr>
        <w:t>：</w:t>
      </w:r>
      <w:r>
        <w:rPr>
          <w:rFonts w:hint="eastAsia" w:asciiTheme="minorEastAsia" w:hAnsiTheme="minorEastAsia" w:eastAsiaTheme="minorEastAsia" w:cstheme="minorEastAsia"/>
          <w:sz w:val="24"/>
          <w:szCs w:val="24"/>
          <w:lang w:val="en-US" w:eastAsia="zh-CN"/>
        </w:rPr>
        <w:t>香洲区梅华东路与兴业路交叉口西南80米</w:t>
      </w:r>
    </w:p>
    <w:p>
      <w:pPr>
        <w:pageBreakBefore w:val="0"/>
        <w:numPr>
          <w:ilvl w:val="0"/>
          <w:numId w:val="4"/>
        </w:numPr>
        <w:wordWrap/>
        <w:spacing w:before="160" w:after="0" w:line="360" w:lineRule="auto"/>
        <w:ind w:left="440" w:right="0" w:hanging="440"/>
        <w:jc w:val="left"/>
        <w:textAlignment w:val="auto"/>
        <w:rPr>
          <w:sz w:val="24"/>
        </w:rPr>
      </w:pPr>
      <w:r>
        <w:rPr>
          <w:rFonts w:ascii="宋体" w:hAnsi="宋体" w:eastAsia="宋体" w:cs="宋体"/>
          <w:b/>
          <w:i w:val="0"/>
          <w:spacing w:val="0"/>
          <w:sz w:val="24"/>
        </w:rPr>
        <w:t>服务期限</w:t>
      </w:r>
      <w:r>
        <w:rPr>
          <w:rFonts w:ascii="宋体" w:hAnsi="宋体" w:eastAsia="宋体" w:cs="宋体"/>
          <w:b w:val="0"/>
          <w:i w:val="0"/>
          <w:spacing w:val="0"/>
          <w:sz w:val="24"/>
        </w:rPr>
        <w:t>：</w:t>
      </w:r>
      <w:r>
        <w:rPr>
          <w:rFonts w:hint="eastAsia" w:ascii="宋体" w:hAnsi="宋体" w:eastAsia="宋体" w:cs="宋体"/>
          <w:b w:val="0"/>
          <w:i w:val="0"/>
          <w:spacing w:val="0"/>
          <w:sz w:val="24"/>
          <w:lang w:val="en-US" w:eastAsia="zh-CN"/>
        </w:rPr>
        <w:t>1年，进场时间以甲方通知为准</w:t>
      </w:r>
    </w:p>
    <w:p>
      <w:pPr>
        <w:pageBreakBefore w:val="0"/>
        <w:numPr>
          <w:ilvl w:val="0"/>
          <w:numId w:val="0"/>
        </w:numPr>
        <w:wordWrap/>
        <w:spacing w:before="160" w:after="0" w:line="360" w:lineRule="auto"/>
        <w:ind w:leftChars="0" w:right="0" w:rightChars="0"/>
        <w:jc w:val="left"/>
        <w:textAlignment w:val="auto"/>
        <w:rPr>
          <w:rFonts w:hint="default" w:ascii="宋体" w:hAnsi="宋体" w:eastAsia="宋体" w:cs="宋体"/>
          <w:b/>
          <w:i w:val="0"/>
          <w:spacing w:val="0"/>
          <w:sz w:val="24"/>
          <w:lang w:val="en-US" w:eastAsia="zh-CN"/>
        </w:rPr>
      </w:pPr>
      <w:r>
        <w:rPr>
          <w:rFonts w:ascii="宋体" w:hAnsi="宋体" w:eastAsia="宋体" w:cs="宋体"/>
          <w:b/>
          <w:i w:val="0"/>
          <w:spacing w:val="0"/>
          <w:sz w:val="24"/>
        </w:rPr>
        <w:t>二</w:t>
      </w:r>
      <w:r>
        <w:rPr>
          <w:rFonts w:hint="eastAsia" w:ascii="宋体" w:hAnsi="宋体" w:eastAsia="宋体" w:cs="宋体"/>
          <w:b/>
          <w:i w:val="0"/>
          <w:spacing w:val="0"/>
          <w:sz w:val="24"/>
        </w:rPr>
        <w:t xml:space="preserve"> 、</w:t>
      </w:r>
      <w:r>
        <w:rPr>
          <w:rFonts w:hint="eastAsia" w:ascii="宋体" w:hAnsi="宋体" w:eastAsia="宋体" w:cs="宋体"/>
          <w:b/>
          <w:i w:val="0"/>
          <w:spacing w:val="0"/>
          <w:sz w:val="24"/>
          <w:lang w:val="en-US" w:eastAsia="zh-CN"/>
        </w:rPr>
        <w:t>服务</w:t>
      </w:r>
      <w:r>
        <w:rPr>
          <w:rFonts w:hint="eastAsia" w:ascii="宋体" w:hAnsi="宋体" w:eastAsia="宋体" w:cs="宋体"/>
          <w:b/>
          <w:i w:val="0"/>
          <w:spacing w:val="0"/>
          <w:sz w:val="24"/>
        </w:rPr>
        <w:t>范围及</w:t>
      </w:r>
      <w:r>
        <w:rPr>
          <w:rFonts w:hint="eastAsia" w:ascii="宋体" w:hAnsi="宋体" w:eastAsia="宋体" w:cs="宋体"/>
          <w:b/>
          <w:i w:val="0"/>
          <w:spacing w:val="0"/>
          <w:sz w:val="24"/>
          <w:lang w:val="en-US" w:eastAsia="zh-CN"/>
        </w:rPr>
        <w:t>标准要求</w:t>
      </w:r>
    </w:p>
    <w:p>
      <w:pPr>
        <w:keepNext w:val="0"/>
        <w:keepLines w:val="0"/>
        <w:widowControl/>
        <w:numPr>
          <w:ilvl w:val="0"/>
          <w:numId w:val="5"/>
        </w:numPr>
        <w:suppressLineNumbers w:val="0"/>
        <w:shd w:val="clear" w:fill="FFFFFF"/>
        <w:spacing w:before="160" w:beforeAutospacing="0" w:after="0" w:afterAutospacing="0" w:line="360" w:lineRule="auto"/>
        <w:ind w:right="0"/>
        <w:jc w:val="left"/>
        <w:rPr>
          <w:rFonts w:hint="eastAsia" w:ascii="宋体" w:hAnsi="宋体" w:eastAsia="宋体" w:cs="宋体"/>
          <w:b/>
          <w:bCs w:val="0"/>
          <w:i w:val="0"/>
          <w:spacing w:val="0"/>
          <w:sz w:val="24"/>
          <w:lang w:val="en-US" w:eastAsia="zh-CN"/>
        </w:rPr>
      </w:pPr>
      <w:r>
        <w:rPr>
          <w:rFonts w:hint="eastAsia" w:ascii="宋体" w:hAnsi="宋体" w:eastAsia="宋体" w:cs="宋体"/>
          <w:b/>
          <w:bCs w:val="0"/>
          <w:i w:val="0"/>
          <w:spacing w:val="0"/>
          <w:sz w:val="24"/>
          <w:lang w:val="en-US" w:eastAsia="zh-CN"/>
        </w:rPr>
        <w:t>服务范围：</w:t>
      </w:r>
    </w:p>
    <w:p>
      <w:pPr>
        <w:keepNext w:val="0"/>
        <w:keepLines w:val="0"/>
        <w:widowControl/>
        <w:numPr>
          <w:ilvl w:val="-1"/>
          <w:numId w:val="0"/>
        </w:numPr>
        <w:suppressLineNumbers w:val="0"/>
        <w:shd w:val="clear" w:fill="FFFFFF"/>
        <w:spacing w:before="160" w:beforeAutospacing="0" w:after="0" w:afterAutospacing="0" w:line="360" w:lineRule="auto"/>
        <w:ind w:right="0"/>
        <w:jc w:val="left"/>
        <w:rPr>
          <w:rFonts w:hint="default" w:ascii="Segoe UI" w:hAnsi="Segoe UI" w:eastAsia="Segoe UI" w:cs="Segoe UI"/>
          <w:bCs/>
          <w:i w:val="0"/>
          <w:iCs w:val="0"/>
          <w:caps w:val="0"/>
          <w:color w:val="0F1115"/>
          <w:spacing w:val="0"/>
          <w:sz w:val="24"/>
          <w:szCs w:val="24"/>
        </w:rPr>
      </w:pPr>
      <w:r>
        <w:rPr>
          <w:rFonts w:hint="eastAsia" w:ascii="宋体" w:hAnsi="宋体" w:eastAsia="宋体" w:cs="宋体"/>
          <w:b w:val="0"/>
          <w:bCs/>
          <w:i w:val="0"/>
          <w:spacing w:val="0"/>
          <w:sz w:val="24"/>
          <w:lang w:val="en-US" w:eastAsia="zh-CN"/>
        </w:rPr>
        <w:t>铂悦香山案场范围内（包含展示区、办公区、大堂、走廊、水景、外围绿化、隐蔽设施）。</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i w:val="0"/>
          <w:spacing w:val="0"/>
          <w:sz w:val="24"/>
        </w:rPr>
      </w:pPr>
      <w:r>
        <w:rPr>
          <w:rFonts w:hint="eastAsia" w:ascii="宋体" w:hAnsi="宋体" w:eastAsia="宋体" w:cs="宋体"/>
          <w:b/>
          <w:i w:val="0"/>
          <w:spacing w:val="0"/>
          <w:sz w:val="24"/>
          <w:lang w:val="en-US" w:eastAsia="zh-CN"/>
        </w:rPr>
        <w:t>2.</w:t>
      </w:r>
      <w:r>
        <w:rPr>
          <w:rFonts w:hint="eastAsia" w:ascii="宋体" w:hAnsi="宋体" w:eastAsia="宋体" w:cs="宋体"/>
          <w:b/>
          <w:i w:val="0"/>
          <w:spacing w:val="0"/>
          <w:sz w:val="24"/>
        </w:rPr>
        <w:t>服务标准</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bCs/>
          <w:i w:val="0"/>
          <w:spacing w:val="0"/>
          <w:sz w:val="24"/>
        </w:rPr>
      </w:pPr>
      <w:r>
        <w:rPr>
          <w:rFonts w:hint="eastAsia" w:ascii="宋体" w:hAnsi="宋体" w:eastAsia="宋体" w:cs="宋体"/>
          <w:b w:val="0"/>
          <w:bCs/>
          <w:i w:val="0"/>
          <w:spacing w:val="0"/>
          <w:sz w:val="24"/>
        </w:rPr>
        <w:t>严格执行GB/T 27770-2011（鼠）、GB/T 27771-2011（蚊）、GB/T 27772-2011（蝇）、GB/T 27773-2011（蟑螂），达到C级及以上控制水平。核心指标：室内鼠迹阳性房间≤2%，外环境鼠迹≤5处/2000米；蚊幼阳性率≤3%；重点单位有蝇房间≤1%；蟑螂阳性房间≤3%。</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i w:val="0"/>
          <w:spacing w:val="0"/>
          <w:sz w:val="24"/>
        </w:rPr>
      </w:pPr>
      <w:r>
        <w:rPr>
          <w:rFonts w:hint="eastAsia" w:ascii="宋体" w:hAnsi="宋体" w:eastAsia="宋体" w:cs="宋体"/>
          <w:b/>
          <w:i w:val="0"/>
          <w:spacing w:val="0"/>
          <w:sz w:val="24"/>
          <w:lang w:val="en-US" w:eastAsia="zh-CN"/>
        </w:rPr>
        <w:t>3.</w:t>
      </w:r>
      <w:r>
        <w:rPr>
          <w:rFonts w:hint="eastAsia" w:ascii="宋体" w:hAnsi="宋体" w:eastAsia="宋体" w:cs="宋体"/>
          <w:b/>
          <w:i w:val="0"/>
          <w:spacing w:val="0"/>
          <w:sz w:val="24"/>
        </w:rPr>
        <w:t>服务频次</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bCs/>
          <w:i w:val="0"/>
          <w:spacing w:val="0"/>
          <w:sz w:val="24"/>
        </w:rPr>
      </w:pPr>
      <w:r>
        <w:rPr>
          <w:rFonts w:hint="eastAsia" w:ascii="宋体" w:hAnsi="宋体" w:eastAsia="宋体" w:cs="宋体"/>
          <w:b w:val="0"/>
          <w:bCs/>
          <w:i w:val="0"/>
          <w:spacing w:val="0"/>
          <w:sz w:val="24"/>
        </w:rPr>
        <w:t>每月4次。应急响应：2小时内响应，24小时内到场处置。</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i w:val="0"/>
          <w:spacing w:val="0"/>
          <w:sz w:val="24"/>
        </w:rPr>
      </w:pPr>
      <w:r>
        <w:rPr>
          <w:rFonts w:hint="eastAsia" w:ascii="宋体" w:hAnsi="宋体" w:eastAsia="宋体" w:cs="宋体"/>
          <w:b/>
          <w:i w:val="0"/>
          <w:spacing w:val="0"/>
          <w:sz w:val="24"/>
          <w:lang w:val="en-US" w:eastAsia="zh-CN"/>
        </w:rPr>
        <w:t>4.</w:t>
      </w:r>
      <w:r>
        <w:rPr>
          <w:rFonts w:hint="eastAsia" w:ascii="宋体" w:hAnsi="宋体" w:eastAsia="宋体" w:cs="宋体"/>
          <w:b/>
          <w:i w:val="0"/>
          <w:spacing w:val="0"/>
          <w:sz w:val="24"/>
        </w:rPr>
        <w:t>药品及设备</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bCs/>
          <w:i w:val="0"/>
          <w:spacing w:val="0"/>
          <w:sz w:val="24"/>
        </w:rPr>
      </w:pPr>
      <w:r>
        <w:rPr>
          <w:rFonts w:hint="eastAsia" w:ascii="宋体" w:hAnsi="宋体" w:eastAsia="宋体" w:cs="宋体"/>
          <w:b w:val="0"/>
          <w:bCs/>
          <w:i w:val="0"/>
          <w:spacing w:val="0"/>
          <w:sz w:val="24"/>
        </w:rPr>
        <w:t>所用药品须提供农药登记证、生产许可证、产品标准证（“三证”）及MSDS，使用高效低毒低残留药剂，严禁使用违禁药品，敏感区域须选用无刺激专用药剂。供应商须配备超低容量喷雾器、滞留喷洒设备、毒饵站等专业设备。</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i w:val="0"/>
          <w:spacing w:val="0"/>
          <w:sz w:val="24"/>
        </w:rPr>
      </w:pPr>
      <w:r>
        <w:rPr>
          <w:rFonts w:hint="eastAsia" w:ascii="宋体" w:hAnsi="宋体" w:eastAsia="宋体" w:cs="宋体"/>
          <w:b/>
          <w:i w:val="0"/>
          <w:spacing w:val="0"/>
          <w:sz w:val="24"/>
          <w:lang w:val="en-US" w:eastAsia="zh-CN"/>
        </w:rPr>
        <w:t>5.</w:t>
      </w:r>
      <w:r>
        <w:rPr>
          <w:rFonts w:hint="eastAsia" w:ascii="宋体" w:hAnsi="宋体" w:eastAsia="宋体" w:cs="宋体"/>
          <w:b/>
          <w:i w:val="0"/>
          <w:spacing w:val="0"/>
          <w:sz w:val="24"/>
        </w:rPr>
        <w:t>人员与资质</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val="0"/>
          <w:bCs/>
          <w:i w:val="0"/>
          <w:spacing w:val="0"/>
          <w:sz w:val="24"/>
        </w:rPr>
      </w:pPr>
      <w:r>
        <w:rPr>
          <w:rFonts w:hint="eastAsia" w:ascii="宋体" w:hAnsi="宋体" w:eastAsia="宋体" w:cs="宋体"/>
          <w:b w:val="0"/>
          <w:bCs/>
          <w:i w:val="0"/>
          <w:spacing w:val="0"/>
          <w:sz w:val="24"/>
        </w:rPr>
        <w:t>供应商须持有有害生物防制服务机构资质证书（C级及以上）。作业人员须持有害生物防制员职业资格证书（三级及以上）及健康证明，统一着装、规范操作。</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i w:val="0"/>
          <w:spacing w:val="0"/>
          <w:sz w:val="24"/>
        </w:rPr>
      </w:pPr>
      <w:r>
        <w:rPr>
          <w:rFonts w:hint="eastAsia" w:ascii="宋体" w:hAnsi="宋体" w:eastAsia="宋体" w:cs="宋体"/>
          <w:b/>
          <w:i w:val="0"/>
          <w:spacing w:val="0"/>
          <w:sz w:val="24"/>
          <w:lang w:val="en-US" w:eastAsia="zh-CN"/>
        </w:rPr>
        <w:t>6.</w:t>
      </w:r>
      <w:r>
        <w:rPr>
          <w:rFonts w:hint="eastAsia" w:ascii="宋体" w:hAnsi="宋体" w:eastAsia="宋体" w:cs="宋体"/>
          <w:b/>
          <w:i w:val="0"/>
          <w:spacing w:val="0"/>
          <w:sz w:val="24"/>
        </w:rPr>
        <w:t>验收考核</w:t>
      </w:r>
    </w:p>
    <w:p>
      <w:pPr>
        <w:pageBreakBefore w:val="0"/>
        <w:numPr>
          <w:ilvl w:val="0"/>
          <w:numId w:val="0"/>
        </w:numPr>
        <w:wordWrap/>
        <w:spacing w:before="160" w:after="0" w:line="360" w:lineRule="auto"/>
        <w:ind w:leftChars="0" w:right="0" w:rightChars="0"/>
        <w:jc w:val="left"/>
        <w:textAlignment w:val="auto"/>
        <w:rPr>
          <w:rFonts w:hint="eastAsia" w:ascii="宋体" w:hAnsi="宋体" w:eastAsia="宋体" w:cs="宋体"/>
          <w:b/>
          <w:i w:val="0"/>
          <w:spacing w:val="0"/>
          <w:sz w:val="24"/>
        </w:rPr>
      </w:pPr>
      <w:r>
        <w:rPr>
          <w:rFonts w:hint="eastAsia" w:ascii="宋体" w:hAnsi="宋体" w:eastAsia="宋体" w:cs="宋体"/>
          <w:b w:val="0"/>
          <w:bCs/>
          <w:i w:val="0"/>
          <w:spacing w:val="0"/>
          <w:sz w:val="24"/>
        </w:rPr>
        <w:t>供应商须建立完整消杀技术档案（消杀记录、监测数据、药品台账等）。效果按国家标准抽检，不合格须在48小时内整改到位并承担复检费用。服务满意率须达90%以上。</w:t>
      </w:r>
    </w:p>
    <w:p>
      <w:pPr>
        <w:pageBreakBefore w:val="0"/>
        <w:numPr>
          <w:ilvl w:val="-1"/>
          <w:numId w:val="0"/>
        </w:numPr>
        <w:tabs>
          <w:tab w:val="left" w:pos="2673"/>
        </w:tabs>
        <w:wordWrap/>
        <w:spacing w:before="160" w:after="0"/>
        <w:ind w:leftChars="0" w:right="0" w:rightChars="0"/>
        <w:jc w:val="left"/>
        <w:textAlignment w:val="auto"/>
        <w:rPr>
          <w:rFonts w:hint="eastAsia"/>
          <w:b/>
          <w:bCs/>
          <w:sz w:val="24"/>
          <w:lang w:val="en-US" w:eastAsia="zh-CN"/>
        </w:rPr>
      </w:pPr>
      <w:r>
        <w:rPr>
          <w:rFonts w:hint="eastAsia"/>
          <w:b/>
          <w:bCs/>
          <w:sz w:val="24"/>
          <w:lang w:val="en-US" w:eastAsia="zh-CN"/>
        </w:rPr>
        <w:t>三、</w:t>
      </w:r>
      <w:r>
        <w:rPr>
          <w:rFonts w:hint="eastAsia"/>
          <w:b/>
          <w:bCs/>
          <w:sz w:val="24"/>
        </w:rPr>
        <w:t>费用预算</w:t>
      </w:r>
    </w:p>
    <w:p>
      <w:pPr>
        <w:pageBreakBefore w:val="0"/>
        <w:numPr>
          <w:ilvl w:val="0"/>
          <w:numId w:val="0"/>
        </w:numPr>
        <w:wordWrap/>
        <w:spacing w:before="160" w:after="0"/>
        <w:ind w:leftChars="0" w:right="0" w:rightChars="0"/>
        <w:jc w:val="left"/>
        <w:textAlignment w:val="auto"/>
        <w:rPr>
          <w:rFonts w:hint="eastAsia"/>
          <w:sz w:val="24"/>
          <w:lang w:eastAsia="zh-CN"/>
        </w:rPr>
      </w:pPr>
      <w:r>
        <w:rPr>
          <w:rFonts w:hint="eastAsia"/>
          <w:sz w:val="24"/>
          <w:lang w:val="en-US" w:eastAsia="zh-CN"/>
        </w:rPr>
        <w:t>本次招标预算金额为限价12000.00元，其中分项</w:t>
      </w:r>
      <w:r>
        <w:rPr>
          <w:rFonts w:hint="eastAsia"/>
          <w:sz w:val="24"/>
          <w:lang w:eastAsia="zh-CN"/>
        </w:rPr>
        <w:t>报价汇总不允许超过招标预算价。</w:t>
      </w:r>
    </w:p>
    <w:tbl>
      <w:tblPr>
        <w:tblStyle w:val="14"/>
        <w:tblW w:w="8297"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9"/>
        <w:gridCol w:w="1357"/>
        <w:gridCol w:w="1083"/>
        <w:gridCol w:w="1247"/>
        <w:gridCol w:w="1247"/>
        <w:gridCol w:w="1250"/>
        <w:gridCol w:w="1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50" w:hRule="atLeast"/>
          <w:jc w:val="center"/>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Chars="0" w:right="0" w:rightChars="0"/>
              <w:jc w:val="center"/>
              <w:textAlignment w:val="auto"/>
              <w:rPr>
                <w:rFonts w:hint="eastAsia"/>
                <w:sz w:val="22"/>
                <w:szCs w:val="21"/>
              </w:rPr>
            </w:pPr>
            <w:r>
              <w:rPr>
                <w:rFonts w:hint="eastAsia"/>
                <w:sz w:val="22"/>
                <w:szCs w:val="21"/>
                <w:lang w:val="en-US" w:eastAsia="zh-CN"/>
              </w:rPr>
              <w:t>序号</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Chars="0" w:right="0" w:rightChars="0"/>
              <w:jc w:val="center"/>
              <w:textAlignment w:val="auto"/>
              <w:rPr>
                <w:rFonts w:hint="default"/>
                <w:sz w:val="22"/>
                <w:szCs w:val="21"/>
                <w:lang w:val="en-US"/>
              </w:rPr>
            </w:pPr>
            <w:r>
              <w:rPr>
                <w:rFonts w:hint="eastAsia"/>
                <w:sz w:val="22"/>
                <w:szCs w:val="21"/>
                <w:lang w:val="en-US" w:eastAsia="zh-CN"/>
              </w:rPr>
              <w:t>服务内容</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default"/>
                <w:sz w:val="22"/>
                <w:szCs w:val="21"/>
                <w:lang w:val="en-US"/>
              </w:rPr>
            </w:pPr>
            <w:r>
              <w:rPr>
                <w:rFonts w:hint="eastAsia"/>
                <w:sz w:val="22"/>
                <w:szCs w:val="21"/>
                <w:lang w:val="en-US" w:eastAsia="zh-CN"/>
              </w:rPr>
              <w:t>服务次数</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default"/>
                <w:sz w:val="22"/>
                <w:szCs w:val="21"/>
                <w:lang w:val="en-US" w:eastAsia="zh-CN"/>
              </w:rPr>
            </w:pPr>
            <w:r>
              <w:rPr>
                <w:rFonts w:hint="eastAsia"/>
                <w:sz w:val="22"/>
                <w:szCs w:val="21"/>
                <w:lang w:val="en-US" w:eastAsia="zh-CN"/>
              </w:rPr>
              <w:t>服务期限</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default"/>
                <w:sz w:val="22"/>
                <w:szCs w:val="21"/>
                <w:lang w:val="en-US"/>
              </w:rPr>
            </w:pPr>
            <w:r>
              <w:rPr>
                <w:rFonts w:hint="eastAsia"/>
                <w:sz w:val="22"/>
                <w:szCs w:val="21"/>
                <w:lang w:val="en-US" w:eastAsia="zh-CN"/>
              </w:rPr>
              <w:t>单次费用预算</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default"/>
                <w:sz w:val="22"/>
                <w:szCs w:val="21"/>
                <w:lang w:val="en-US"/>
              </w:rPr>
            </w:pPr>
            <w:r>
              <w:rPr>
                <w:rFonts w:hint="eastAsia"/>
                <w:sz w:val="22"/>
                <w:szCs w:val="21"/>
                <w:lang w:val="en-US" w:eastAsia="zh-CN"/>
              </w:rPr>
              <w:t>年度费用预算</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eastAsia"/>
                <w:sz w:val="22"/>
                <w:szCs w:val="21"/>
              </w:rPr>
            </w:pPr>
            <w:r>
              <w:rPr>
                <w:rFonts w:hint="eastAsia"/>
                <w:sz w:val="22"/>
                <w:szCs w:val="21"/>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65" w:hRule="atLeast"/>
          <w:jc w:val="center"/>
        </w:trPr>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Chars="0" w:right="0" w:rightChars="0"/>
              <w:jc w:val="center"/>
              <w:textAlignment w:val="auto"/>
              <w:rPr>
                <w:rFonts w:hint="eastAsia"/>
                <w:sz w:val="22"/>
                <w:szCs w:val="21"/>
                <w:lang w:val="en-US" w:eastAsia="zh-CN"/>
              </w:rPr>
            </w:pPr>
            <w:r>
              <w:rPr>
                <w:rFonts w:hint="eastAsia"/>
                <w:sz w:val="22"/>
                <w:szCs w:val="21"/>
                <w:lang w:val="en-US" w:eastAsia="zh-CN"/>
              </w:rPr>
              <w:t>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Chars="0" w:right="0" w:rightChars="0"/>
              <w:jc w:val="center"/>
              <w:textAlignment w:val="auto"/>
              <w:rPr>
                <w:rFonts w:hint="default"/>
                <w:sz w:val="22"/>
                <w:szCs w:val="21"/>
                <w:lang w:val="en-US" w:eastAsia="zh-CN"/>
              </w:rPr>
            </w:pPr>
            <w:r>
              <w:rPr>
                <w:rFonts w:hint="eastAsia"/>
                <w:sz w:val="22"/>
                <w:szCs w:val="21"/>
                <w:lang w:val="en-US" w:eastAsia="zh-CN"/>
              </w:rPr>
              <w:t>四害消杀</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default" w:ascii="宋体" w:hAnsi="宋体" w:eastAsia="宋体" w:cs="宋体"/>
                <w:sz w:val="22"/>
                <w:szCs w:val="21"/>
                <w:lang w:val="en-US"/>
              </w:rPr>
            </w:pPr>
            <w:r>
              <w:rPr>
                <w:rFonts w:hint="eastAsia" w:ascii="宋体" w:hAnsi="宋体" w:eastAsia="宋体" w:cs="宋体"/>
                <w:sz w:val="22"/>
                <w:szCs w:val="21"/>
                <w:lang w:val="en-US" w:eastAsia="zh-CN"/>
              </w:rPr>
              <w:t>48次</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default" w:ascii="宋体" w:hAnsi="宋体" w:eastAsia="宋体" w:cs="宋体"/>
                <w:sz w:val="22"/>
                <w:szCs w:val="21"/>
                <w:lang w:val="en-US" w:eastAsia="zh-CN"/>
              </w:rPr>
            </w:pPr>
            <w:r>
              <w:rPr>
                <w:rFonts w:hint="eastAsia" w:ascii="宋体" w:hAnsi="宋体" w:eastAsia="宋体" w:cs="宋体"/>
                <w:sz w:val="22"/>
                <w:szCs w:val="21"/>
                <w:lang w:val="en-US" w:eastAsia="zh-CN"/>
              </w:rPr>
              <w:t>1年</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eastAsia" w:ascii="宋体" w:hAnsi="宋体" w:eastAsia="宋体" w:cs="宋体"/>
                <w:sz w:val="22"/>
                <w:szCs w:val="21"/>
                <w:lang w:val="en-US" w:eastAsia="zh-CN"/>
              </w:rPr>
            </w:pPr>
            <w:r>
              <w:rPr>
                <w:rFonts w:hint="eastAsia" w:ascii="宋体" w:hAnsi="宋体" w:eastAsia="宋体" w:cs="宋体"/>
                <w:sz w:val="22"/>
                <w:szCs w:val="21"/>
                <w:lang w:val="en-US" w:eastAsia="zh-CN"/>
              </w:rPr>
              <w:t>250.00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eastAsia" w:ascii="宋体" w:hAnsi="宋体" w:eastAsia="宋体" w:cs="宋体"/>
                <w:sz w:val="22"/>
                <w:szCs w:val="21"/>
                <w:lang w:val="en-US" w:eastAsia="zh-CN"/>
              </w:rPr>
            </w:pPr>
            <w:r>
              <w:rPr>
                <w:rFonts w:hint="eastAsia" w:ascii="宋体" w:hAnsi="宋体" w:eastAsia="宋体" w:cs="宋体"/>
                <w:sz w:val="22"/>
                <w:szCs w:val="21"/>
                <w:lang w:val="en-US" w:eastAsia="zh-CN"/>
              </w:rPr>
              <w:t>12000.00</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numPr>
                <w:ilvl w:val="0"/>
                <w:numId w:val="0"/>
              </w:numPr>
              <w:wordWrap/>
              <w:spacing w:before="160" w:after="0"/>
              <w:ind w:left="0" w:leftChars="0" w:right="0" w:rightChars="0" w:firstLine="0" w:firstLineChars="0"/>
              <w:jc w:val="center"/>
              <w:textAlignment w:val="auto"/>
              <w:rPr>
                <w:rFonts w:hint="default" w:ascii="宋体" w:hAnsi="宋体" w:eastAsia="宋体" w:cs="宋体"/>
                <w:sz w:val="22"/>
                <w:szCs w:val="21"/>
                <w:lang w:val="en-US"/>
              </w:rPr>
            </w:pPr>
            <w:r>
              <w:rPr>
                <w:rFonts w:hint="eastAsia" w:ascii="宋体" w:hAnsi="宋体" w:eastAsia="宋体" w:cs="宋体"/>
                <w:sz w:val="22"/>
                <w:szCs w:val="21"/>
                <w:lang w:val="en-US" w:eastAsia="zh-CN"/>
              </w:rPr>
              <w:t>每月4次</w:t>
            </w:r>
          </w:p>
        </w:tc>
      </w:tr>
    </w:tbl>
    <w:p>
      <w:pPr>
        <w:pageBreakBefore w:val="0"/>
        <w:numPr>
          <w:ilvl w:val="0"/>
          <w:numId w:val="0"/>
        </w:numPr>
        <w:wordWrap/>
        <w:spacing w:before="160" w:after="0"/>
        <w:ind w:leftChars="0" w:right="0" w:rightChars="0"/>
        <w:jc w:val="left"/>
        <w:textAlignment w:val="auto"/>
        <w:rPr>
          <w:sz w:val="24"/>
        </w:rPr>
      </w:pPr>
    </w:p>
    <w:p>
      <w:pPr>
        <w:rPr>
          <w:rFonts w:hint="default"/>
          <w:lang w:val="en-US" w:eastAsia="zh-CN"/>
        </w:rPr>
      </w:pP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0053208E"/>
    <w:multiLevelType w:val="multilevel"/>
    <w:tmpl w:val="0053208E"/>
    <w:lvl w:ilvl="0" w:tentative="0">
      <w:start w:val="1"/>
      <w:numFmt w:val="decimal"/>
      <w:lvlText w:val="%1."/>
      <w:lvlJc w:val="left"/>
      <w:pPr>
        <w:ind w:left="440" w:hanging="440"/>
      </w:pPr>
    </w:lvl>
    <w:lvl w:ilvl="1" w:tentative="0">
      <w:start w:val="1"/>
      <w:numFmt w:val="decimal"/>
      <w:lvlText w:val="%1.%2."/>
      <w:lvlJc w:val="left"/>
      <w:pPr>
        <w:ind w:left="1100" w:hanging="660"/>
      </w:pPr>
    </w:lvl>
    <w:lvl w:ilvl="2" w:tentative="0">
      <w:start w:val="1"/>
      <w:numFmt w:val="decimal"/>
      <w:lvlRestart w:val="1"/>
      <w:lvlText w:val="%1.%2.%3."/>
      <w:lvlJc w:val="left"/>
      <w:pPr>
        <w:ind w:left="1760" w:hanging="880"/>
      </w:pPr>
    </w:lvl>
    <w:lvl w:ilvl="3" w:tentative="0">
      <w:start w:val="1"/>
      <w:numFmt w:val="decimal"/>
      <w:lvlRestart w:val="1"/>
      <w:lvlText w:val="%1.%2.%3.%4."/>
      <w:lvlJc w:val="left"/>
      <w:pPr>
        <w:ind w:left="2420" w:hanging="1100"/>
      </w:pPr>
    </w:lvl>
    <w:lvl w:ilvl="4" w:tentative="0">
      <w:start w:val="1"/>
      <w:numFmt w:val="decimal"/>
      <w:lvlRestart w:val="1"/>
      <w:lvlText w:val="%1.%2.%3.%4.%5."/>
      <w:lvlJc w:val="left"/>
      <w:pPr>
        <w:ind w:left="3080" w:hanging="1320"/>
      </w:pPr>
    </w:lvl>
    <w:lvl w:ilvl="5" w:tentative="0">
      <w:start w:val="1"/>
      <w:numFmt w:val="decimal"/>
      <w:lvlRestart w:val="1"/>
      <w:lvlText w:val="%1.%2.%3.%4.%5.%6."/>
      <w:lvlJc w:val="left"/>
      <w:pPr>
        <w:ind w:left="3740" w:hanging="1540"/>
      </w:pPr>
    </w:lvl>
    <w:lvl w:ilvl="6" w:tentative="0">
      <w:start w:val="1"/>
      <w:numFmt w:val="decimal"/>
      <w:lvlRestart w:val="1"/>
      <w:lvlText w:val="%1.%2.%3.%4.%5.%6.%7."/>
      <w:lvlJc w:val="left"/>
      <w:pPr>
        <w:ind w:left="4400" w:hanging="1760"/>
      </w:pPr>
    </w:lvl>
    <w:lvl w:ilvl="7" w:tentative="0">
      <w:start w:val="1"/>
      <w:numFmt w:val="decimal"/>
      <w:lvlRestart w:val="1"/>
      <w:lvlText w:val="%1.%2.%3.%4.%5.%6.%7.%8."/>
      <w:lvlJc w:val="left"/>
      <w:pPr>
        <w:ind w:left="5060" w:hanging="1980"/>
      </w:pPr>
    </w:lvl>
    <w:lvl w:ilvl="8" w:tentative="0">
      <w:start w:val="1"/>
      <w:numFmt w:val="decimal"/>
      <w:lvlRestart w:val="1"/>
      <w:lvlText w:val="%1.%2.%3.%4.%5.%6.%7.%8.%9."/>
      <w:lvlJc w:val="left"/>
      <w:pPr>
        <w:ind w:left="5720" w:hanging="2200"/>
      </w:pPr>
    </w:lvl>
  </w:abstractNum>
  <w:abstractNum w:abstractNumId="3">
    <w:nsid w:val="11BE8823"/>
    <w:multiLevelType w:val="singleLevel"/>
    <w:tmpl w:val="11BE8823"/>
    <w:lvl w:ilvl="0" w:tentative="0">
      <w:start w:val="1"/>
      <w:numFmt w:val="decimal"/>
      <w:lvlText w:val="%1."/>
      <w:lvlJc w:val="left"/>
      <w:pPr>
        <w:tabs>
          <w:tab w:val="left" w:pos="312"/>
        </w:tabs>
      </w:pPr>
    </w:lvl>
  </w:abstractNum>
  <w:abstractNum w:abstractNumId="4">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2B3E10"/>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A96CD8"/>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0</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2026-08-28T08:32:21Z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