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4017D">
      <w:pPr>
        <w:pStyle w:val="2"/>
        <w:bidi w:val="0"/>
        <w:spacing w:line="360" w:lineRule="auto"/>
        <w:jc w:val="center"/>
        <w:rPr>
          <w:rFonts w:hint="default"/>
          <w:sz w:val="32"/>
          <w:szCs w:val="18"/>
          <w:lang w:val="en-US" w:eastAsia="zh-CN"/>
        </w:rPr>
      </w:pPr>
      <w:r>
        <w:rPr>
          <w:rFonts w:hint="eastAsia"/>
          <w:sz w:val="32"/>
          <w:szCs w:val="18"/>
          <w:lang w:val="en-US" w:eastAsia="zh-CN"/>
        </w:rPr>
        <w:t>2026-2027铂悦香山案场石材地砖养护及木地板打蜡专项服务采购技术需求书</w:t>
      </w:r>
    </w:p>
    <w:p w14:paraId="4DCC1A03">
      <w:pPr>
        <w:pageBreakBefore w:val="0"/>
        <w:wordWrap/>
        <w:spacing w:before="160" w:after="0" w:line="360" w:lineRule="auto"/>
        <w:ind w:left="0" w:right="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一、项目概况</w:t>
      </w:r>
    </w:p>
    <w:p w14:paraId="39535B5D">
      <w:pPr>
        <w:pageBreakBefore w:val="0"/>
        <w:numPr>
          <w:ilvl w:val="0"/>
          <w:numId w:val="1"/>
        </w:numPr>
        <w:wordWrap/>
        <w:spacing w:before="160" w:after="0" w:line="360" w:lineRule="auto"/>
        <w:ind w:left="440" w:right="0" w:hanging="44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项目名称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：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铂悦香山案场</w:t>
      </w:r>
    </w:p>
    <w:p w14:paraId="057334F8">
      <w:pPr>
        <w:pageBreakBefore w:val="0"/>
        <w:numPr>
          <w:ilvl w:val="0"/>
          <w:numId w:val="1"/>
        </w:numPr>
        <w:wordWrap/>
        <w:spacing w:before="160" w:after="0" w:line="360" w:lineRule="auto"/>
        <w:ind w:left="440" w:right="0" w:hanging="44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项目地点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香洲区梅华东路与兴业路交叉口西南80米</w:t>
      </w:r>
    </w:p>
    <w:p w14:paraId="4B7FDDF7">
      <w:pPr>
        <w:pageBreakBefore w:val="0"/>
        <w:numPr>
          <w:ilvl w:val="0"/>
          <w:numId w:val="1"/>
        </w:numPr>
        <w:wordWrap/>
        <w:spacing w:before="160" w:after="0" w:line="360" w:lineRule="auto"/>
        <w:ind w:left="440" w:right="0" w:hanging="44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服务期限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：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1年，进场时间以甲方通知为准</w:t>
      </w:r>
    </w:p>
    <w:p w14:paraId="630F5EF2">
      <w:pPr>
        <w:pageBreakBefore w:val="0"/>
        <w:numPr>
          <w:ilvl w:val="-1"/>
          <w:numId w:val="0"/>
        </w:numPr>
        <w:wordWrap/>
        <w:spacing w:before="160" w:after="0"/>
        <w:ind w:left="0" w:right="0" w:firstLine="0"/>
        <w:jc w:val="left"/>
        <w:textAlignment w:val="auto"/>
        <w:rPr>
          <w:sz w:val="24"/>
        </w:rPr>
      </w:pPr>
    </w:p>
    <w:p w14:paraId="1475DA48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二</w:t>
      </w:r>
      <w:r>
        <w:rPr>
          <w:rFonts w:hint="eastAsia" w:ascii="宋体" w:hAnsi="宋体" w:eastAsia="宋体" w:cs="宋体"/>
          <w:b/>
          <w:i w:val="0"/>
          <w:spacing w:val="0"/>
          <w:sz w:val="24"/>
        </w:rPr>
        <w:t xml:space="preserve"> 、采购范围及内容</w:t>
      </w:r>
    </w:p>
    <w:p w14:paraId="04FC17D8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1.石材地砖养护与翻新：</w:t>
      </w:r>
    </w:p>
    <w:p w14:paraId="612CE940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对各类天然石材（如大理石、花岗岩）及人造石材地面进行清洁、研磨、结晶硬化处理，以保持其光泽度和耐磨性。</w:t>
      </w:r>
    </w:p>
    <w:p w14:paraId="43C06752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针对石材出现的返碱、锈斑、划痕、污渍渗透、沉降发黑等病变进行专项治理与修复。</w:t>
      </w:r>
    </w:p>
    <w:p w14:paraId="3E1B2A9C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对室外麻石等粗糙面石材进行深度清洁及防渗透处理。</w:t>
      </w:r>
    </w:p>
    <w:p w14:paraId="4A06204D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2.木地板打蜡与抛光：</w:t>
      </w:r>
    </w:p>
    <w:p w14:paraId="6AA17013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对木质地板进行彻底的清洁、打磨抛光，去除表面污渍及细微划痕，恢复地板原有光泽。</w:t>
      </w:r>
    </w:p>
    <w:p w14:paraId="55E9AA5F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使用符合环保标准的专用蜡品进行均匀涂布，确保蜡层附着力强、防滑耐磨、光亮持久。</w:t>
      </w:r>
    </w:p>
    <w:p w14:paraId="71BFAF2C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</w:p>
    <w:p w14:paraId="3097DD91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 xml:space="preserve"> 三、服务要求</w:t>
      </w:r>
    </w:p>
    <w:p w14:paraId="5EF491CA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1.质量标准：</w:t>
      </w:r>
    </w:p>
    <w:p w14:paraId="13D3B193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 w:val="0"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bCs w:val="0"/>
          <w:i w:val="0"/>
          <w:spacing w:val="0"/>
          <w:sz w:val="24"/>
          <w:lang w:val="en-US" w:eastAsia="zh-CN"/>
        </w:rPr>
        <w:t>大理石晶面养护标准</w:t>
      </w:r>
      <w:r>
        <w:rPr>
          <w:rFonts w:hint="eastAsia" w:ascii="宋体" w:hAnsi="宋体" w:eastAsia="宋体" w:cs="宋体"/>
          <w:b/>
          <w:bCs w:val="0"/>
          <w:i w:val="0"/>
          <w:spacing w:val="0"/>
          <w:sz w:val="24"/>
        </w:rPr>
        <w:t>：</w:t>
      </w:r>
    </w:p>
    <w:p w14:paraId="3383B670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光泽度：表面应清澈透亮，呈现镜面效果，光泽度平均需达到85度以上（最低不低于80度），基本达到新出厂石材的标准 。</w:t>
      </w:r>
    </w:p>
    <w:p w14:paraId="3DD78368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硬度与平整度：晶硬层应耐磨、防滑，普通行走或硬物不易造成划痕；表面平整度误差不大于1mm/2m 。</w:t>
      </w:r>
    </w:p>
    <w:p w14:paraId="59E3DB1C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抗污性能：封闭石材表层气孔后，常见污渍（如酱油、食用油、水渍）在表面停留24小时不应发生渗透 。</w:t>
      </w:r>
    </w:p>
    <w:p w14:paraId="50B5E959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 w:val="0"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bCs w:val="0"/>
          <w:i w:val="0"/>
          <w:spacing w:val="0"/>
          <w:sz w:val="24"/>
          <w:lang w:val="en-US" w:eastAsia="zh-CN"/>
        </w:rPr>
        <w:t>病变石材养护标准</w:t>
      </w:r>
      <w:r>
        <w:rPr>
          <w:rFonts w:hint="eastAsia" w:ascii="宋体" w:hAnsi="宋体" w:eastAsia="宋体" w:cs="宋体"/>
          <w:b/>
          <w:bCs w:val="0"/>
          <w:i w:val="0"/>
          <w:spacing w:val="0"/>
          <w:sz w:val="24"/>
        </w:rPr>
        <w:t>：</w:t>
      </w:r>
    </w:p>
    <w:p w14:paraId="60869D03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外观检测：修复区域与原石材应无明显色差，表面平整无凸起，距0.5米处目视无可见修补痕迹或磨痕 。</w:t>
      </w:r>
    </w:p>
    <w:p w14:paraId="4AFF82CB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光泽度恢复：经过修补和重新结晶抛光后，石材表面光泽度应恢复至8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0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度以上，且倒影清晰无扭曲 。</w:t>
      </w:r>
    </w:p>
    <w:p w14:paraId="469D1DD8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防护性能测试：在治理后的石材表面滴上水、油或碳酸饮料，静置30分钟以上，液滴应保持珠状无下渗现象，证明防水防污性能达标 。</w:t>
      </w:r>
    </w:p>
    <w:p w14:paraId="16304EC4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 w:val="0"/>
          <w:i w:val="0"/>
          <w:spacing w:val="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spacing w:val="0"/>
          <w:sz w:val="24"/>
          <w:lang w:val="en-US" w:eastAsia="zh-CN"/>
        </w:rPr>
        <w:t>木地板打蜡养护标准：</w:t>
      </w:r>
    </w:p>
    <w:p w14:paraId="6D4AB72A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外观光泽度：地板表面应清澈透亮，光泽均匀，无明显色差、浓淡不均或漏涂现象。</w:t>
      </w:r>
    </w:p>
    <w:p w14:paraId="3B4A515C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表面平整度：蜡层固化后应平整光滑，无蜡块堆积、无“斑马线”状圈痕、无泛白或起雾现象 。</w:t>
      </w:r>
    </w:p>
    <w:p w14:paraId="7C696FF0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触感与防滑性：光脚踩踏应感觉温润顺滑，且具备良好的防滑性能，不应有黏脚或过度打滑的现象 。</w:t>
      </w:r>
    </w:p>
    <w:p w14:paraId="059CD081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2.服务频次：</w:t>
      </w:r>
    </w:p>
    <w:p w14:paraId="16D27DD1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售楼中心户内大理石晶面养护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，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每月1次；病变石材养护半年1次；木地板打蜡半年1次；具体时间安排由甲方通知为准。</w:t>
      </w:r>
    </w:p>
    <w:p w14:paraId="4F3A5C5B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3.作业规范：</w:t>
      </w:r>
    </w:p>
    <w:p w14:paraId="3F9A0031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作业期间需做好周边环境的成品保护，避免对家具、墙面及未施工区域造成污染或损坏。</w:t>
      </w:r>
    </w:p>
    <w:p w14:paraId="08A8EE96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使用的清洁剂、晶面剂、地板蜡等物料需为中性环保产品，并提供产品合格证明及检测报告，严禁腐蚀性材料损伤地面。</w:t>
      </w:r>
    </w:p>
    <w:p w14:paraId="1BAAE2E0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服务人员身体健康，形象良好，无吸毒史、无纹身，服务期间不得出现酗酒、打架斗殴、发生争吵等不文明行为，服从招标人及现场管理。</w:t>
      </w:r>
    </w:p>
    <w:p w14:paraId="72FDEC32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default" w:eastAsia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中标人需为服务人员购买社保或意外险/商业险，且由中标人承担用工的所有风险（不仅限于工伤、解雇风险等）。</w:t>
      </w:r>
    </w:p>
    <w:p w14:paraId="5C9493FA">
      <w:pPr>
        <w:pageBreakBefore w:val="0"/>
        <w:numPr>
          <w:ilvl w:val="0"/>
          <w:numId w:val="2"/>
        </w:numPr>
        <w:tabs>
          <w:tab w:val="left" w:pos="2673"/>
        </w:tabs>
        <w:wordWrap/>
        <w:spacing w:before="160" w:after="0"/>
        <w:ind w:leftChars="0" w:right="0" w:rightChars="0"/>
        <w:jc w:val="left"/>
        <w:textAlignment w:val="auto"/>
        <w:rPr>
          <w:rFonts w:hint="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</w:rPr>
        <w:t>费用预算</w:t>
      </w:r>
    </w:p>
    <w:p w14:paraId="46531CF3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/>
        <w:jc w:val="left"/>
        <w:textAlignment w:val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val="en-US" w:eastAsia="zh-CN"/>
        </w:rPr>
        <w:t>本次招标预算金额为限价103620.00元，其中分项</w:t>
      </w:r>
      <w:r>
        <w:rPr>
          <w:rFonts w:hint="eastAsia"/>
          <w:sz w:val="24"/>
          <w:lang w:eastAsia="zh-CN"/>
        </w:rPr>
        <w:t>报价汇总不允许超过招标预算价。</w:t>
      </w:r>
    </w:p>
    <w:tbl>
      <w:tblPr>
        <w:tblStyle w:val="6"/>
        <w:tblW w:w="85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417"/>
        <w:gridCol w:w="1134"/>
        <w:gridCol w:w="1304"/>
        <w:gridCol w:w="1304"/>
        <w:gridCol w:w="1531"/>
        <w:gridCol w:w="1134"/>
      </w:tblGrid>
      <w:tr w14:paraId="592DC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E5BCE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E89A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服务内容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BCACB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面积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DF2E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服务次数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38FE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单次费用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CE89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年度费用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D854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备注</w:t>
            </w:r>
          </w:p>
        </w:tc>
      </w:tr>
      <w:tr w14:paraId="0C920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5188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CADC2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大理石晶面养护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4170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933㎡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B05E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12次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E3E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7000.00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4840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84000.00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98ED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每月1次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</w:tr>
      <w:tr w14:paraId="01550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210A5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6F81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病变石材养护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E852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200㎡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8F9B2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2次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0AD5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5700.00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4473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11400.00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E34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半年1次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</w:tr>
      <w:tr w14:paraId="701C1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F231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1508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木地板打蜡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0E94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411㎡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F6DD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2次</w:t>
            </w:r>
            <w:bookmarkStart w:id="0" w:name="_GoBack"/>
            <w:bookmarkEnd w:id="0"/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AB90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4110.00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E803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8220.00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2D97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半年1次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</w:tr>
      <w:tr w14:paraId="3924C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1E8BA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1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6835B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AC6A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103620.00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64C7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</w:p>
        </w:tc>
      </w:tr>
    </w:tbl>
    <w:p w14:paraId="66579DD1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/>
        <w:jc w:val="left"/>
        <w:textAlignment w:val="auto"/>
        <w:rPr>
          <w:sz w:val="24"/>
        </w:rPr>
      </w:pPr>
    </w:p>
    <w:p w14:paraId="67581255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/>
        <w:jc w:val="left"/>
        <w:textAlignment w:val="auto"/>
        <w:rPr>
          <w:sz w:val="24"/>
        </w:rPr>
      </w:pPr>
    </w:p>
    <w:p w14:paraId="6E5D85FD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/>
        <w:jc w:val="left"/>
        <w:textAlignment w:val="auto"/>
        <w:rPr>
          <w:sz w:val="24"/>
        </w:rPr>
      </w:pPr>
    </w:p>
    <w:p w14:paraId="3EC9EBB8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/>
        <w:jc w:val="left"/>
        <w:textAlignment w:val="auto"/>
        <w:rPr>
          <w:sz w:val="24"/>
        </w:rPr>
      </w:pPr>
    </w:p>
    <w:p w14:paraId="387B8FEC">
      <w:pPr>
        <w:pageBreakBefore w:val="0"/>
        <w:numPr>
          <w:ilvl w:val="0"/>
          <w:numId w:val="2"/>
        </w:numPr>
        <w:wordWrap/>
        <w:spacing w:before="160" w:after="0"/>
        <w:ind w:left="0" w:right="0"/>
        <w:jc w:val="left"/>
        <w:textAlignment w:val="auto"/>
        <w:rPr>
          <w:rFonts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  <w:lang w:val="en-US" w:eastAsia="zh-CN"/>
        </w:rPr>
        <w:t>考核结算规则</w:t>
      </w:r>
    </w:p>
    <w:p w14:paraId="24EBA016">
      <w:pPr>
        <w:pageBreakBefore w:val="0"/>
        <w:numPr>
          <w:ilvl w:val="-1"/>
          <w:numId w:val="0"/>
        </w:numPr>
        <w:wordWrap/>
        <w:spacing w:before="160" w:after="0"/>
        <w:ind w:left="0" w:right="0"/>
        <w:jc w:val="left"/>
        <w:textAlignment w:val="auto"/>
        <w:rPr>
          <w:rFonts w:ascii="宋体" w:hAnsi="宋体" w:eastAsia="宋体" w:cs="宋体"/>
          <w:b/>
          <w:i w:val="0"/>
          <w:spacing w:val="0"/>
          <w:sz w:val="24"/>
        </w:rPr>
      </w:pP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2847"/>
        <w:gridCol w:w="1521"/>
        <w:gridCol w:w="2238"/>
      </w:tblGrid>
      <w:tr w14:paraId="75792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000" w:type="pct"/>
            <w:gridSpan w:val="4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38FBAD04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大理石晶面养护考核细则</w:t>
            </w:r>
          </w:p>
        </w:tc>
      </w:tr>
      <w:tr w14:paraId="00AAF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21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773921A8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2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考核项目</w:t>
            </w:r>
          </w:p>
        </w:tc>
        <w:tc>
          <w:tcPr>
            <w:tcW w:w="1715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0387FE14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2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考核标准与要求</w:t>
            </w:r>
          </w:p>
        </w:tc>
        <w:tc>
          <w:tcPr>
            <w:tcW w:w="91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5FC3F088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2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扣分规则</w:t>
            </w:r>
          </w:p>
        </w:tc>
        <w:tc>
          <w:tcPr>
            <w:tcW w:w="134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3F1A01D7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2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备注/验收标准</w:t>
            </w:r>
          </w:p>
        </w:tc>
      </w:tr>
      <w:tr w14:paraId="29BE9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21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6B945333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光泽度与平整度</w:t>
            </w:r>
          </w:p>
        </w:tc>
        <w:tc>
          <w:tcPr>
            <w:tcW w:w="1715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6B6A109B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表面清澈透亮，呈现镜面效果；光泽度平均≥85度，平整度误差不大于1mm/2m</w:t>
            </w:r>
          </w:p>
        </w:tc>
        <w:tc>
          <w:tcPr>
            <w:tcW w:w="91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4EEC0C54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1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未达标每平米扣50元</w:t>
            </w:r>
          </w:p>
        </w:tc>
        <w:tc>
          <w:tcPr>
            <w:tcW w:w="134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10004224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最低不低于80度</w:t>
            </w:r>
          </w:p>
        </w:tc>
      </w:tr>
      <w:tr w14:paraId="23087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21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1F41C5C2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结晶层质量</w:t>
            </w:r>
          </w:p>
        </w:tc>
        <w:tc>
          <w:tcPr>
            <w:tcW w:w="1715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7A7354C7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晶硬层耐磨、防滑，无划痕；无机械磨痕或蜡层堆积</w:t>
            </w:r>
          </w:p>
        </w:tc>
        <w:tc>
          <w:tcPr>
            <w:tcW w:w="91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4EAE4122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每处扣50元</w:t>
            </w:r>
          </w:p>
        </w:tc>
        <w:tc>
          <w:tcPr>
            <w:tcW w:w="134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433BA0DA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普通行走或硬物不易造成划痕</w:t>
            </w:r>
          </w:p>
        </w:tc>
      </w:tr>
      <w:tr w14:paraId="7C866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21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313F5049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抗污与固化</w:t>
            </w:r>
          </w:p>
        </w:tc>
        <w:tc>
          <w:tcPr>
            <w:tcW w:w="1715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71ED5F70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常见污渍（茶水、果汁等）在表面停留24小时无渗透；固化期内禁止踩踏或放置重物</w:t>
            </w:r>
          </w:p>
        </w:tc>
        <w:tc>
          <w:tcPr>
            <w:tcW w:w="91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047DBC53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固化期违规每次扣50元</w:t>
            </w:r>
          </w:p>
        </w:tc>
        <w:tc>
          <w:tcPr>
            <w:tcW w:w="134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7071F101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封闭表层气孔后做抗污测试</w:t>
            </w:r>
          </w:p>
        </w:tc>
      </w:tr>
      <w:tr w14:paraId="27D00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21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6870A192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安全与文明施工</w:t>
            </w:r>
          </w:p>
        </w:tc>
        <w:tc>
          <w:tcPr>
            <w:tcW w:w="1715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034C6DDD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设置明显"正在施工，请勿靠近"警示牌；严禁使用酸性或强碱性清洁剂</w:t>
            </w:r>
          </w:p>
        </w:tc>
        <w:tc>
          <w:tcPr>
            <w:tcW w:w="91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225DEAD4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未设置“警示牌”每次扣50元；违规使用一次扣100元</w:t>
            </w:r>
          </w:p>
        </w:tc>
        <w:tc>
          <w:tcPr>
            <w:tcW w:w="134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71FC887F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造成石材腐蚀按原价赔偿</w:t>
            </w:r>
          </w:p>
        </w:tc>
      </w:tr>
      <w:tr w14:paraId="19DD4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21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3120443C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工完场清</w:t>
            </w:r>
          </w:p>
        </w:tc>
        <w:tc>
          <w:tcPr>
            <w:tcW w:w="1715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62FCB1B1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施工完毕后清理遗留垃圾和工具，恢复现场整洁</w:t>
            </w:r>
          </w:p>
        </w:tc>
        <w:tc>
          <w:tcPr>
            <w:tcW w:w="91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0EB3A153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每次扣50元</w:t>
            </w:r>
          </w:p>
        </w:tc>
        <w:tc>
          <w:tcPr>
            <w:tcW w:w="1346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30EDA821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both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做到"工完场清"</w:t>
            </w:r>
          </w:p>
        </w:tc>
      </w:tr>
    </w:tbl>
    <w:p w14:paraId="217292D6">
      <w:r>
        <w:br w:type="page"/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2760"/>
        <w:gridCol w:w="1474"/>
        <w:gridCol w:w="2421"/>
      </w:tblGrid>
      <w:tr w14:paraId="303BE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000" w:type="pct"/>
            <w:gridSpan w:val="4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622F2486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color w:val="auto"/>
                <w:sz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lang w:val="en-US" w:eastAsia="zh-CN"/>
              </w:rPr>
              <w:t>木地板打蜡养护考核细则</w:t>
            </w:r>
          </w:p>
        </w:tc>
      </w:tr>
      <w:tr w14:paraId="16A66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4D9DBCDE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lang w:val="en-US" w:eastAsia="zh-CN"/>
              </w:rPr>
              <w:t>考核项目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52AB62B7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lang w:val="en-US" w:eastAsia="zh-CN"/>
              </w:rPr>
              <w:t>考核标准与要求</w:t>
            </w:r>
          </w:p>
        </w:tc>
        <w:tc>
          <w:tcPr>
            <w:tcW w:w="88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6AE42D94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lang w:val="en-US" w:eastAsia="zh-CN"/>
              </w:rPr>
              <w:t>扣分规则</w:t>
            </w:r>
          </w:p>
        </w:tc>
        <w:tc>
          <w:tcPr>
            <w:tcW w:w="145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4282DC11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lang w:val="en-US" w:eastAsia="zh-CN"/>
              </w:rPr>
              <w:t>备注/验收标准</w:t>
            </w:r>
          </w:p>
        </w:tc>
      </w:tr>
      <w:tr w14:paraId="5F77C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56993DF7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表面质感与外观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21E3AE0A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蜡层固化后平整光滑，无"斑马线"圈痕、无泛白起雾、无漏涂</w:t>
            </w:r>
          </w:p>
        </w:tc>
        <w:tc>
          <w:tcPr>
            <w:tcW w:w="88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19CA3AF5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每处扣50元</w:t>
            </w:r>
          </w:p>
        </w:tc>
        <w:tc>
          <w:tcPr>
            <w:tcW w:w="145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71E49CA0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强化复合地板严禁打蜡</w:t>
            </w:r>
          </w:p>
        </w:tc>
      </w:tr>
      <w:tr w14:paraId="43D1F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304AB63C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防滑与触感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6E861164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光脚踩踏温润顺滑，具备良好防滑性能；无黏脚或过度打滑现象</w:t>
            </w:r>
          </w:p>
        </w:tc>
        <w:tc>
          <w:tcPr>
            <w:tcW w:w="88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00F24875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每次扣50元</w:t>
            </w:r>
          </w:p>
        </w:tc>
        <w:tc>
          <w:tcPr>
            <w:tcW w:w="145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026B8E4A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实木/实木复合地板适用</w:t>
            </w:r>
          </w:p>
        </w:tc>
      </w:tr>
      <w:tr w14:paraId="52325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1637163B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环境与安全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45F5E0C2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严禁在湿度&gt;70%或温度&lt;5℃环境下施工；施工前需做局部试涂</w:t>
            </w:r>
          </w:p>
        </w:tc>
        <w:tc>
          <w:tcPr>
            <w:tcW w:w="88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36BC9E2B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违规每次扣50元</w:t>
            </w:r>
          </w:p>
        </w:tc>
        <w:tc>
          <w:tcPr>
            <w:tcW w:w="145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75FF6E0C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湿度过高导致蜡层泛白起雾</w:t>
            </w:r>
          </w:p>
        </w:tc>
      </w:tr>
      <w:tr w14:paraId="1A542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6138087A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安全与文明施工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55FDB839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设置明显"正在施工，请勿靠近"警示牌；严禁使用酸性或强碱性清洁剂</w:t>
            </w:r>
          </w:p>
        </w:tc>
        <w:tc>
          <w:tcPr>
            <w:tcW w:w="1474" w:type="dxa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41C8B6CA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未设置“警示牌”每次扣50元；违规使用一次扣100元</w:t>
            </w:r>
          </w:p>
        </w:tc>
        <w:tc>
          <w:tcPr>
            <w:tcW w:w="145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7D8E0F40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造成石材腐蚀按原价赔偿</w:t>
            </w:r>
          </w:p>
        </w:tc>
      </w:tr>
      <w:tr w14:paraId="2EC0A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2EA3052B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工完场清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6EAD1481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施工完毕后清理遗留垃圾和工具，恢复现场整洁</w:t>
            </w:r>
          </w:p>
        </w:tc>
        <w:tc>
          <w:tcPr>
            <w:tcW w:w="1474" w:type="dxa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2E9E0020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每次扣50元</w:t>
            </w:r>
          </w:p>
        </w:tc>
        <w:tc>
          <w:tcPr>
            <w:tcW w:w="1458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2D5F8A" w:fill="auto"/>
            <w:vAlign w:val="center"/>
          </w:tcPr>
          <w:p w14:paraId="79BDC33D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lang w:val="en-US" w:eastAsia="zh-CN"/>
              </w:rPr>
              <w:t>做到"工完场清"</w:t>
            </w:r>
          </w:p>
        </w:tc>
      </w:tr>
    </w:tbl>
    <w:p w14:paraId="1AD0AE8A">
      <w:r>
        <w:br w:type="page"/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2761"/>
        <w:gridCol w:w="1472"/>
        <w:gridCol w:w="2424"/>
      </w:tblGrid>
      <w:tr w14:paraId="4B65B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000" w:type="pct"/>
            <w:gridSpan w:val="4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09D13F4B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病变石材养护考核细则</w:t>
            </w:r>
          </w:p>
        </w:tc>
      </w:tr>
      <w:tr w14:paraId="1ED6F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6B7B4AAC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考核项目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57F536B6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考核标准与要求</w:t>
            </w:r>
          </w:p>
        </w:tc>
        <w:tc>
          <w:tcPr>
            <w:tcW w:w="887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58F18644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扣分规则</w:t>
            </w:r>
          </w:p>
        </w:tc>
        <w:tc>
          <w:tcPr>
            <w:tcW w:w="1457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088E22F1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1"/>
                <w:lang w:val="en-US" w:eastAsia="zh-CN"/>
              </w:rPr>
              <w:t>备注/验收标准</w:t>
            </w:r>
          </w:p>
        </w:tc>
      </w:tr>
      <w:tr w14:paraId="13993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3CA8679F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病变消除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13F76A92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锈斑、泛碱、水斑等病变需彻底清除；修复区域与原石材无明显色差</w:t>
            </w:r>
          </w:p>
        </w:tc>
        <w:tc>
          <w:tcPr>
            <w:tcW w:w="887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09166354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距0.5米处目视有可见修补痕迹，每扣50元</w:t>
            </w:r>
          </w:p>
        </w:tc>
        <w:tc>
          <w:tcPr>
            <w:tcW w:w="1457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1A730DB0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修复后需打磨平整</w:t>
            </w:r>
          </w:p>
        </w:tc>
      </w:tr>
      <w:tr w14:paraId="0AD6E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10D06922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防护性能测试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2FD66AA6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治理后表面滴水测试，30分钟内液滴保持珠状无下渗</w:t>
            </w:r>
          </w:p>
        </w:tc>
        <w:tc>
          <w:tcPr>
            <w:tcW w:w="887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6BC5AD82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未达标每平米扣50元</w:t>
            </w:r>
          </w:p>
        </w:tc>
        <w:tc>
          <w:tcPr>
            <w:tcW w:w="1457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16F73366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防水防污性能达标</w:t>
            </w:r>
          </w:p>
        </w:tc>
      </w:tr>
      <w:tr w14:paraId="5DE1A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7578B688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现场安全管理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3335582B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设置明显"正在施工，请勿靠近"警示牌；严禁使用酸性或强碱性清洁剂</w:t>
            </w:r>
          </w:p>
        </w:tc>
        <w:tc>
          <w:tcPr>
            <w:tcW w:w="1474" w:type="dxa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7AFA1876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未设置“警示牌”每次扣50元；违规使用一次扣100元</w:t>
            </w:r>
          </w:p>
        </w:tc>
        <w:tc>
          <w:tcPr>
            <w:tcW w:w="1457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7D672E45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造成石材腐蚀按原价赔偿</w:t>
            </w:r>
          </w:p>
        </w:tc>
      </w:tr>
      <w:tr w14:paraId="0F10A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0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00221A59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工完场清</w:t>
            </w:r>
          </w:p>
        </w:tc>
        <w:tc>
          <w:tcPr>
            <w:tcW w:w="1663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37297D5A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施工完毕后清理遗留垃圾和工具，恢复现场整洁</w:t>
            </w:r>
          </w:p>
        </w:tc>
        <w:tc>
          <w:tcPr>
            <w:tcW w:w="1474" w:type="dxa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74652BB2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每次扣50元</w:t>
            </w:r>
          </w:p>
        </w:tc>
        <w:tc>
          <w:tcPr>
            <w:tcW w:w="1457" w:type="pct"/>
            <w:tcBorders>
              <w:top w:val="single" w:color="B0C4DE" w:sz="4" w:space="0"/>
              <w:left w:val="single" w:color="B0C4DE" w:sz="4" w:space="0"/>
              <w:bottom w:val="single" w:color="B0C4DE" w:sz="4" w:space="0"/>
              <w:right w:val="single" w:color="B0C4DE" w:sz="4" w:space="0"/>
            </w:tcBorders>
            <w:shd w:val="clear" w:color="auto" w:fill="auto"/>
            <w:vAlign w:val="center"/>
          </w:tcPr>
          <w:p w14:paraId="63E04746">
            <w:pPr>
              <w:pageBreakBefore w:val="0"/>
              <w:numPr>
                <w:ilvl w:val="-1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做到"工完场清"</w:t>
            </w:r>
          </w:p>
        </w:tc>
      </w:tr>
    </w:tbl>
    <w:p w14:paraId="037CA67A">
      <w:pPr>
        <w:pageBreakBefore w:val="0"/>
        <w:numPr>
          <w:ilvl w:val="-1"/>
          <w:numId w:val="0"/>
        </w:numPr>
        <w:wordWrap/>
        <w:spacing w:before="160" w:after="0"/>
        <w:ind w:left="0" w:right="0" w:firstLine="0"/>
        <w:jc w:val="left"/>
        <w:textAlignment w:val="auto"/>
        <w:rPr>
          <w:sz w:val="24"/>
        </w:rPr>
      </w:pPr>
    </w:p>
    <w:sectPr>
      <w:headerReference r:id="rId3" w:type="default"/>
      <w:footerReference r:id="rId4" w:type="default"/>
      <w:pgSz w:w="1190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2F42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E428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>
    <w:nsid w:val="5D488C64"/>
    <w:multiLevelType w:val="singleLevel"/>
    <w:tmpl w:val="5D488C6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43B2EC3"/>
    <w:rsid w:val="096A5B7B"/>
    <w:rsid w:val="0A7E3AF3"/>
    <w:rsid w:val="0DE11273"/>
    <w:rsid w:val="0E5B4877"/>
    <w:rsid w:val="12D93FBD"/>
    <w:rsid w:val="13B028D2"/>
    <w:rsid w:val="161F43DC"/>
    <w:rsid w:val="16FB31F1"/>
    <w:rsid w:val="193E2DCB"/>
    <w:rsid w:val="1EF91119"/>
    <w:rsid w:val="252C4420"/>
    <w:rsid w:val="27420F0A"/>
    <w:rsid w:val="289525E6"/>
    <w:rsid w:val="2A1A49BC"/>
    <w:rsid w:val="2E0769BC"/>
    <w:rsid w:val="303A6FB9"/>
    <w:rsid w:val="36A94BA3"/>
    <w:rsid w:val="3B1D0143"/>
    <w:rsid w:val="3DAE5EC2"/>
    <w:rsid w:val="3FDD483D"/>
    <w:rsid w:val="422618C7"/>
    <w:rsid w:val="437157F8"/>
    <w:rsid w:val="460F3276"/>
    <w:rsid w:val="51644902"/>
    <w:rsid w:val="52085E9F"/>
    <w:rsid w:val="555313D1"/>
    <w:rsid w:val="5C5D6E1A"/>
    <w:rsid w:val="601E1850"/>
    <w:rsid w:val="603D6F06"/>
    <w:rsid w:val="62F81472"/>
    <w:rsid w:val="700D06CA"/>
    <w:rsid w:val="705C65CE"/>
    <w:rsid w:val="72903AFE"/>
    <w:rsid w:val="7732719B"/>
    <w:rsid w:val="7E0C7AC0"/>
    <w:rsid w:val="7FAA75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0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2032</Words>
  <Characters>2154</Characters>
  <TotalTime>2</TotalTime>
  <ScaleCrop>false</ScaleCrop>
  <LinksUpToDate>false</LinksUpToDate>
  <CharactersWithSpaces>2164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2026-06-03T03:40:00Z</dcterms:created>
  <dc:creator>Apache POI</dc:creator>
  <cp:lastModifiedBy>ぃ    空白丶</cp:lastModifiedBy>
  <dcterms:modified xsi:type="dcterms:W3CDTF">2026-08-21T10:18:28Z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LbpyrRzuvLgkRUhz2pIakXpnoNtycWllbhQWx9qGgsU=","ProduceID":"doc_sgs:a988ad48-d9b8-4016-b364-eeab41906b45","ReservedCode2":"LbpyrRzuvLgkRUhz2pIakXpnoNtycWllbhQWx9qGgsU=","PropagateID":"doc_sgs:a988ad48-d9b8-4016-b364-eeab41906b45","ContentProducer":"001191440101MA9Y9T4H7A00000"}</vt:lpwstr>
  </property>
  <property fmtid="{D5CDD505-2E9C-101B-9397-08002B2CF9AE}" pid="3" name="KSOTemplateDocerSaveRecord">
    <vt:lpwstr>eyJoZGlkIjoiMDY3ODlhYzIxZmQ0ZmQ3NzAyYzk4NDhjNzA4ODNiOGQiLCJ1c2VySWQiOiIzMzg3NjI4MzUifQ==</vt:lpwstr>
  </property>
  <property fmtid="{D5CDD505-2E9C-101B-9397-08002B2CF9AE}" pid="4" name="KSOProductBuildVer">
    <vt:lpwstr>2052-12.1.0.28043</vt:lpwstr>
  </property>
  <property fmtid="{D5CDD505-2E9C-101B-9397-08002B2CF9AE}" pid="5" name="ICV">
    <vt:lpwstr>C042E1860F0C427AB483F44A3FD17AFD_12</vt:lpwstr>
  </property>
</Properties>
</file>