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F2AF2">
      <w:pPr>
        <w:spacing w:before="0" w:after="240" w:line="300" w:lineRule="auto"/>
        <w:jc w:val="center"/>
      </w:pPr>
      <w:r>
        <w:rPr>
          <w:rFonts w:ascii="黑体" w:hAnsi="黑体" w:eastAsia="黑体"/>
          <w:b/>
          <w:sz w:val="32"/>
        </w:rPr>
        <w:t>箱变及电力迁改工程招标技术要求</w:t>
      </w:r>
    </w:p>
    <w:p w14:paraId="16595352">
      <w:pPr>
        <w:spacing w:before="160" w:after="60" w:line="300" w:lineRule="auto"/>
        <w:jc w:val="left"/>
      </w:pPr>
      <w:r>
        <w:rPr>
          <w:rFonts w:ascii="黑体" w:hAnsi="黑体" w:eastAsia="黑体"/>
          <w:b/>
          <w:sz w:val="24"/>
        </w:rPr>
        <w:t>一、项目概况</w:t>
      </w:r>
    </w:p>
    <w:p w14:paraId="36027D1A">
      <w:pPr>
        <w:spacing w:before="0" w:after="40" w:line="300" w:lineRule="auto"/>
        <w:ind w:firstLine="420"/>
        <w:jc w:val="both"/>
      </w:pPr>
      <w:r>
        <w:rPr>
          <w:rFonts w:ascii="宋体" w:hAnsi="宋体" w:eastAsia="宋体"/>
          <w:b w:val="0"/>
          <w:sz w:val="21"/>
        </w:rPr>
        <w:t>本项目包含三条道路，为均昌路、广湾街、新翠路。其中均昌路北起珠海大道辅道，东接广南路，全长468.167m，道路等级为城市支路，设计速度30km/h；广湾街西接广南路，东接安民街，全长549.210m，道路等级为城市支路，设计速度30km/h；新翠路西接拟建洪湾大道，东北接广昌保障房处，全长966.762m，道路等级为城市支路，设计速度20km/h。</w:t>
      </w:r>
    </w:p>
    <w:p w14:paraId="0B1EED03">
      <w:pPr>
        <w:spacing w:before="0" w:after="40" w:line="300" w:lineRule="auto"/>
        <w:ind w:firstLine="420"/>
        <w:jc w:val="both"/>
      </w:pPr>
      <w:r>
        <w:rPr>
          <w:rFonts w:ascii="宋体" w:hAnsi="宋体" w:eastAsia="宋体"/>
          <w:b w:val="0"/>
          <w:sz w:val="21"/>
        </w:rPr>
        <w:t>工程建设内容包括：道路工程、软基工程、交通工程、安监工程、照明工程、绿化工程、管线工程（给水、雨水、污水、缆线管廊、电力迁改及箱变）及排洪渠工程等。</w:t>
      </w:r>
    </w:p>
    <w:p w14:paraId="4ED8DD56">
      <w:pPr>
        <w:spacing w:before="80" w:after="40" w:line="300" w:lineRule="auto"/>
        <w:ind w:firstLine="420"/>
        <w:jc w:val="left"/>
      </w:pPr>
      <w:r>
        <w:rPr>
          <w:rFonts w:ascii="宋体" w:hAnsi="宋体" w:eastAsia="宋体"/>
          <w:b/>
          <w:sz w:val="21"/>
        </w:rPr>
        <w:t>电力迁改及箱变工程概况</w:t>
      </w:r>
    </w:p>
    <w:p w14:paraId="68C4598D">
      <w:pPr>
        <w:spacing w:before="0" w:after="40" w:line="300" w:lineRule="auto"/>
        <w:ind w:firstLine="420"/>
        <w:jc w:val="both"/>
      </w:pPr>
      <w:r>
        <w:rPr>
          <w:rFonts w:ascii="宋体" w:hAnsi="宋体" w:eastAsia="宋体"/>
          <w:b w:val="0"/>
          <w:sz w:val="21"/>
        </w:rPr>
        <w:t>本项目电力工程主要包含道路照明80kVA箱变及其高压电源进线工程、160kVA配电箱变迁改及原设施拆除工程、电力穿线排管及电缆工作井施工等。高压电源由珠海供电局指定接驳点引来，采用ZR-YJV22-10kV及ZR-YJV22-8.7/15kV高压电缆穿管埋地敷设至箱变高压侧。具体详见电力迁改及道路照明工程总平面图及系统图。</w:t>
      </w:r>
    </w:p>
    <w:p w14:paraId="682E133D">
      <w:pPr>
        <w:spacing w:before="80" w:after="40" w:line="300" w:lineRule="auto"/>
        <w:ind w:firstLine="420"/>
        <w:jc w:val="left"/>
      </w:pPr>
      <w:r>
        <w:rPr>
          <w:rFonts w:ascii="宋体" w:hAnsi="宋体" w:eastAsia="宋体"/>
          <w:b/>
          <w:sz w:val="21"/>
        </w:rPr>
        <w:t>施工范围</w:t>
      </w:r>
    </w:p>
    <w:p w14:paraId="6BB8357E">
      <w:pPr>
        <w:spacing w:before="0" w:after="40" w:line="300" w:lineRule="auto"/>
        <w:ind w:firstLine="420"/>
        <w:jc w:val="both"/>
      </w:pPr>
      <w:r>
        <w:rPr>
          <w:rFonts w:ascii="宋体" w:hAnsi="宋体" w:eastAsia="宋体"/>
          <w:b w:val="0"/>
          <w:sz w:val="21"/>
        </w:rPr>
        <w:t>广昌保障房配套基础设施项目施工总承包--箱变及电力迁改工程专业分包包含的一切内容，包含但不限于：</w:t>
      </w:r>
    </w:p>
    <w:p w14:paraId="48C05A68">
      <w:pPr>
        <w:spacing w:before="0" w:after="40" w:line="300" w:lineRule="auto"/>
        <w:ind w:firstLine="420"/>
        <w:jc w:val="both"/>
      </w:pPr>
      <w:r>
        <w:rPr>
          <w:rFonts w:ascii="宋体" w:hAnsi="宋体" w:eastAsia="宋体"/>
          <w:b w:val="0"/>
          <w:sz w:val="21"/>
        </w:rPr>
        <w:t>1、80kVA欧式路灯箱式变电站采购及安装、C25筏板基础、电缆沟、集水坑、6700×4300防护围栏、ZR-YJV22-10kV-3×70进线电缆敷设（1280m）、10kV冷缩电缆头制作、高压电缆井（4座）及埋设φ110 HDPE电缆保护管（176m）；</w:t>
      </w:r>
    </w:p>
    <w:p w14:paraId="66BFF574">
      <w:pPr>
        <w:spacing w:before="0" w:after="40" w:line="300" w:lineRule="auto"/>
        <w:ind w:firstLine="420"/>
        <w:jc w:val="both"/>
      </w:pPr>
      <w:r>
        <w:rPr>
          <w:rFonts w:ascii="宋体" w:hAnsi="宋体" w:eastAsia="宋体"/>
          <w:b w:val="0"/>
          <w:sz w:val="21"/>
        </w:rPr>
        <w:t>2、旧设施拆除与移交：原高压电缆YJV22-8.7/15kV-3×70（25m）抽拔拆除、原160kVA预装式箱变拆除并移交供电局指定资产仓库、原箱变混凝土基础破除及废渣清运；</w:t>
      </w:r>
    </w:p>
    <w:p w14:paraId="45875F0B">
      <w:pPr>
        <w:spacing w:before="0" w:after="40" w:line="300" w:lineRule="auto"/>
        <w:ind w:firstLine="420"/>
        <w:jc w:val="both"/>
      </w:pPr>
      <w:r>
        <w:rPr>
          <w:rFonts w:ascii="宋体" w:hAnsi="宋体" w:eastAsia="宋体"/>
          <w:b w:val="0"/>
          <w:sz w:val="21"/>
        </w:rPr>
        <w:t>3、新160kVA预装式变电站采购及安装：新建160kVA箱变1台、C25钢筋混凝土基础、瓷砖台阶、接地网、不锈钢防护围栏及C20独立基础；敷设YJV22-8.7/15kV-3×70高压电缆684.45米，利用拆除旧电缆敷设25米，制作10kV冷缩中间接头2套（含防爆盒）、终端头1套；</w:t>
      </w:r>
    </w:p>
    <w:p w14:paraId="2BB425A0">
      <w:pPr>
        <w:spacing w:before="0" w:after="40" w:line="300" w:lineRule="auto"/>
        <w:ind w:firstLine="420"/>
        <w:jc w:val="both"/>
      </w:pPr>
      <w:r>
        <w:rPr>
          <w:rFonts w:ascii="宋体" w:hAnsi="宋体" w:eastAsia="宋体"/>
          <w:b w:val="0"/>
          <w:sz w:val="21"/>
        </w:rPr>
        <w:t>4、行车排管与行车井：1层1列HDPE φ160×10mm排管敷设34米（含石粉垫层与细砂水密回填）；新建1层1列行车直线井2座（含C15垫层、C25底板墙身、1650×300×150预制行车盖板、3mm C型钢包边、镀锌角铁座及橡胶缓冲层）；</w:t>
      </w:r>
    </w:p>
    <w:p w14:paraId="7A001010">
      <w:pPr>
        <w:spacing w:before="0" w:after="40" w:line="300" w:lineRule="auto"/>
        <w:ind w:firstLine="420"/>
        <w:jc w:val="both"/>
      </w:pPr>
      <w:r>
        <w:rPr>
          <w:rFonts w:ascii="宋体" w:hAnsi="宋体" w:eastAsia="宋体"/>
          <w:b w:val="0"/>
          <w:sz w:val="21"/>
        </w:rPr>
        <w:t>5、路面破除恢复：破除既有200mm厚C25混凝土路面26.18㎡（含机械切缝、凿除外运），敷设后原样恢复混凝土路面结构层并养护；</w:t>
      </w:r>
    </w:p>
    <w:p w14:paraId="1A7E5023">
      <w:pPr>
        <w:spacing w:before="0" w:after="40" w:line="300" w:lineRule="auto"/>
        <w:ind w:firstLine="420"/>
        <w:jc w:val="both"/>
      </w:pPr>
      <w:r>
        <w:rPr>
          <w:rFonts w:ascii="宋体" w:hAnsi="宋体" w:eastAsia="宋体"/>
          <w:b w:val="0"/>
          <w:sz w:val="21"/>
        </w:rPr>
        <w:t>6、应急保电与供电验收：提供160kW应急柴油发电车8小时保电服务；安装供电局标准搪瓷电缆标示牌4块、工程6S体系安全标示1项；完成10kV高压电缆耐压试验、箱变系统电气调试、继电保护定值整定、装表接电，直至取得供电局正式通电验收证明。</w:t>
      </w:r>
    </w:p>
    <w:p w14:paraId="10E0D316">
      <w:pPr>
        <w:spacing w:before="80" w:after="40" w:line="300" w:lineRule="auto"/>
        <w:ind w:firstLine="420"/>
        <w:jc w:val="left"/>
      </w:pPr>
      <w:r>
        <w:rPr>
          <w:rFonts w:ascii="宋体" w:hAnsi="宋体" w:eastAsia="宋体"/>
          <w:b/>
          <w:sz w:val="21"/>
        </w:rPr>
        <w:t>分包模式</w:t>
      </w:r>
    </w:p>
    <w:p w14:paraId="7399C9AE">
      <w:pPr>
        <w:spacing w:before="0" w:after="40" w:line="300" w:lineRule="auto"/>
        <w:ind w:firstLine="420"/>
        <w:jc w:val="both"/>
      </w:pPr>
      <w:r>
        <w:rPr>
          <w:rFonts w:ascii="宋体" w:hAnsi="宋体" w:eastAsia="宋体"/>
          <w:b w:val="0"/>
          <w:sz w:val="21"/>
        </w:rPr>
        <w:t>本工程采用专业分包模式，计价采用工程量清单下浮率模式。即“包工、包料、包机械、包原材送检合格、包因国家或地方规范改变引起的设计变更导致的费用变化、包检测合格、包不停电割接与发电车应急保电、包高低压电气交接试验调试、包旧设备拆除完好移交供电局、包供电局验收通过、包正式送电移交、包内业资料、包工期(含赶工)、包质量、包安全、包文明施工、包绿色施工、包安全文明措施”的包干方式，全面负责本合同范围内的全部工作内容。</w:t>
      </w:r>
    </w:p>
    <w:p w14:paraId="790C83DA">
      <w:pPr>
        <w:spacing w:before="80" w:after="40" w:line="300" w:lineRule="auto"/>
        <w:ind w:firstLine="420"/>
        <w:jc w:val="left"/>
      </w:pPr>
      <w:r>
        <w:rPr>
          <w:rFonts w:ascii="宋体" w:hAnsi="宋体" w:eastAsia="宋体"/>
          <w:b/>
          <w:sz w:val="21"/>
        </w:rPr>
        <w:t>工程施工界面划分</w:t>
      </w:r>
    </w:p>
    <w:p w14:paraId="52F1E853">
      <w:pPr>
        <w:spacing w:before="0" w:after="40" w:line="300" w:lineRule="auto"/>
        <w:ind w:firstLine="420"/>
        <w:jc w:val="both"/>
      </w:pPr>
      <w:r>
        <w:rPr>
          <w:rFonts w:ascii="宋体" w:hAnsi="宋体" w:eastAsia="宋体"/>
          <w:b w:val="0"/>
          <w:sz w:val="21"/>
        </w:rPr>
        <w:t>为明确现场施工责任界面，避免工序交叉扯皮，工作界面划分如下：</w:t>
      </w:r>
    </w:p>
    <w:tbl>
      <w:tblPr>
        <w:tblStyle w:val="32"/>
        <w:tblW w:w="0" w:type="auto"/>
        <w:jc w:val="center"/>
        <w:tblLayout w:type="fixed"/>
        <w:tblCellMar>
          <w:top w:w="0" w:type="dxa"/>
          <w:left w:w="108" w:type="dxa"/>
          <w:bottom w:w="0" w:type="dxa"/>
          <w:right w:w="108" w:type="dxa"/>
        </w:tblCellMar>
      </w:tblPr>
      <w:tblGrid>
        <w:gridCol w:w="2436"/>
        <w:gridCol w:w="2436"/>
        <w:gridCol w:w="2436"/>
        <w:gridCol w:w="2436"/>
      </w:tblGrid>
      <w:tr w14:paraId="5B544272">
        <w:tblPrEx>
          <w:tblCellMar>
            <w:top w:w="0" w:type="dxa"/>
            <w:left w:w="108" w:type="dxa"/>
            <w:bottom w:w="0" w:type="dxa"/>
            <w:right w:w="108" w:type="dxa"/>
          </w:tblCellMar>
        </w:tblPrEx>
        <w:trPr>
          <w:jc w:val="center"/>
        </w:trPr>
        <w:tc>
          <w:tcPr>
            <w:tcW w:w="1584" w:type="dxa"/>
            <w:tcBorders>
              <w:top w:val="single" w:color="B0B0B0" w:sz="4" w:space="0"/>
              <w:left w:val="single" w:color="B0B0B0" w:sz="4" w:space="0"/>
              <w:bottom w:val="single" w:color="B0B0B0" w:sz="4" w:space="0"/>
              <w:right w:val="single" w:color="B0B0B0" w:sz="4" w:space="0"/>
            </w:tcBorders>
            <w:shd w:val="clear" w:color="auto" w:fill="F0F4F8"/>
          </w:tcPr>
          <w:p w14:paraId="39F6660D">
            <w:pPr>
              <w:jc w:val="center"/>
            </w:pPr>
            <w:r>
              <w:rPr>
                <w:rFonts w:ascii="宋体" w:hAnsi="宋体" w:eastAsia="宋体"/>
                <w:b/>
                <w:sz w:val="18"/>
              </w:rPr>
              <w:t>工程项目</w:t>
            </w:r>
          </w:p>
        </w:tc>
        <w:tc>
          <w:tcPr>
            <w:tcW w:w="2592" w:type="dxa"/>
            <w:tcBorders>
              <w:top w:val="single" w:color="B0B0B0" w:sz="4" w:space="0"/>
              <w:left w:val="single" w:color="B0B0B0" w:sz="4" w:space="0"/>
              <w:bottom w:val="single" w:color="B0B0B0" w:sz="4" w:space="0"/>
              <w:right w:val="single" w:color="B0B0B0" w:sz="4" w:space="0"/>
            </w:tcBorders>
            <w:shd w:val="clear" w:color="auto" w:fill="F0F4F8"/>
          </w:tcPr>
          <w:p w14:paraId="0FD726C2">
            <w:pPr>
              <w:jc w:val="center"/>
            </w:pPr>
            <w:r>
              <w:rPr>
                <w:rFonts w:ascii="宋体" w:hAnsi="宋体" w:eastAsia="宋体"/>
                <w:b/>
                <w:sz w:val="18"/>
              </w:rPr>
              <w:t>清单子目内容</w:t>
            </w:r>
          </w:p>
        </w:tc>
        <w:tc>
          <w:tcPr>
            <w:tcW w:w="3168" w:type="dxa"/>
            <w:tcBorders>
              <w:top w:val="single" w:color="B0B0B0" w:sz="4" w:space="0"/>
              <w:left w:val="single" w:color="B0B0B0" w:sz="4" w:space="0"/>
              <w:bottom w:val="single" w:color="B0B0B0" w:sz="4" w:space="0"/>
              <w:right w:val="single" w:color="B0B0B0" w:sz="4" w:space="0"/>
            </w:tcBorders>
            <w:shd w:val="clear" w:color="auto" w:fill="F0F4F8"/>
          </w:tcPr>
          <w:p w14:paraId="1EFA31F7">
            <w:pPr>
              <w:jc w:val="center"/>
            </w:pPr>
            <w:r>
              <w:rPr>
                <w:rFonts w:ascii="宋体" w:hAnsi="宋体" w:eastAsia="宋体"/>
                <w:b/>
                <w:sz w:val="18"/>
              </w:rPr>
              <w:t>本专业分包工作范围</w:t>
            </w:r>
          </w:p>
        </w:tc>
        <w:tc>
          <w:tcPr>
            <w:tcW w:w="2160" w:type="dxa"/>
            <w:tcBorders>
              <w:top w:val="single" w:color="B0B0B0" w:sz="4" w:space="0"/>
              <w:left w:val="single" w:color="B0B0B0" w:sz="4" w:space="0"/>
              <w:bottom w:val="single" w:color="B0B0B0" w:sz="4" w:space="0"/>
              <w:right w:val="single" w:color="B0B0B0" w:sz="4" w:space="0"/>
            </w:tcBorders>
            <w:shd w:val="clear" w:color="auto" w:fill="F0F4F8"/>
          </w:tcPr>
          <w:p w14:paraId="46DF6568">
            <w:pPr>
              <w:jc w:val="center"/>
            </w:pPr>
            <w:r>
              <w:rPr>
                <w:rFonts w:ascii="宋体" w:hAnsi="宋体" w:eastAsia="宋体"/>
                <w:b/>
                <w:sz w:val="18"/>
              </w:rPr>
              <w:t>与总包及其他单位分界点</w:t>
            </w:r>
          </w:p>
        </w:tc>
      </w:tr>
      <w:tr w14:paraId="47DDF133">
        <w:tblPrEx>
          <w:tblCellMar>
            <w:top w:w="0" w:type="dxa"/>
            <w:left w:w="108" w:type="dxa"/>
            <w:bottom w:w="0" w:type="dxa"/>
            <w:right w:w="108" w:type="dxa"/>
          </w:tblCellMar>
        </w:tblPrEx>
        <w:trPr>
          <w:jc w:val="center"/>
        </w:trPr>
        <w:tc>
          <w:tcPr>
            <w:tcW w:w="1584" w:type="dxa"/>
            <w:tcBorders>
              <w:top w:val="single" w:color="B0B0B0" w:sz="4" w:space="0"/>
              <w:left w:val="single" w:color="B0B0B0" w:sz="4" w:space="0"/>
              <w:bottom w:val="single" w:color="B0B0B0" w:sz="4" w:space="0"/>
              <w:right w:val="single" w:color="B0B0B0" w:sz="4" w:space="0"/>
            </w:tcBorders>
          </w:tcPr>
          <w:p w14:paraId="27D69B34">
            <w:pPr>
              <w:spacing w:after="40" w:line="276" w:lineRule="auto"/>
              <w:jc w:val="left"/>
            </w:pPr>
            <w:r>
              <w:rPr>
                <w:rFonts w:ascii="宋体" w:hAnsi="宋体" w:eastAsia="宋体"/>
                <w:sz w:val="17"/>
              </w:rPr>
              <w:t>1. 80kVA路灯箱变及高压进线</w:t>
            </w:r>
          </w:p>
        </w:tc>
        <w:tc>
          <w:tcPr>
            <w:tcW w:w="2592" w:type="dxa"/>
            <w:tcBorders>
              <w:top w:val="single" w:color="B0B0B0" w:sz="4" w:space="0"/>
              <w:left w:val="single" w:color="B0B0B0" w:sz="4" w:space="0"/>
              <w:bottom w:val="single" w:color="B0B0B0" w:sz="4" w:space="0"/>
              <w:right w:val="single" w:color="B0B0B0" w:sz="4" w:space="0"/>
            </w:tcBorders>
          </w:tcPr>
          <w:p w14:paraId="580C3D3A">
            <w:pPr>
              <w:spacing w:after="40" w:line="276" w:lineRule="auto"/>
              <w:jc w:val="left"/>
            </w:pPr>
            <w:r>
              <w:rPr>
                <w:rFonts w:ascii="宋体" w:hAnsi="宋体" w:eastAsia="宋体"/>
                <w:sz w:val="17"/>
              </w:rPr>
              <w:t>80kVA箱变、土建基础、围栏、10kV进线电缆(1280m)、高压井、HDPE管、调试</w:t>
            </w:r>
          </w:p>
        </w:tc>
        <w:tc>
          <w:tcPr>
            <w:tcW w:w="3168" w:type="dxa"/>
            <w:tcBorders>
              <w:top w:val="single" w:color="B0B0B0" w:sz="4" w:space="0"/>
              <w:left w:val="single" w:color="B0B0B0" w:sz="4" w:space="0"/>
              <w:bottom w:val="single" w:color="B0B0B0" w:sz="4" w:space="0"/>
              <w:right w:val="single" w:color="B0B0B0" w:sz="4" w:space="0"/>
            </w:tcBorders>
          </w:tcPr>
          <w:p w14:paraId="7D18D228">
            <w:pPr>
              <w:spacing w:after="40" w:line="276" w:lineRule="auto"/>
              <w:jc w:val="left"/>
            </w:pPr>
            <w:r>
              <w:rPr>
                <w:rFonts w:ascii="宋体" w:hAnsi="宋体" w:eastAsia="宋体"/>
                <w:sz w:val="17"/>
              </w:rPr>
              <w:t>自供电局指定高压搭接点起，至80kVA路灯箱变高压侧及低压出线开关下桩头止的全部设备、电缆、土建基础、调试及通电报验。</w:t>
            </w:r>
          </w:p>
        </w:tc>
        <w:tc>
          <w:tcPr>
            <w:tcW w:w="2160" w:type="dxa"/>
            <w:tcBorders>
              <w:top w:val="single" w:color="B0B0B0" w:sz="4" w:space="0"/>
              <w:left w:val="single" w:color="B0B0B0" w:sz="4" w:space="0"/>
              <w:bottom w:val="single" w:color="B0B0B0" w:sz="4" w:space="0"/>
              <w:right w:val="single" w:color="B0B0B0" w:sz="4" w:space="0"/>
            </w:tcBorders>
          </w:tcPr>
          <w:p w14:paraId="7D9233B0">
            <w:pPr>
              <w:spacing w:after="40" w:line="276" w:lineRule="auto"/>
              <w:jc w:val="left"/>
            </w:pPr>
            <w:r>
              <w:rPr>
                <w:rFonts w:ascii="宋体" w:hAnsi="宋体" w:eastAsia="宋体"/>
                <w:sz w:val="17"/>
              </w:rPr>
              <w:t>低压出线柜各回路接线端子处为界。低压照明配电线路、灯杆及灯具由其他专业实施。</w:t>
            </w:r>
          </w:p>
        </w:tc>
      </w:tr>
      <w:tr w14:paraId="2DDFB432">
        <w:tblPrEx>
          <w:tblCellMar>
            <w:top w:w="0" w:type="dxa"/>
            <w:left w:w="108" w:type="dxa"/>
            <w:bottom w:w="0" w:type="dxa"/>
            <w:right w:w="108" w:type="dxa"/>
          </w:tblCellMar>
        </w:tblPrEx>
        <w:trPr>
          <w:jc w:val="center"/>
        </w:trPr>
        <w:tc>
          <w:tcPr>
            <w:tcW w:w="1584" w:type="dxa"/>
            <w:tcBorders>
              <w:top w:val="single" w:color="B0B0B0" w:sz="4" w:space="0"/>
              <w:left w:val="single" w:color="B0B0B0" w:sz="4" w:space="0"/>
              <w:bottom w:val="single" w:color="B0B0B0" w:sz="4" w:space="0"/>
              <w:right w:val="single" w:color="B0B0B0" w:sz="4" w:space="0"/>
            </w:tcBorders>
            <w:shd w:val="clear" w:color="auto" w:fill="FAFAFA"/>
          </w:tcPr>
          <w:p w14:paraId="28A45BE9">
            <w:pPr>
              <w:spacing w:after="40" w:line="276" w:lineRule="auto"/>
              <w:jc w:val="left"/>
            </w:pPr>
            <w:r>
              <w:rPr>
                <w:rFonts w:ascii="宋体" w:hAnsi="宋体" w:eastAsia="宋体"/>
                <w:sz w:val="17"/>
              </w:rPr>
              <w:t>2. 160kVA箱变迁改</w:t>
            </w:r>
          </w:p>
        </w:tc>
        <w:tc>
          <w:tcPr>
            <w:tcW w:w="2592" w:type="dxa"/>
            <w:tcBorders>
              <w:top w:val="single" w:color="B0B0B0" w:sz="4" w:space="0"/>
              <w:left w:val="single" w:color="B0B0B0" w:sz="4" w:space="0"/>
              <w:bottom w:val="single" w:color="B0B0B0" w:sz="4" w:space="0"/>
              <w:right w:val="single" w:color="B0B0B0" w:sz="4" w:space="0"/>
            </w:tcBorders>
            <w:shd w:val="clear" w:color="auto" w:fill="FAFAFA"/>
          </w:tcPr>
          <w:p w14:paraId="3C359270">
            <w:pPr>
              <w:spacing w:after="40" w:line="276" w:lineRule="auto"/>
              <w:jc w:val="left"/>
            </w:pPr>
            <w:r>
              <w:rPr>
                <w:rFonts w:ascii="宋体" w:hAnsi="宋体" w:eastAsia="宋体"/>
                <w:sz w:val="17"/>
              </w:rPr>
              <w:t>旧电缆及箱变拆除、新160kVA箱变、基础、围栏、电缆(684m)、中间头防爆盒</w:t>
            </w:r>
          </w:p>
        </w:tc>
        <w:tc>
          <w:tcPr>
            <w:tcW w:w="3168" w:type="dxa"/>
            <w:tcBorders>
              <w:top w:val="single" w:color="B0B0B0" w:sz="4" w:space="0"/>
              <w:left w:val="single" w:color="B0B0B0" w:sz="4" w:space="0"/>
              <w:bottom w:val="single" w:color="B0B0B0" w:sz="4" w:space="0"/>
              <w:right w:val="single" w:color="B0B0B0" w:sz="4" w:space="0"/>
            </w:tcBorders>
            <w:shd w:val="clear" w:color="auto" w:fill="FAFAFA"/>
          </w:tcPr>
          <w:p w14:paraId="2D62F591">
            <w:pPr>
              <w:spacing w:after="40" w:line="276" w:lineRule="auto"/>
              <w:jc w:val="left"/>
            </w:pPr>
            <w:r>
              <w:rPr>
                <w:rFonts w:ascii="宋体" w:hAnsi="宋体" w:eastAsia="宋体"/>
                <w:sz w:val="17"/>
              </w:rPr>
              <w:t>旧站停电割接、拆卸并完好移交供电局仓库；新箱变及土建、接地、电缆敷设、中间头防爆盒制作、耐压试验、供电报验投运。</w:t>
            </w:r>
          </w:p>
        </w:tc>
        <w:tc>
          <w:tcPr>
            <w:tcW w:w="2160" w:type="dxa"/>
            <w:tcBorders>
              <w:top w:val="single" w:color="B0B0B0" w:sz="4" w:space="0"/>
              <w:left w:val="single" w:color="B0B0B0" w:sz="4" w:space="0"/>
              <w:bottom w:val="single" w:color="B0B0B0" w:sz="4" w:space="0"/>
              <w:right w:val="single" w:color="B0B0B0" w:sz="4" w:space="0"/>
            </w:tcBorders>
            <w:shd w:val="clear" w:color="auto" w:fill="FAFAFA"/>
          </w:tcPr>
          <w:p w14:paraId="0B7CE33F">
            <w:pPr>
              <w:spacing w:after="40" w:line="276" w:lineRule="auto"/>
              <w:jc w:val="left"/>
            </w:pPr>
            <w:r>
              <w:rPr>
                <w:rFonts w:ascii="宋体" w:hAnsi="宋体" w:eastAsia="宋体"/>
                <w:sz w:val="17"/>
              </w:rPr>
              <w:t>拆除旧设备完好移交供电局指定仓库；新迁改线路接入既有电网主干并恢复正常通电。</w:t>
            </w:r>
          </w:p>
        </w:tc>
      </w:tr>
      <w:tr w14:paraId="751EFA1D">
        <w:tblPrEx>
          <w:tblCellMar>
            <w:top w:w="0" w:type="dxa"/>
            <w:left w:w="108" w:type="dxa"/>
            <w:bottom w:w="0" w:type="dxa"/>
            <w:right w:w="108" w:type="dxa"/>
          </w:tblCellMar>
        </w:tblPrEx>
        <w:trPr>
          <w:jc w:val="center"/>
        </w:trPr>
        <w:tc>
          <w:tcPr>
            <w:tcW w:w="1584" w:type="dxa"/>
            <w:tcBorders>
              <w:top w:val="single" w:color="B0B0B0" w:sz="4" w:space="0"/>
              <w:left w:val="single" w:color="B0B0B0" w:sz="4" w:space="0"/>
              <w:bottom w:val="single" w:color="B0B0B0" w:sz="4" w:space="0"/>
              <w:right w:val="single" w:color="B0B0B0" w:sz="4" w:space="0"/>
            </w:tcBorders>
          </w:tcPr>
          <w:p w14:paraId="0C08110F">
            <w:pPr>
              <w:spacing w:after="40" w:line="276" w:lineRule="auto"/>
              <w:jc w:val="left"/>
            </w:pPr>
            <w:r>
              <w:rPr>
                <w:rFonts w:ascii="宋体" w:hAnsi="宋体" w:eastAsia="宋体"/>
                <w:sz w:val="17"/>
              </w:rPr>
              <w:t>3. 电力排管与电缆井</w:t>
            </w:r>
          </w:p>
        </w:tc>
        <w:tc>
          <w:tcPr>
            <w:tcW w:w="2592" w:type="dxa"/>
            <w:tcBorders>
              <w:top w:val="single" w:color="B0B0B0" w:sz="4" w:space="0"/>
              <w:left w:val="single" w:color="B0B0B0" w:sz="4" w:space="0"/>
              <w:bottom w:val="single" w:color="B0B0B0" w:sz="4" w:space="0"/>
              <w:right w:val="single" w:color="B0B0B0" w:sz="4" w:space="0"/>
            </w:tcBorders>
          </w:tcPr>
          <w:p w14:paraId="57DA74AC">
            <w:pPr>
              <w:spacing w:after="40" w:line="276" w:lineRule="auto"/>
              <w:jc w:val="left"/>
            </w:pPr>
            <w:r>
              <w:rPr>
                <w:rFonts w:ascii="宋体" w:hAnsi="宋体" w:eastAsia="宋体"/>
                <w:sz w:val="17"/>
              </w:rPr>
              <w:t>1层1列HDPE φ160排管、行车井2座、高压井4座、石粉垫层与细砂回填</w:t>
            </w:r>
          </w:p>
        </w:tc>
        <w:tc>
          <w:tcPr>
            <w:tcW w:w="3168" w:type="dxa"/>
            <w:tcBorders>
              <w:top w:val="single" w:color="B0B0B0" w:sz="4" w:space="0"/>
              <w:left w:val="single" w:color="B0B0B0" w:sz="4" w:space="0"/>
              <w:bottom w:val="single" w:color="B0B0B0" w:sz="4" w:space="0"/>
              <w:right w:val="single" w:color="B0B0B0" w:sz="4" w:space="0"/>
            </w:tcBorders>
          </w:tcPr>
          <w:p w14:paraId="36A6CA59">
            <w:pPr>
              <w:spacing w:after="40" w:line="276" w:lineRule="auto"/>
              <w:jc w:val="left"/>
            </w:pPr>
            <w:r>
              <w:rPr>
                <w:rFonts w:ascii="宋体" w:hAnsi="宋体" w:eastAsia="宋体"/>
                <w:sz w:val="17"/>
              </w:rPr>
              <w:t>沟槽开挖、模板支设、排管敷设、管枕固定、混凝土浇筑、预制行车盖板包边安装、井室内外防水抹面及水密回填。</w:t>
            </w:r>
          </w:p>
        </w:tc>
        <w:tc>
          <w:tcPr>
            <w:tcW w:w="2160" w:type="dxa"/>
            <w:tcBorders>
              <w:top w:val="single" w:color="B0B0B0" w:sz="4" w:space="0"/>
              <w:left w:val="single" w:color="B0B0B0" w:sz="4" w:space="0"/>
              <w:bottom w:val="single" w:color="B0B0B0" w:sz="4" w:space="0"/>
              <w:right w:val="single" w:color="B0B0B0" w:sz="4" w:space="0"/>
            </w:tcBorders>
          </w:tcPr>
          <w:p w14:paraId="6130FDAD">
            <w:pPr>
              <w:spacing w:after="40" w:line="276" w:lineRule="auto"/>
              <w:jc w:val="left"/>
            </w:pPr>
            <w:r>
              <w:rPr>
                <w:rFonts w:ascii="宋体" w:hAnsi="宋体" w:eastAsia="宋体"/>
                <w:sz w:val="17"/>
              </w:rPr>
              <w:t>排管敷设至设计井位坐标；沟槽回填至路床底标高，与市政道路路基平顺交接。</w:t>
            </w:r>
          </w:p>
        </w:tc>
      </w:tr>
      <w:tr w14:paraId="17D1A305">
        <w:tblPrEx>
          <w:tblCellMar>
            <w:top w:w="0" w:type="dxa"/>
            <w:left w:w="108" w:type="dxa"/>
            <w:bottom w:w="0" w:type="dxa"/>
            <w:right w:w="108" w:type="dxa"/>
          </w:tblCellMar>
        </w:tblPrEx>
        <w:trPr>
          <w:jc w:val="center"/>
        </w:trPr>
        <w:tc>
          <w:tcPr>
            <w:tcW w:w="1584" w:type="dxa"/>
            <w:tcBorders>
              <w:top w:val="single" w:color="B0B0B0" w:sz="4" w:space="0"/>
              <w:left w:val="single" w:color="B0B0B0" w:sz="4" w:space="0"/>
              <w:bottom w:val="single" w:color="B0B0B0" w:sz="4" w:space="0"/>
              <w:right w:val="single" w:color="B0B0B0" w:sz="4" w:space="0"/>
            </w:tcBorders>
            <w:shd w:val="clear" w:color="auto" w:fill="FAFAFA"/>
          </w:tcPr>
          <w:p w14:paraId="43080D58">
            <w:pPr>
              <w:spacing w:after="40" w:line="276" w:lineRule="auto"/>
              <w:jc w:val="left"/>
            </w:pPr>
            <w:r>
              <w:rPr>
                <w:rFonts w:ascii="宋体" w:hAnsi="宋体" w:eastAsia="宋体"/>
                <w:sz w:val="17"/>
              </w:rPr>
              <w:t>4. 混凝土路面破复</w:t>
            </w:r>
          </w:p>
        </w:tc>
        <w:tc>
          <w:tcPr>
            <w:tcW w:w="2592" w:type="dxa"/>
            <w:tcBorders>
              <w:top w:val="single" w:color="B0B0B0" w:sz="4" w:space="0"/>
              <w:left w:val="single" w:color="B0B0B0" w:sz="4" w:space="0"/>
              <w:bottom w:val="single" w:color="B0B0B0" w:sz="4" w:space="0"/>
              <w:right w:val="single" w:color="B0B0B0" w:sz="4" w:space="0"/>
            </w:tcBorders>
            <w:shd w:val="clear" w:color="auto" w:fill="FAFAFA"/>
          </w:tcPr>
          <w:p w14:paraId="3E8E0FC9">
            <w:pPr>
              <w:spacing w:after="40" w:line="276" w:lineRule="auto"/>
              <w:jc w:val="left"/>
            </w:pPr>
            <w:r>
              <w:rPr>
                <w:rFonts w:ascii="宋体" w:hAnsi="宋体" w:eastAsia="宋体"/>
                <w:sz w:val="17"/>
              </w:rPr>
              <w:t>200mm厚C25路面切缝破除、废渣外运、路面结构层原样恢复、养护</w:t>
            </w:r>
          </w:p>
        </w:tc>
        <w:tc>
          <w:tcPr>
            <w:tcW w:w="3168" w:type="dxa"/>
            <w:tcBorders>
              <w:top w:val="single" w:color="B0B0B0" w:sz="4" w:space="0"/>
              <w:left w:val="single" w:color="B0B0B0" w:sz="4" w:space="0"/>
              <w:bottom w:val="single" w:color="B0B0B0" w:sz="4" w:space="0"/>
              <w:right w:val="single" w:color="B0B0B0" w:sz="4" w:space="0"/>
            </w:tcBorders>
            <w:shd w:val="clear" w:color="auto" w:fill="FAFAFA"/>
          </w:tcPr>
          <w:p w14:paraId="1A4C602B">
            <w:pPr>
              <w:spacing w:after="40" w:line="276" w:lineRule="auto"/>
              <w:jc w:val="left"/>
            </w:pPr>
            <w:r>
              <w:rPr>
                <w:rFonts w:ascii="宋体" w:hAnsi="宋体" w:eastAsia="宋体"/>
                <w:sz w:val="17"/>
              </w:rPr>
              <w:t>因敷设管线破除的既有混凝土路面切缝、凿除、清运；管线完成后按原结构层高标准恢复并养护。</w:t>
            </w:r>
          </w:p>
        </w:tc>
        <w:tc>
          <w:tcPr>
            <w:tcW w:w="2160" w:type="dxa"/>
            <w:tcBorders>
              <w:top w:val="single" w:color="B0B0B0" w:sz="4" w:space="0"/>
              <w:left w:val="single" w:color="B0B0B0" w:sz="4" w:space="0"/>
              <w:bottom w:val="single" w:color="B0B0B0" w:sz="4" w:space="0"/>
              <w:right w:val="single" w:color="B0B0B0" w:sz="4" w:space="0"/>
            </w:tcBorders>
            <w:shd w:val="clear" w:color="auto" w:fill="FAFAFA"/>
          </w:tcPr>
          <w:p w14:paraId="44B6595A">
            <w:pPr>
              <w:spacing w:after="40" w:line="276" w:lineRule="auto"/>
              <w:jc w:val="left"/>
            </w:pPr>
            <w:r>
              <w:rPr>
                <w:rFonts w:ascii="宋体" w:hAnsi="宋体" w:eastAsia="宋体"/>
                <w:sz w:val="17"/>
              </w:rPr>
              <w:t>恢复标高及平整度须经总包和监理验收，确保与周边既有路面平顺平整衔接。</w:t>
            </w:r>
          </w:p>
        </w:tc>
      </w:tr>
      <w:tr w14:paraId="5990E264">
        <w:tblPrEx>
          <w:tblCellMar>
            <w:top w:w="0" w:type="dxa"/>
            <w:left w:w="108" w:type="dxa"/>
            <w:bottom w:w="0" w:type="dxa"/>
            <w:right w:w="108" w:type="dxa"/>
          </w:tblCellMar>
        </w:tblPrEx>
        <w:trPr>
          <w:jc w:val="center"/>
        </w:trPr>
        <w:tc>
          <w:tcPr>
            <w:tcW w:w="1584" w:type="dxa"/>
            <w:tcBorders>
              <w:top w:val="single" w:color="B0B0B0" w:sz="4" w:space="0"/>
              <w:left w:val="single" w:color="B0B0B0" w:sz="4" w:space="0"/>
              <w:bottom w:val="single" w:color="B0B0B0" w:sz="4" w:space="0"/>
              <w:right w:val="single" w:color="B0B0B0" w:sz="4" w:space="0"/>
            </w:tcBorders>
          </w:tcPr>
          <w:p w14:paraId="2D9C5947">
            <w:pPr>
              <w:spacing w:after="40" w:line="276" w:lineRule="auto"/>
              <w:jc w:val="left"/>
            </w:pPr>
            <w:r>
              <w:rPr>
                <w:rFonts w:ascii="宋体" w:hAnsi="宋体" w:eastAsia="宋体"/>
                <w:sz w:val="17"/>
              </w:rPr>
              <w:t>5. 不停电割接与保电</w:t>
            </w:r>
          </w:p>
        </w:tc>
        <w:tc>
          <w:tcPr>
            <w:tcW w:w="2592" w:type="dxa"/>
            <w:tcBorders>
              <w:top w:val="single" w:color="B0B0B0" w:sz="4" w:space="0"/>
              <w:left w:val="single" w:color="B0B0B0" w:sz="4" w:space="0"/>
              <w:bottom w:val="single" w:color="B0B0B0" w:sz="4" w:space="0"/>
              <w:right w:val="single" w:color="B0B0B0" w:sz="4" w:space="0"/>
            </w:tcBorders>
          </w:tcPr>
          <w:p w14:paraId="4F069DFE">
            <w:pPr>
              <w:spacing w:after="40" w:line="276" w:lineRule="auto"/>
              <w:jc w:val="left"/>
            </w:pPr>
            <w:r>
              <w:rPr>
                <w:rFonts w:ascii="宋体" w:hAnsi="宋体" w:eastAsia="宋体"/>
                <w:sz w:val="17"/>
              </w:rPr>
              <w:t>160kW应急柴油发电车（8小时）、供电倒闸操作配合、割接施工</w:t>
            </w:r>
          </w:p>
        </w:tc>
        <w:tc>
          <w:tcPr>
            <w:tcW w:w="3168" w:type="dxa"/>
            <w:tcBorders>
              <w:top w:val="single" w:color="B0B0B0" w:sz="4" w:space="0"/>
              <w:left w:val="single" w:color="B0B0B0" w:sz="4" w:space="0"/>
              <w:bottom w:val="single" w:color="B0B0B0" w:sz="4" w:space="0"/>
              <w:right w:val="single" w:color="B0B0B0" w:sz="4" w:space="0"/>
            </w:tcBorders>
          </w:tcPr>
          <w:p w14:paraId="08898EFE">
            <w:pPr>
              <w:spacing w:after="40" w:line="276" w:lineRule="auto"/>
              <w:jc w:val="left"/>
            </w:pPr>
            <w:r>
              <w:rPr>
                <w:rFonts w:ascii="宋体" w:hAnsi="宋体" w:eastAsia="宋体"/>
                <w:sz w:val="17"/>
              </w:rPr>
              <w:t>编制停电割接方案与应急保电预案并报批；提供160kW发电车及操作运维，保障割接期间周边用电。</w:t>
            </w:r>
          </w:p>
        </w:tc>
        <w:tc>
          <w:tcPr>
            <w:tcW w:w="2160" w:type="dxa"/>
            <w:tcBorders>
              <w:top w:val="single" w:color="B0B0B0" w:sz="4" w:space="0"/>
              <w:left w:val="single" w:color="B0B0B0" w:sz="4" w:space="0"/>
              <w:bottom w:val="single" w:color="B0B0B0" w:sz="4" w:space="0"/>
              <w:right w:val="single" w:color="B0B0B0" w:sz="4" w:space="0"/>
            </w:tcBorders>
          </w:tcPr>
          <w:p w14:paraId="6350B444">
            <w:pPr>
              <w:spacing w:after="40" w:line="276" w:lineRule="auto"/>
              <w:jc w:val="left"/>
            </w:pPr>
            <w:r>
              <w:rPr>
                <w:rFonts w:ascii="宋体" w:hAnsi="宋体" w:eastAsia="宋体"/>
                <w:sz w:val="17"/>
              </w:rPr>
              <w:t>分包负责与供电局调度和用电客户沟通协调，总承包单位协助配合。</w:t>
            </w:r>
          </w:p>
        </w:tc>
      </w:tr>
      <w:tr w14:paraId="57F521E9">
        <w:tblPrEx>
          <w:tblCellMar>
            <w:top w:w="0" w:type="dxa"/>
            <w:left w:w="108" w:type="dxa"/>
            <w:bottom w:w="0" w:type="dxa"/>
            <w:right w:w="108" w:type="dxa"/>
          </w:tblCellMar>
        </w:tblPrEx>
        <w:trPr>
          <w:jc w:val="center"/>
        </w:trPr>
        <w:tc>
          <w:tcPr>
            <w:tcW w:w="1584" w:type="dxa"/>
            <w:tcBorders>
              <w:top w:val="single" w:color="B0B0B0" w:sz="4" w:space="0"/>
              <w:left w:val="single" w:color="B0B0B0" w:sz="4" w:space="0"/>
              <w:bottom w:val="single" w:color="B0B0B0" w:sz="4" w:space="0"/>
              <w:right w:val="single" w:color="B0B0B0" w:sz="4" w:space="0"/>
            </w:tcBorders>
            <w:shd w:val="clear" w:color="auto" w:fill="FAFAFA"/>
          </w:tcPr>
          <w:p w14:paraId="54E9289F">
            <w:pPr>
              <w:spacing w:after="40" w:line="276" w:lineRule="auto"/>
              <w:jc w:val="left"/>
            </w:pPr>
            <w:r>
              <w:rPr>
                <w:rFonts w:ascii="宋体" w:hAnsi="宋体" w:eastAsia="宋体"/>
                <w:sz w:val="17"/>
              </w:rPr>
              <w:t>6. 供电报装与通电验收</w:t>
            </w:r>
          </w:p>
        </w:tc>
        <w:tc>
          <w:tcPr>
            <w:tcW w:w="2592" w:type="dxa"/>
            <w:tcBorders>
              <w:top w:val="single" w:color="B0B0B0" w:sz="4" w:space="0"/>
              <w:left w:val="single" w:color="B0B0B0" w:sz="4" w:space="0"/>
              <w:bottom w:val="single" w:color="B0B0B0" w:sz="4" w:space="0"/>
              <w:right w:val="single" w:color="B0B0B0" w:sz="4" w:space="0"/>
            </w:tcBorders>
            <w:shd w:val="clear" w:color="auto" w:fill="FAFAFA"/>
          </w:tcPr>
          <w:p w14:paraId="06EDE622">
            <w:pPr>
              <w:spacing w:after="40" w:line="276" w:lineRule="auto"/>
              <w:jc w:val="left"/>
            </w:pPr>
            <w:r>
              <w:rPr>
                <w:rFonts w:ascii="宋体" w:hAnsi="宋体" w:eastAsia="宋体"/>
                <w:sz w:val="17"/>
              </w:rPr>
              <w:t>供电6S标示、电缆标牌、交接试验、供电中间检查及竣工送电验收</w:t>
            </w:r>
          </w:p>
        </w:tc>
        <w:tc>
          <w:tcPr>
            <w:tcW w:w="3168" w:type="dxa"/>
            <w:tcBorders>
              <w:top w:val="single" w:color="B0B0B0" w:sz="4" w:space="0"/>
              <w:left w:val="single" w:color="B0B0B0" w:sz="4" w:space="0"/>
              <w:bottom w:val="single" w:color="B0B0B0" w:sz="4" w:space="0"/>
              <w:right w:val="single" w:color="B0B0B0" w:sz="4" w:space="0"/>
            </w:tcBorders>
            <w:shd w:val="clear" w:color="auto" w:fill="FAFAFA"/>
          </w:tcPr>
          <w:p w14:paraId="797CD514">
            <w:pPr>
              <w:spacing w:after="40" w:line="276" w:lineRule="auto"/>
              <w:jc w:val="left"/>
            </w:pPr>
            <w:r>
              <w:rPr>
                <w:rFonts w:ascii="宋体" w:hAnsi="宋体" w:eastAsia="宋体"/>
                <w:sz w:val="17"/>
              </w:rPr>
              <w:t>负责全套供电报建、保护定值整定计算单批复、GB50150电气试验、供电局质监验收、装表接电并通电。</w:t>
            </w:r>
          </w:p>
        </w:tc>
        <w:tc>
          <w:tcPr>
            <w:tcW w:w="2160" w:type="dxa"/>
            <w:tcBorders>
              <w:top w:val="single" w:color="B0B0B0" w:sz="4" w:space="0"/>
              <w:left w:val="single" w:color="B0B0B0" w:sz="4" w:space="0"/>
              <w:bottom w:val="single" w:color="B0B0B0" w:sz="4" w:space="0"/>
              <w:right w:val="single" w:color="B0B0B0" w:sz="4" w:space="0"/>
            </w:tcBorders>
            <w:shd w:val="clear" w:color="auto" w:fill="FAFAFA"/>
          </w:tcPr>
          <w:p w14:paraId="7716B855">
            <w:pPr>
              <w:spacing w:after="40" w:line="276" w:lineRule="auto"/>
              <w:jc w:val="left"/>
            </w:pPr>
            <w:r>
              <w:rPr>
                <w:rFonts w:ascii="宋体" w:hAnsi="宋体" w:eastAsia="宋体"/>
                <w:sz w:val="17"/>
              </w:rPr>
              <w:t>交钥匙工程，分包承担供电局验收全流程责任，确保取得正式通电验收凭证。</w:t>
            </w:r>
          </w:p>
        </w:tc>
      </w:tr>
    </w:tbl>
    <w:p w14:paraId="6841ED30"/>
    <w:p w14:paraId="26BE785B">
      <w:pPr>
        <w:spacing w:before="160" w:after="60" w:line="300" w:lineRule="auto"/>
        <w:jc w:val="left"/>
      </w:pPr>
      <w:r>
        <w:rPr>
          <w:rFonts w:ascii="黑体" w:hAnsi="黑体" w:eastAsia="黑体"/>
          <w:b/>
          <w:sz w:val="24"/>
        </w:rPr>
        <w:t>二、系统与材料要求</w:t>
      </w:r>
    </w:p>
    <w:p w14:paraId="09E9207F">
      <w:pPr>
        <w:spacing w:before="80" w:after="40" w:line="300" w:lineRule="auto"/>
        <w:ind w:firstLine="420"/>
        <w:jc w:val="left"/>
      </w:pPr>
      <w:r>
        <w:rPr>
          <w:rFonts w:ascii="宋体" w:hAnsi="宋体" w:eastAsia="宋体"/>
          <w:b/>
          <w:sz w:val="21"/>
        </w:rPr>
        <w:t>（一）总体建设原则</w:t>
      </w:r>
    </w:p>
    <w:p w14:paraId="7712380A">
      <w:pPr>
        <w:spacing w:before="0" w:after="40" w:line="300" w:lineRule="auto"/>
        <w:ind w:firstLine="420"/>
        <w:jc w:val="both"/>
      </w:pPr>
      <w:r>
        <w:rPr>
          <w:rFonts w:ascii="宋体" w:hAnsi="宋体" w:eastAsia="宋体"/>
          <w:b w:val="0"/>
          <w:sz w:val="21"/>
        </w:rPr>
        <w:t>1）电力管线及箱变工程的设计与施工应充分考虑区域配电网近期、远期供电负荷的发展需求。</w:t>
      </w:r>
    </w:p>
    <w:p w14:paraId="08FB3D18">
      <w:pPr>
        <w:spacing w:before="0" w:after="40" w:line="300" w:lineRule="auto"/>
        <w:ind w:firstLine="420"/>
        <w:jc w:val="both"/>
      </w:pPr>
      <w:r>
        <w:rPr>
          <w:rFonts w:ascii="宋体" w:hAnsi="宋体" w:eastAsia="宋体"/>
          <w:b w:val="0"/>
          <w:sz w:val="21"/>
        </w:rPr>
        <w:t>2）电力排管走向与埋深应满足城市道路地下综合管线规划要求，与给排水、燃气、通信等其他市政管线保持规范安全净距。</w:t>
      </w:r>
    </w:p>
    <w:p w14:paraId="52F75A4E">
      <w:pPr>
        <w:spacing w:before="0" w:after="40" w:line="300" w:lineRule="auto"/>
        <w:ind w:firstLine="420"/>
        <w:jc w:val="both"/>
      </w:pPr>
      <w:r>
        <w:rPr>
          <w:rFonts w:ascii="宋体" w:hAnsi="宋体" w:eastAsia="宋体"/>
          <w:b w:val="0"/>
          <w:sz w:val="21"/>
        </w:rPr>
        <w:t>3）箱式变电站选址应满足安全防护、巡视检修、进出线方便及防洪防涝要求，且与周边建筑保持安全防火防爆间距。</w:t>
      </w:r>
    </w:p>
    <w:p w14:paraId="5D02DC6D">
      <w:pPr>
        <w:spacing w:before="0" w:after="40" w:line="300" w:lineRule="auto"/>
        <w:ind w:firstLine="420"/>
        <w:jc w:val="both"/>
      </w:pPr>
      <w:r>
        <w:rPr>
          <w:rFonts w:ascii="宋体" w:hAnsi="宋体" w:eastAsia="宋体"/>
          <w:b w:val="0"/>
          <w:sz w:val="21"/>
        </w:rPr>
        <w:t>4）电力管道埋设应与市政道路路基土石方及软基处理施工紧密同步，遵循“先深后浅、过路先行”的施工原则。</w:t>
      </w:r>
    </w:p>
    <w:p w14:paraId="743F4053">
      <w:pPr>
        <w:spacing w:before="0" w:after="40" w:line="300" w:lineRule="auto"/>
        <w:ind w:firstLine="420"/>
        <w:jc w:val="both"/>
      </w:pPr>
      <w:r>
        <w:rPr>
          <w:rFonts w:ascii="宋体" w:hAnsi="宋体" w:eastAsia="宋体"/>
          <w:b w:val="0"/>
          <w:sz w:val="21"/>
        </w:rPr>
        <w:t>5）覆土厚度应满足下列要求：在人行道和绿化带下埋设管顶覆土深度应≥0.7m；在非机动车道及机动车道下埋设管顶覆土深度应≥0.9m。</w:t>
      </w:r>
    </w:p>
    <w:p w14:paraId="349ADC4B">
      <w:pPr>
        <w:spacing w:before="80" w:after="40" w:line="300" w:lineRule="auto"/>
        <w:ind w:firstLine="420"/>
        <w:jc w:val="left"/>
      </w:pPr>
      <w:r>
        <w:rPr>
          <w:rFonts w:ascii="宋体" w:hAnsi="宋体" w:eastAsia="宋体"/>
          <w:b/>
          <w:sz w:val="21"/>
        </w:rPr>
        <w:t>（二）技术要求</w:t>
      </w:r>
    </w:p>
    <w:p w14:paraId="30BD9E7C">
      <w:pPr>
        <w:spacing w:before="0" w:after="40" w:line="300" w:lineRule="auto"/>
        <w:ind w:firstLine="420"/>
        <w:jc w:val="both"/>
      </w:pPr>
      <w:r>
        <w:rPr>
          <w:rFonts w:ascii="宋体" w:hAnsi="宋体" w:eastAsia="宋体"/>
          <w:b w:val="0"/>
          <w:sz w:val="21"/>
        </w:rPr>
        <w:t>1）管道埋深与开挖</w:t>
      </w:r>
    </w:p>
    <w:p w14:paraId="603E221F">
      <w:pPr>
        <w:spacing w:before="0" w:after="40" w:line="300" w:lineRule="auto"/>
        <w:ind w:firstLine="420"/>
        <w:jc w:val="both"/>
      </w:pPr>
      <w:r>
        <w:rPr>
          <w:rFonts w:ascii="宋体" w:hAnsi="宋体" w:eastAsia="宋体"/>
          <w:b w:val="0"/>
          <w:sz w:val="21"/>
        </w:rPr>
        <w:t>本工程电力排管管顶覆土深度按0.8m～1.2m控制。开挖前必须进行现场探槽核查，查明地下管网分布。沟槽深度超1.5m或地质软弱时必须采取可靠的钢板桩或密扣板桩支护，严禁直立开挖。槽底人工清平，严禁扰动基底原状土。</w:t>
      </w:r>
    </w:p>
    <w:p w14:paraId="5996D0E6">
      <w:pPr>
        <w:spacing w:before="0" w:after="40" w:line="300" w:lineRule="auto"/>
        <w:ind w:firstLine="420"/>
        <w:jc w:val="both"/>
      </w:pPr>
      <w:r>
        <w:rPr>
          <w:rFonts w:ascii="宋体" w:hAnsi="宋体" w:eastAsia="宋体"/>
          <w:b w:val="0"/>
          <w:sz w:val="21"/>
        </w:rPr>
        <w:t>2）管材选用、连接及敷设</w:t>
      </w:r>
    </w:p>
    <w:p w14:paraId="1F78D3BF">
      <w:pPr>
        <w:spacing w:before="0" w:after="40" w:line="300" w:lineRule="auto"/>
        <w:ind w:firstLine="420"/>
        <w:jc w:val="both"/>
      </w:pPr>
      <w:r>
        <w:rPr>
          <w:rFonts w:ascii="宋体" w:hAnsi="宋体" w:eastAsia="宋体"/>
          <w:b w:val="0"/>
          <w:sz w:val="21"/>
        </w:rPr>
        <w:t>电缆穿线导管采用高密度聚乙烯（HDPE）管或改性高抗冲聚丙烯（MPP）管（φ110、φ160×10mm等规格），环刚度等级在普通段应≥SN8，在车行道及重载段应≥SN10。管道壁厚均匀，内外壁光滑平整，无气泡和裂纹。管道承插或热熔连接须牢固密闭，层间配置专用组合管枕（间距不大于1.5m），并与排管绑扎牢固，防止浇筑混凝土或回填时管道上浮移位。</w:t>
      </w:r>
    </w:p>
    <w:p w14:paraId="35E86C5C">
      <w:pPr>
        <w:spacing w:before="0" w:after="40" w:line="300" w:lineRule="auto"/>
        <w:ind w:firstLine="420"/>
        <w:jc w:val="both"/>
      </w:pPr>
      <w:r>
        <w:rPr>
          <w:rFonts w:ascii="宋体" w:hAnsi="宋体" w:eastAsia="宋体"/>
          <w:b w:val="0"/>
          <w:sz w:val="21"/>
        </w:rPr>
        <w:t>3）管道基础、回填及混凝土包封</w:t>
      </w:r>
    </w:p>
    <w:p w14:paraId="0082AACD">
      <w:pPr>
        <w:spacing w:before="0" w:after="40" w:line="300" w:lineRule="auto"/>
        <w:ind w:firstLine="420"/>
        <w:jc w:val="both"/>
      </w:pPr>
      <w:r>
        <w:rPr>
          <w:rFonts w:ascii="宋体" w:hAnsi="宋体" w:eastAsia="宋体"/>
          <w:b w:val="0"/>
          <w:sz w:val="21"/>
        </w:rPr>
        <w:t>行车排管及过路管沟基底铺设100mm厚石粉或级配碎石垫层，密实度不小于0.95；管道安装完成后采用细砂水密法分层回填密实；管顶以上500mm采用石粉分层夯填，密实度不小于0.90。穿越机动车道或遇重载路段，按设计要求采用C25钢筋混凝土进行全断面全包封，管顶上方300mm处全线铺设电力警示带及防开挖保护板。</w:t>
      </w:r>
    </w:p>
    <w:p w14:paraId="134DEF2A">
      <w:pPr>
        <w:spacing w:before="0" w:after="40" w:line="300" w:lineRule="auto"/>
        <w:ind w:firstLine="420"/>
        <w:jc w:val="both"/>
      </w:pPr>
      <w:r>
        <w:rPr>
          <w:rFonts w:ascii="宋体" w:hAnsi="宋体" w:eastAsia="宋体"/>
          <w:b w:val="0"/>
          <w:sz w:val="21"/>
        </w:rPr>
        <w:t>4）电缆井及行车井构造要求</w:t>
      </w:r>
    </w:p>
    <w:p w14:paraId="68887403">
      <w:pPr>
        <w:spacing w:before="0" w:after="40" w:line="300" w:lineRule="auto"/>
        <w:ind w:firstLine="420"/>
        <w:jc w:val="both"/>
      </w:pPr>
      <w:r>
        <w:rPr>
          <w:rFonts w:ascii="宋体" w:hAnsi="宋体" w:eastAsia="宋体"/>
          <w:b w:val="0"/>
          <w:sz w:val="21"/>
        </w:rPr>
        <w:t>高压电缆井及行车直线井采用现浇C25钢筋混凝土结构（抗渗等级P6），垫层采用100mm厚C15素混凝土。井室内外壁均采用1:2防水砂浆抹面（厚20mm，内掺5%防水剂）。井底设1%坡度坡向500×500×300mm集水坑。预埋热浸镀锌电缆角钢支架（镀锌层厚度≥65μm），并与接地干线可靠焊接。</w:t>
      </w:r>
    </w:p>
    <w:p w14:paraId="5829C800">
      <w:pPr>
        <w:spacing w:before="0" w:after="40" w:line="300" w:lineRule="auto"/>
        <w:ind w:firstLine="420"/>
        <w:jc w:val="both"/>
      </w:pPr>
      <w:r>
        <w:rPr>
          <w:rFonts w:ascii="宋体" w:hAnsi="宋体" w:eastAsia="宋体"/>
          <w:b w:val="0"/>
          <w:sz w:val="21"/>
        </w:rPr>
        <w:t>行车电缆井安装1650×300×150mm预制行车盖板，盖板四周做3mm厚C型钢包边加固，预埋L50×5镀锌角铁座，并铺设橡胶缓冲垫层。高压井车行道部分采用D400球墨铸铁双层防沉降防跳井盖，并配备高强防坠安全网。</w:t>
      </w:r>
    </w:p>
    <w:p w14:paraId="7C92DEFC">
      <w:pPr>
        <w:spacing w:before="0" w:after="40" w:line="300" w:lineRule="auto"/>
        <w:ind w:firstLine="420"/>
        <w:jc w:val="both"/>
      </w:pPr>
      <w:r>
        <w:rPr>
          <w:rFonts w:ascii="宋体" w:hAnsi="宋体" w:eastAsia="宋体"/>
          <w:b w:val="0"/>
          <w:sz w:val="21"/>
        </w:rPr>
        <w:t>5）既有路面切缝与破复</w:t>
      </w:r>
    </w:p>
    <w:p w14:paraId="54560215">
      <w:pPr>
        <w:spacing w:before="0" w:after="40" w:line="300" w:lineRule="auto"/>
        <w:ind w:firstLine="420"/>
        <w:jc w:val="both"/>
      </w:pPr>
      <w:r>
        <w:rPr>
          <w:rFonts w:ascii="宋体" w:hAnsi="宋体" w:eastAsia="宋体"/>
          <w:b w:val="0"/>
          <w:sz w:val="21"/>
        </w:rPr>
        <w:t>破除既有200mm厚C25混凝土路面时，须先用机械沿弹线边缘切割（切缝深度不小于70mm），确保断口边缘整齐，严禁人工大锤乱砸损坏周边路面。管线完成后按原结构层高标准恢复（级配碎石垫层+200mm厚C25早强混凝土面层），表面拉毛防滑，切缝灌注密封胶，洒水养护不少于7天。</w:t>
      </w:r>
    </w:p>
    <w:p w14:paraId="58C581E4">
      <w:pPr>
        <w:spacing w:before="0" w:after="40" w:line="300" w:lineRule="auto"/>
        <w:ind w:firstLine="420"/>
        <w:jc w:val="both"/>
      </w:pPr>
      <w:r>
        <w:rPr>
          <w:rFonts w:ascii="宋体" w:hAnsi="宋体" w:eastAsia="宋体"/>
          <w:b w:val="0"/>
          <w:sz w:val="21"/>
        </w:rPr>
        <w:t>6）箱式变电站选用与配置要求</w:t>
      </w:r>
    </w:p>
    <w:p w14:paraId="724F6AF9">
      <w:pPr>
        <w:spacing w:before="0" w:after="40" w:line="300" w:lineRule="auto"/>
        <w:ind w:firstLine="420"/>
        <w:jc w:val="both"/>
      </w:pPr>
      <w:r>
        <w:rPr>
          <w:rFonts w:ascii="宋体" w:hAnsi="宋体" w:eastAsia="宋体"/>
          <w:b w:val="0"/>
          <w:sz w:val="21"/>
        </w:rPr>
        <w:t>80kVA路灯箱变及160kVA配电箱变均选用标准户外预装式变电站结构，外壳防护等级不低于IP54，具备双层隔热阻燃及智能温湿度自动抽湿系统。高压室配置10kV六氟化硫（SF6）或真空负荷开关+熔断器组合电器，具备完善的“五防”机械闭锁功能；配电变压器选用低损耗Dyn11型节能变压器；低压室配置总开关、出线分路开关、智能电能计量表计及自动无功补偿装置（功率因数补偿至0.92以上）。80kVA箱变内置智慧照明控制终端（支持经纬度光控、时控及夜间调光）。元器件须选用供电局入网许可知名品牌。</w:t>
      </w:r>
    </w:p>
    <w:p w14:paraId="650DE3F4">
      <w:pPr>
        <w:spacing w:before="0" w:after="40" w:line="300" w:lineRule="auto"/>
        <w:ind w:firstLine="420"/>
        <w:jc w:val="both"/>
      </w:pPr>
      <w:r>
        <w:rPr>
          <w:rFonts w:ascii="宋体" w:hAnsi="宋体" w:eastAsia="宋体"/>
          <w:b w:val="0"/>
          <w:sz w:val="21"/>
        </w:rPr>
        <w:t>7）箱变基础、防护围栏与接地网</w:t>
      </w:r>
    </w:p>
    <w:p w14:paraId="29747EB8">
      <w:pPr>
        <w:spacing w:before="0" w:after="40" w:line="300" w:lineRule="auto"/>
        <w:ind w:firstLine="420"/>
        <w:jc w:val="both"/>
      </w:pPr>
      <w:r>
        <w:rPr>
          <w:rFonts w:ascii="宋体" w:hAnsi="宋体" w:eastAsia="宋体"/>
          <w:b w:val="0"/>
          <w:sz w:val="21"/>
        </w:rPr>
        <w:t>箱变基础采用C25钢筋混凝土筏板基础，基底地基承载力特征值不小于100kPa。基础顶面预埋[10#或[12#热镀锌槽钢底座，槽钢平整度误差≤1mm/m。160kVA箱变基础砌筑台阶楼梯并贴白色瓷砖。80kVA箱变配套6700×4300×2550mm热镀锌方钢围栏；160kVA箱变配套不锈钢防护围栏及C20独立混凝土基础。</w:t>
      </w:r>
    </w:p>
    <w:p w14:paraId="53CFFEBA">
      <w:pPr>
        <w:spacing w:before="0" w:after="40" w:line="300" w:lineRule="auto"/>
        <w:ind w:firstLine="420"/>
        <w:jc w:val="both"/>
      </w:pPr>
      <w:r>
        <w:rPr>
          <w:rFonts w:ascii="宋体" w:hAnsi="宋体" w:eastAsia="宋体"/>
          <w:b w:val="0"/>
          <w:sz w:val="21"/>
        </w:rPr>
        <w:t>基础外围敷设-40×4mm热镀锌扁钢闭合地网，四角打设L50×50×5镀锌角钢接地极（长2.5m）。箱变外壳、底座、变压器中性点、避雷器及电缆铠装层可靠接地，接地电阻实测值必须≤4.0Ω。</w:t>
      </w:r>
    </w:p>
    <w:p w14:paraId="0B1AA0FC">
      <w:pPr>
        <w:spacing w:before="0" w:after="40" w:line="300" w:lineRule="auto"/>
        <w:ind w:firstLine="420"/>
        <w:jc w:val="both"/>
      </w:pPr>
      <w:r>
        <w:rPr>
          <w:rFonts w:ascii="宋体" w:hAnsi="宋体" w:eastAsia="宋体"/>
          <w:b w:val="0"/>
          <w:sz w:val="21"/>
        </w:rPr>
        <w:t>8）高压电缆敷设与接头防爆制作</w:t>
      </w:r>
    </w:p>
    <w:p w14:paraId="5CD59B7C">
      <w:pPr>
        <w:spacing w:before="0" w:after="40" w:line="300" w:lineRule="auto"/>
        <w:ind w:firstLine="420"/>
        <w:jc w:val="both"/>
      </w:pPr>
      <w:r>
        <w:rPr>
          <w:rFonts w:ascii="宋体" w:hAnsi="宋体" w:eastAsia="宋体"/>
          <w:b w:val="0"/>
          <w:sz w:val="21"/>
        </w:rPr>
        <w:t>高压电缆选用ZR-YJV22-10kV-3×70及ZR-YJV22-8.7/15kV-3×70铜芯铠装电缆。电缆敷设采用滚轮牵引，弯曲半径不小于外径15倍，在井内呈波浪形自然放置并绑扎固定。高压电缆终端及中间接头采用优质冷缩型硅橡胶附件，由持证高压电工连续操作完成。中间接头必须安装高强度玻璃钢防爆盒，盒内充填防水绝缘密封胶。全线悬挂耐候搪瓷电缆标示牌。</w:t>
      </w:r>
    </w:p>
    <w:p w14:paraId="7AD4E958">
      <w:pPr>
        <w:spacing w:before="0" w:after="40" w:line="300" w:lineRule="auto"/>
        <w:ind w:firstLine="420"/>
        <w:jc w:val="both"/>
      </w:pPr>
      <w:r>
        <w:rPr>
          <w:rFonts w:ascii="宋体" w:hAnsi="宋体" w:eastAsia="宋体"/>
          <w:b w:val="0"/>
          <w:sz w:val="21"/>
        </w:rPr>
        <w:t>9）旧设施拆除、割接与发电车应急保电</w:t>
      </w:r>
    </w:p>
    <w:p w14:paraId="673F4279">
      <w:pPr>
        <w:spacing w:before="0" w:after="40" w:line="300" w:lineRule="auto"/>
        <w:ind w:firstLine="420"/>
        <w:jc w:val="both"/>
      </w:pPr>
      <w:r>
        <w:rPr>
          <w:rFonts w:ascii="宋体" w:hAnsi="宋体" w:eastAsia="宋体"/>
          <w:b w:val="0"/>
          <w:sz w:val="21"/>
        </w:rPr>
        <w:t>旧设施拆除必须在供电局下达停电调度令、办理第一种工作票并验电接地后方可作业。拆除的原160kVA箱变及旧高压电缆须保护性拆卸运输，完整移交至</w:t>
      </w:r>
      <w:r>
        <w:rPr>
          <w:rFonts w:hint="eastAsia" w:ascii="宋体" w:hAnsi="宋体" w:eastAsia="宋体"/>
          <w:b w:val="0"/>
          <w:sz w:val="21"/>
          <w:lang w:val="en-US" w:eastAsia="zh-CN"/>
        </w:rPr>
        <w:t>产权单位</w:t>
      </w:r>
      <w:r>
        <w:rPr>
          <w:rFonts w:ascii="宋体" w:hAnsi="宋体" w:eastAsia="宋体"/>
          <w:b w:val="0"/>
          <w:sz w:val="21"/>
        </w:rPr>
        <w:t>指定资产仓库并办理交接手续。</w:t>
      </w:r>
    </w:p>
    <w:p w14:paraId="78D770D5">
      <w:pPr>
        <w:spacing w:before="0" w:after="40" w:line="300" w:lineRule="auto"/>
        <w:ind w:firstLine="420"/>
        <w:jc w:val="both"/>
      </w:pPr>
      <w:r>
        <w:rPr>
          <w:rFonts w:ascii="宋体" w:hAnsi="宋体" w:eastAsia="宋体"/>
          <w:b w:val="0"/>
          <w:sz w:val="21"/>
        </w:rPr>
        <w:t>中标人须提供1台160kW应急柴油发电车（含操作司机及全套油料配件），提供8小时应急保电服务。提前编制停电割接方案报供电局审批，严格执行倒闸操作程序，确保割接平稳有序。</w:t>
      </w:r>
    </w:p>
    <w:p w14:paraId="65D2827E">
      <w:pPr>
        <w:spacing w:before="0" w:after="40" w:line="300" w:lineRule="auto"/>
        <w:ind w:firstLine="420"/>
        <w:jc w:val="both"/>
      </w:pPr>
      <w:r>
        <w:rPr>
          <w:rFonts w:ascii="宋体" w:hAnsi="宋体" w:eastAsia="宋体"/>
          <w:b w:val="0"/>
          <w:sz w:val="21"/>
        </w:rPr>
        <w:t>10）标识桩、标牌与供电6S安全标示</w:t>
      </w:r>
      <w:bookmarkStart w:id="0" w:name="_GoBack"/>
      <w:bookmarkEnd w:id="0"/>
    </w:p>
    <w:p w14:paraId="04313627">
      <w:pPr>
        <w:spacing w:before="0" w:after="40" w:line="300" w:lineRule="auto"/>
        <w:ind w:firstLine="420"/>
        <w:jc w:val="both"/>
      </w:pPr>
      <w:r>
        <w:rPr>
          <w:rFonts w:ascii="宋体" w:hAnsi="宋体" w:eastAsia="宋体"/>
          <w:b w:val="0"/>
          <w:sz w:val="21"/>
        </w:rPr>
        <w:t>电缆沿线按规范设置管道标识桩与搪瓷标示牌。箱变本体及电缆线路上按南方电网及珠海供电局最新标准设置供电工程6S安全标示体系（包含设备相色标牌、高压危险警示牌、操作模拟图板、相序标识等）。</w:t>
      </w:r>
    </w:p>
    <w:p w14:paraId="6A558B0F">
      <w:pPr>
        <w:spacing w:before="160" w:after="60" w:line="300" w:lineRule="auto"/>
        <w:jc w:val="left"/>
      </w:pPr>
      <w:r>
        <w:rPr>
          <w:rFonts w:ascii="黑体" w:hAnsi="黑体" w:eastAsia="黑体"/>
          <w:b/>
          <w:sz w:val="24"/>
        </w:rPr>
        <w:t>三、施工要求及注意事项</w:t>
      </w:r>
    </w:p>
    <w:p w14:paraId="0AEB4A24">
      <w:pPr>
        <w:spacing w:before="0" w:after="40" w:line="300" w:lineRule="auto"/>
        <w:ind w:firstLine="420"/>
        <w:jc w:val="both"/>
      </w:pPr>
      <w:r>
        <w:rPr>
          <w:rFonts w:ascii="宋体" w:hAnsi="宋体" w:eastAsia="宋体"/>
          <w:b w:val="0"/>
          <w:sz w:val="21"/>
        </w:rPr>
        <w:t>1、所有电缆工作井及箱变基础均按有地下水情况施工，井盖顶面高程与机动车道、人行道或绿化带设计标高齐平；井盖样式与标示须满足珠海供电局标准化要求。</w:t>
      </w:r>
    </w:p>
    <w:p w14:paraId="2D700635">
      <w:pPr>
        <w:spacing w:before="0" w:after="40" w:line="300" w:lineRule="auto"/>
        <w:ind w:firstLine="420"/>
        <w:jc w:val="both"/>
      </w:pPr>
      <w:r>
        <w:rPr>
          <w:rFonts w:ascii="宋体" w:hAnsi="宋体" w:eastAsia="宋体"/>
          <w:b w:val="0"/>
          <w:sz w:val="21"/>
        </w:rPr>
        <w:t>2、绿化带等空旷位置埋设电力管道标识桩，硬化路面镶嵌或锚固电缆标识牌，标明线路走向、转弯及电缆接头位置。</w:t>
      </w:r>
    </w:p>
    <w:p w14:paraId="38ACB9D9">
      <w:pPr>
        <w:spacing w:before="0" w:after="40" w:line="300" w:lineRule="auto"/>
        <w:ind w:firstLine="420"/>
        <w:jc w:val="both"/>
      </w:pPr>
      <w:r>
        <w:rPr>
          <w:rFonts w:ascii="宋体" w:hAnsi="宋体" w:eastAsia="宋体"/>
          <w:b w:val="0"/>
          <w:sz w:val="21"/>
        </w:rPr>
        <w:t>3、管线若穿越现状低洼地及软弱土层，施工前须进行清淤、换填及压实加固，确保管线地基均匀稳固。</w:t>
      </w:r>
    </w:p>
    <w:p w14:paraId="501FA4AC">
      <w:pPr>
        <w:spacing w:before="0" w:after="40" w:line="300" w:lineRule="auto"/>
        <w:ind w:firstLine="420"/>
        <w:jc w:val="both"/>
      </w:pPr>
      <w:r>
        <w:rPr>
          <w:rFonts w:ascii="宋体" w:hAnsi="宋体" w:eastAsia="宋体"/>
          <w:b w:val="0"/>
          <w:sz w:val="21"/>
        </w:rPr>
        <w:t>4、施工期间须严格控制沟槽开挖深度及边坡稳定，遇深基坑必须做钢板桩支护；雨季施工应加强排水与防塌方措施，确保作业面干燥稳固。</w:t>
      </w:r>
    </w:p>
    <w:p w14:paraId="6C4DC354">
      <w:pPr>
        <w:spacing w:before="0" w:after="40" w:line="300" w:lineRule="auto"/>
        <w:ind w:firstLine="420"/>
        <w:jc w:val="both"/>
      </w:pPr>
      <w:r>
        <w:rPr>
          <w:rFonts w:ascii="宋体" w:hAnsi="宋体" w:eastAsia="宋体"/>
          <w:b w:val="0"/>
          <w:sz w:val="21"/>
        </w:rPr>
        <w:t>5、所有高低压设备、电缆、管材进场前须查验合格证、检验报告及CCC认证，并经监理单位现场见证取样复检，严禁不合格产品用于工程实体。</w:t>
      </w:r>
    </w:p>
    <w:p w14:paraId="1B1199A9">
      <w:pPr>
        <w:spacing w:before="0" w:after="40" w:line="300" w:lineRule="auto"/>
        <w:ind w:firstLine="420"/>
        <w:jc w:val="both"/>
      </w:pPr>
      <w:r>
        <w:rPr>
          <w:rFonts w:ascii="宋体" w:hAnsi="宋体" w:eastAsia="宋体"/>
          <w:b w:val="0"/>
          <w:sz w:val="21"/>
        </w:rPr>
        <w:t>6、竣工资料应同步整理归档，包括隐蔽工程影像、回填密实度检测记录、电缆耐压试验报告、接地阻抗测试报告等，确保全过程可追溯。</w:t>
      </w:r>
    </w:p>
    <w:p w14:paraId="0C7C11B7">
      <w:pPr>
        <w:spacing w:before="0" w:after="40" w:line="300" w:lineRule="auto"/>
        <w:ind w:firstLine="420"/>
        <w:jc w:val="both"/>
      </w:pPr>
      <w:r>
        <w:rPr>
          <w:rFonts w:ascii="宋体" w:hAnsi="宋体" w:eastAsia="宋体"/>
          <w:b w:val="0"/>
          <w:sz w:val="21"/>
        </w:rPr>
        <w:t>7、高压电缆敷设完毕后必须按GB 50150规范进行交流耐压试验（串联谐振试验）及绝缘电阻测试，试验合格后方可进行后续封盖与通电。</w:t>
      </w:r>
    </w:p>
    <w:p w14:paraId="3A28E4DD">
      <w:pPr>
        <w:spacing w:before="0" w:after="40" w:line="300" w:lineRule="auto"/>
        <w:ind w:firstLine="420"/>
        <w:jc w:val="both"/>
      </w:pPr>
      <w:r>
        <w:rPr>
          <w:rFonts w:ascii="宋体" w:hAnsi="宋体" w:eastAsia="宋体"/>
          <w:b w:val="0"/>
          <w:sz w:val="21"/>
        </w:rPr>
        <w:t>8、竣工验收前须完成箱变继电保护整定校验、自动无功补偿调试及试运行，并出具具有CMA/CNAS资质的第三方电气检测报告。</w:t>
      </w:r>
    </w:p>
    <w:p w14:paraId="5107B816">
      <w:pPr>
        <w:spacing w:before="0" w:after="40" w:line="300" w:lineRule="auto"/>
        <w:ind w:firstLine="420"/>
        <w:jc w:val="both"/>
      </w:pPr>
      <w:r>
        <w:rPr>
          <w:rFonts w:ascii="宋体" w:hAnsi="宋体" w:eastAsia="宋体"/>
          <w:b w:val="0"/>
          <w:sz w:val="21"/>
        </w:rPr>
        <w:t>9、施工全过程须严格落实文明施工与环保措施，控制扬尘、噪声及泥浆排放，现场裸露土方实施100%密目绿网覆盖，运输车辆冲洗干净方可出场。</w:t>
      </w:r>
    </w:p>
    <w:p w14:paraId="5FF30577">
      <w:pPr>
        <w:spacing w:before="0" w:after="40" w:line="300" w:lineRule="auto"/>
        <w:ind w:firstLine="420"/>
        <w:jc w:val="both"/>
      </w:pPr>
      <w:r>
        <w:rPr>
          <w:rFonts w:ascii="宋体" w:hAnsi="宋体" w:eastAsia="宋体"/>
          <w:b w:val="0"/>
          <w:sz w:val="21"/>
        </w:rPr>
        <w:t>10、涉及交通路口及学校周边施工，应优化交通导行方案，设置反光警示围挡与夜间警示灯，最大限度减少对公众出行的影响。</w:t>
      </w:r>
    </w:p>
    <w:p w14:paraId="2EF4382E">
      <w:pPr>
        <w:spacing w:before="0" w:after="40" w:line="300" w:lineRule="auto"/>
        <w:ind w:firstLine="420"/>
        <w:jc w:val="both"/>
      </w:pPr>
      <w:r>
        <w:rPr>
          <w:rFonts w:ascii="宋体" w:hAnsi="宋体" w:eastAsia="宋体"/>
          <w:b w:val="0"/>
          <w:sz w:val="21"/>
        </w:rPr>
        <w:t>11、所有特种作业人员必须持证上岗（高压电工作业证），严格遵守电力安全工作规程，基坑临边设硬质防护栏。</w:t>
      </w:r>
    </w:p>
    <w:p w14:paraId="069EDD94">
      <w:pPr>
        <w:spacing w:before="0" w:after="40" w:line="300" w:lineRule="auto"/>
        <w:ind w:firstLine="420"/>
        <w:jc w:val="both"/>
      </w:pPr>
      <w:r>
        <w:rPr>
          <w:rFonts w:ascii="宋体" w:hAnsi="宋体" w:eastAsia="宋体"/>
          <w:b w:val="0"/>
          <w:sz w:val="21"/>
        </w:rPr>
        <w:t>12、电缆沟槽回填应分层夯实，每层回填厚度不超过30cm，密实度不低于90%，严禁回填建筑垃圾与大块石。</w:t>
      </w:r>
    </w:p>
    <w:p w14:paraId="4CFA6A35">
      <w:pPr>
        <w:spacing w:before="0" w:after="40" w:line="300" w:lineRule="auto"/>
        <w:ind w:firstLine="420"/>
        <w:jc w:val="both"/>
      </w:pPr>
      <w:r>
        <w:rPr>
          <w:rFonts w:ascii="宋体" w:hAnsi="宋体" w:eastAsia="宋体"/>
          <w:b w:val="0"/>
          <w:sz w:val="21"/>
        </w:rPr>
        <w:t>13、施工期间应做好现场临时排水截水措施，防止雨水倒灌或浸泡沟槽基础。</w:t>
      </w:r>
    </w:p>
    <w:p w14:paraId="47255956">
      <w:pPr>
        <w:spacing w:before="0" w:after="40" w:line="300" w:lineRule="auto"/>
        <w:ind w:firstLine="420"/>
        <w:jc w:val="both"/>
      </w:pPr>
      <w:r>
        <w:rPr>
          <w:rFonts w:ascii="宋体" w:hAnsi="宋体" w:eastAsia="宋体"/>
          <w:b w:val="0"/>
          <w:sz w:val="21"/>
        </w:rPr>
        <w:t>14、竣工资料须及时整理归档，含隐蔽工程影像、电气交接试验报告及测量坐标记录，一式六份提交备案。</w:t>
      </w:r>
    </w:p>
    <w:p w14:paraId="661917F1">
      <w:pPr>
        <w:spacing w:before="160" w:after="60" w:line="300" w:lineRule="auto"/>
        <w:jc w:val="left"/>
      </w:pPr>
      <w:r>
        <w:rPr>
          <w:rFonts w:ascii="黑体" w:hAnsi="黑体" w:eastAsia="黑体"/>
          <w:b/>
          <w:sz w:val="24"/>
        </w:rPr>
        <w:t>四、工期要求</w:t>
      </w:r>
    </w:p>
    <w:p w14:paraId="4ACB9809">
      <w:pPr>
        <w:spacing w:before="0" w:after="40" w:line="300" w:lineRule="auto"/>
        <w:ind w:firstLine="420"/>
        <w:jc w:val="both"/>
      </w:pPr>
      <w:r>
        <w:rPr>
          <w:rFonts w:ascii="宋体" w:hAnsi="宋体" w:eastAsia="宋体"/>
          <w:b w:val="0"/>
          <w:sz w:val="21"/>
        </w:rPr>
        <w:t>1、总工期</w:t>
      </w:r>
    </w:p>
    <w:p w14:paraId="5DAAD3F6">
      <w:pPr>
        <w:spacing w:before="0" w:after="40" w:line="300" w:lineRule="auto"/>
        <w:ind w:firstLine="420"/>
        <w:jc w:val="both"/>
      </w:pPr>
      <w:r>
        <w:rPr>
          <w:rFonts w:ascii="宋体" w:hAnsi="宋体" w:eastAsia="宋体"/>
          <w:b w:val="0"/>
          <w:sz w:val="21"/>
        </w:rPr>
        <w:t>（1）详见总体进度计划中关于承包范围内工期安排（具体按招标文件约定，需紧密配合整体项目市政道路施工进度）。</w:t>
      </w:r>
    </w:p>
    <w:p w14:paraId="370219E5">
      <w:pPr>
        <w:spacing w:before="0" w:after="40" w:line="300" w:lineRule="auto"/>
        <w:ind w:firstLine="420"/>
        <w:jc w:val="both"/>
      </w:pPr>
      <w:r>
        <w:rPr>
          <w:rFonts w:ascii="宋体" w:hAnsi="宋体" w:eastAsia="宋体"/>
          <w:b w:val="0"/>
          <w:sz w:val="21"/>
        </w:rPr>
        <w:t>2、关键节点</w:t>
      </w:r>
    </w:p>
    <w:p w14:paraId="2C0586DD">
      <w:pPr>
        <w:spacing w:before="0" w:after="40" w:line="300" w:lineRule="auto"/>
        <w:ind w:firstLine="420"/>
        <w:jc w:val="both"/>
      </w:pPr>
      <w:r>
        <w:rPr>
          <w:rFonts w:ascii="宋体" w:hAnsi="宋体" w:eastAsia="宋体"/>
          <w:b w:val="0"/>
          <w:sz w:val="21"/>
        </w:rPr>
        <w:t>（1）均昌路电力迁改及管沟：≤60天；</w:t>
      </w:r>
    </w:p>
    <w:p w14:paraId="6DED7094">
      <w:pPr>
        <w:spacing w:before="0" w:after="40" w:line="300" w:lineRule="auto"/>
        <w:ind w:firstLine="420"/>
        <w:jc w:val="both"/>
      </w:pPr>
      <w:r>
        <w:rPr>
          <w:rFonts w:ascii="宋体" w:hAnsi="宋体" w:eastAsia="宋体"/>
          <w:b w:val="0"/>
          <w:sz w:val="21"/>
        </w:rPr>
        <w:t>（2）广湾街电力迁改及管沟：≤15天；</w:t>
      </w:r>
    </w:p>
    <w:p w14:paraId="5EDAF2EC">
      <w:pPr>
        <w:spacing w:before="0" w:after="40" w:line="300" w:lineRule="auto"/>
        <w:ind w:firstLine="420"/>
        <w:jc w:val="both"/>
      </w:pPr>
      <w:r>
        <w:rPr>
          <w:rFonts w:ascii="宋体" w:hAnsi="宋体" w:eastAsia="宋体"/>
          <w:b w:val="0"/>
          <w:sz w:val="21"/>
        </w:rPr>
        <w:t>（3）新翠路电力迁改及管沟：≤100天；</w:t>
      </w:r>
    </w:p>
    <w:p w14:paraId="5D775EE4">
      <w:pPr>
        <w:spacing w:before="0" w:after="40" w:line="300" w:lineRule="auto"/>
        <w:ind w:firstLine="420"/>
        <w:jc w:val="both"/>
      </w:pPr>
      <w:r>
        <w:rPr>
          <w:rFonts w:ascii="宋体" w:hAnsi="宋体" w:eastAsia="宋体"/>
          <w:b w:val="0"/>
          <w:sz w:val="21"/>
        </w:rPr>
        <w:t>（4）箱式变电站安装、高压电缆敷设及调试送电：配合总包及供电局停电计划，在总包节点要求内完成通电。</w:t>
      </w:r>
    </w:p>
    <w:p w14:paraId="3CAEC3A3">
      <w:pPr>
        <w:spacing w:before="0" w:after="40" w:line="300" w:lineRule="auto"/>
        <w:ind w:firstLine="420"/>
        <w:jc w:val="both"/>
      </w:pPr>
      <w:r>
        <w:rPr>
          <w:rFonts w:ascii="宋体" w:hAnsi="宋体" w:eastAsia="宋体"/>
          <w:b w:val="0"/>
          <w:sz w:val="21"/>
        </w:rPr>
        <w:t>3、工期调整</w:t>
      </w:r>
    </w:p>
    <w:p w14:paraId="2DB71228">
      <w:pPr>
        <w:spacing w:before="0" w:after="40" w:line="300" w:lineRule="auto"/>
        <w:ind w:firstLine="420"/>
        <w:jc w:val="both"/>
      </w:pPr>
      <w:r>
        <w:rPr>
          <w:rFonts w:ascii="宋体" w:hAnsi="宋体" w:eastAsia="宋体"/>
          <w:b w:val="0"/>
          <w:sz w:val="21"/>
        </w:rPr>
        <w:t>（1）因不可抗力（如台风、特大暴雨）或供电局调度停电窗口调整影响工期，需在24小时内向发包单位提出书面报告，办理工期顺延手续。</w:t>
      </w:r>
    </w:p>
    <w:p w14:paraId="0910EC98">
      <w:pPr>
        <w:spacing w:before="160" w:after="60" w:line="300" w:lineRule="auto"/>
        <w:jc w:val="left"/>
      </w:pPr>
      <w:r>
        <w:rPr>
          <w:rFonts w:ascii="黑体" w:hAnsi="黑体" w:eastAsia="黑体"/>
          <w:b/>
          <w:sz w:val="24"/>
        </w:rPr>
        <w:t>五、项目团队与售后服务要求</w:t>
      </w:r>
    </w:p>
    <w:p w14:paraId="09DC8461">
      <w:pPr>
        <w:spacing w:before="0" w:after="40" w:line="300" w:lineRule="auto"/>
        <w:ind w:firstLine="420"/>
        <w:jc w:val="both"/>
      </w:pPr>
      <w:r>
        <w:rPr>
          <w:rFonts w:ascii="宋体" w:hAnsi="宋体" w:eastAsia="宋体"/>
          <w:b w:val="0"/>
          <w:sz w:val="21"/>
        </w:rPr>
        <w:t>1、项目经理及技术人员要求：</w:t>
      </w:r>
    </w:p>
    <w:p w14:paraId="13C78B2C">
      <w:pPr>
        <w:spacing w:before="0" w:after="40" w:line="300" w:lineRule="auto"/>
        <w:ind w:firstLine="420"/>
        <w:jc w:val="both"/>
      </w:pPr>
      <w:r>
        <w:rPr>
          <w:rFonts w:ascii="宋体" w:hAnsi="宋体" w:eastAsia="宋体"/>
          <w:b w:val="0"/>
          <w:sz w:val="21"/>
        </w:rPr>
        <w:t>（1）拟派项目经理须具备机电工程专业二级及以上注册建造师执业资格，且持有有效的安全生产考核合格证书（B证）；</w:t>
      </w:r>
    </w:p>
    <w:p w14:paraId="35333662">
      <w:pPr>
        <w:spacing w:before="0" w:after="40" w:line="300" w:lineRule="auto"/>
        <w:ind w:firstLine="420"/>
        <w:jc w:val="both"/>
      </w:pPr>
      <w:r>
        <w:rPr>
          <w:rFonts w:ascii="宋体" w:hAnsi="宋体" w:eastAsia="宋体"/>
          <w:b w:val="0"/>
          <w:sz w:val="21"/>
        </w:rPr>
        <w:t>（2）具有类似规模（合同额≥150万元）的电力迁改或配电变电工程施工管理经验；</w:t>
      </w:r>
    </w:p>
    <w:p w14:paraId="7DB0F9AF">
      <w:pPr>
        <w:spacing w:before="0" w:after="40" w:line="300" w:lineRule="auto"/>
        <w:ind w:firstLine="420"/>
        <w:jc w:val="both"/>
      </w:pPr>
      <w:r>
        <w:rPr>
          <w:rFonts w:ascii="宋体" w:hAnsi="宋体" w:eastAsia="宋体"/>
          <w:b w:val="0"/>
          <w:sz w:val="21"/>
        </w:rPr>
        <w:t>（3）须提供近半年在本投标单位连续缴纳社保的证明；</w:t>
      </w:r>
    </w:p>
    <w:p w14:paraId="7A0D314E">
      <w:pPr>
        <w:spacing w:before="0" w:after="40" w:line="300" w:lineRule="auto"/>
        <w:ind w:firstLine="420"/>
        <w:jc w:val="both"/>
      </w:pPr>
      <w:r>
        <w:rPr>
          <w:rFonts w:ascii="宋体" w:hAnsi="宋体" w:eastAsia="宋体"/>
          <w:b w:val="0"/>
          <w:sz w:val="21"/>
        </w:rPr>
        <w:t>（4）施工现场配备专职安全员（C证）及持特种作业操作证的高压电工，作业期间必须全过程在岗履职。</w:t>
      </w:r>
    </w:p>
    <w:p w14:paraId="6F45B304">
      <w:pPr>
        <w:spacing w:before="0" w:after="40" w:line="300" w:lineRule="auto"/>
        <w:ind w:firstLine="420"/>
        <w:jc w:val="both"/>
      </w:pPr>
      <w:r>
        <w:rPr>
          <w:rFonts w:ascii="宋体" w:hAnsi="宋体" w:eastAsia="宋体"/>
          <w:b w:val="0"/>
          <w:sz w:val="21"/>
        </w:rPr>
        <w:t>2、团队稳定性：</w:t>
      </w:r>
    </w:p>
    <w:p w14:paraId="68A39050">
      <w:pPr>
        <w:spacing w:before="0" w:after="40" w:line="300" w:lineRule="auto"/>
        <w:ind w:firstLine="420"/>
        <w:jc w:val="both"/>
      </w:pPr>
      <w:r>
        <w:rPr>
          <w:rFonts w:ascii="宋体" w:hAnsi="宋体" w:eastAsia="宋体"/>
          <w:b w:val="0"/>
          <w:sz w:val="21"/>
        </w:rPr>
        <w:t>中标单位须承诺项目实施期间，项目经理及主要技术人员原则上不得更换。确因不可抗力需更换的，新替补人员资质不得低于原投标人员，且须提前7个工作日向甲方提出书面申请并获得批准，否则甲方有权依据合同相关条款进行处罚。</w:t>
      </w:r>
    </w:p>
    <w:p w14:paraId="43A4E075">
      <w:pPr>
        <w:spacing w:before="0" w:after="40" w:line="300" w:lineRule="auto"/>
        <w:ind w:firstLine="420"/>
        <w:jc w:val="both"/>
      </w:pPr>
      <w:r>
        <w:rPr>
          <w:rFonts w:ascii="宋体" w:hAnsi="宋体" w:eastAsia="宋体"/>
          <w:b w:val="0"/>
          <w:sz w:val="21"/>
        </w:rPr>
        <w:t>3、质量保修与应急服务：</w:t>
      </w:r>
    </w:p>
    <w:p w14:paraId="2EF2A8F3">
      <w:pPr>
        <w:spacing w:before="0" w:after="40" w:line="300" w:lineRule="auto"/>
        <w:ind w:firstLine="420"/>
        <w:jc w:val="both"/>
      </w:pPr>
      <w:r>
        <w:rPr>
          <w:rFonts w:ascii="宋体" w:hAnsi="宋体" w:eastAsia="宋体"/>
          <w:b w:val="0"/>
          <w:sz w:val="21"/>
        </w:rPr>
        <w:t>本工程质量保修期自通过供电局正式验收送电并移交之日起算，质保期为2年。质保期内发生供电或设备故障，中标人须在接到通知后2小时内赶到现场，4小时内排除故障恢复正常供电。</w:t>
      </w:r>
    </w:p>
    <w:p w14:paraId="18DCB0BB">
      <w:pPr>
        <w:spacing w:before="160" w:after="60" w:line="300" w:lineRule="auto"/>
        <w:jc w:val="left"/>
      </w:pPr>
      <w:r>
        <w:rPr>
          <w:rFonts w:ascii="黑体" w:hAnsi="黑体" w:eastAsia="黑体"/>
          <w:b/>
          <w:sz w:val="24"/>
        </w:rPr>
        <w:t>六、影像资料要求</w:t>
      </w:r>
    </w:p>
    <w:p w14:paraId="3FB5B47F">
      <w:pPr>
        <w:spacing w:before="0" w:after="40" w:line="300" w:lineRule="auto"/>
        <w:ind w:firstLine="420"/>
        <w:jc w:val="both"/>
      </w:pPr>
      <w:r>
        <w:rPr>
          <w:rFonts w:ascii="宋体" w:hAnsi="宋体" w:eastAsia="宋体"/>
          <w:b w:val="0"/>
          <w:sz w:val="21"/>
        </w:rPr>
        <w:t>1、影像资料五大核心要素</w:t>
      </w:r>
    </w:p>
    <w:p w14:paraId="5DF273FE">
      <w:pPr>
        <w:spacing w:before="0" w:after="40" w:line="300" w:lineRule="auto"/>
        <w:ind w:firstLine="420"/>
        <w:jc w:val="both"/>
      </w:pPr>
      <w:r>
        <w:rPr>
          <w:rFonts w:ascii="宋体" w:hAnsi="宋体" w:eastAsia="宋体"/>
          <w:b w:val="0"/>
          <w:sz w:val="21"/>
        </w:rPr>
        <w:t>所有施工影像资料需同时包含以下五大要素，水印清晰可见（照片分辨率≥1200万像素，视频≥1080P）：</w:t>
      </w:r>
    </w:p>
    <w:p w14:paraId="741166F7">
      <w:pPr>
        <w:spacing w:before="0" w:after="40" w:line="300" w:lineRule="auto"/>
        <w:ind w:firstLine="420"/>
        <w:jc w:val="both"/>
      </w:pPr>
      <w:r>
        <w:rPr>
          <w:rFonts w:ascii="宋体" w:hAnsi="宋体" w:eastAsia="宋体"/>
          <w:b w:val="0"/>
          <w:sz w:val="21"/>
        </w:rPr>
        <w:t>（1）基础要素：项目名称（固定为“广昌保障房配套基础设施项目 - 箱变及电力迁改工程”）；</w:t>
      </w:r>
    </w:p>
    <w:p w14:paraId="1A2F8C68">
      <w:pPr>
        <w:spacing w:before="0" w:after="40" w:line="300" w:lineRule="auto"/>
        <w:ind w:firstLine="420"/>
        <w:jc w:val="both"/>
      </w:pPr>
      <w:r>
        <w:rPr>
          <w:rFonts w:ascii="宋体" w:hAnsi="宋体" w:eastAsia="宋体"/>
          <w:b w:val="0"/>
          <w:sz w:val="21"/>
        </w:rPr>
        <w:t>（2）时空要素：拍摄时间（精确到秒，格式“YYYY-MM-DD HH:MM:SS”）、经纬度（误差≤10米，同步显示坐标值）；</w:t>
      </w:r>
    </w:p>
    <w:p w14:paraId="038B715A">
      <w:pPr>
        <w:spacing w:before="0" w:after="40" w:line="300" w:lineRule="auto"/>
        <w:ind w:firstLine="420"/>
        <w:jc w:val="both"/>
      </w:pPr>
      <w:r>
        <w:rPr>
          <w:rFonts w:ascii="宋体" w:hAnsi="宋体" w:eastAsia="宋体"/>
          <w:b w:val="0"/>
          <w:sz w:val="21"/>
        </w:rPr>
        <w:t>（3）工序要素：分项工程名称 + 具体工序 + 施工部位（如“电力排管 - 管枕绑扎及水密回填 - 新翠路 K0+200-K0+250”）；</w:t>
      </w:r>
    </w:p>
    <w:p w14:paraId="571F4A12">
      <w:pPr>
        <w:spacing w:before="0" w:after="40" w:line="300" w:lineRule="auto"/>
        <w:ind w:firstLine="420"/>
        <w:jc w:val="both"/>
      </w:pPr>
      <w:r>
        <w:rPr>
          <w:rFonts w:ascii="宋体" w:hAnsi="宋体" w:eastAsia="宋体"/>
          <w:b w:val="0"/>
          <w:sz w:val="21"/>
        </w:rPr>
        <w:t>（4）责任要素：施工班组名称 + 班组长姓名（如“高压电缆班组 - 张三”）；</w:t>
      </w:r>
    </w:p>
    <w:p w14:paraId="12B1C712">
      <w:pPr>
        <w:spacing w:before="0" w:after="40" w:line="300" w:lineRule="auto"/>
        <w:ind w:firstLine="420"/>
        <w:jc w:val="both"/>
      </w:pPr>
      <w:r>
        <w:rPr>
          <w:rFonts w:ascii="宋体" w:hAnsi="宋体" w:eastAsia="宋体"/>
          <w:b w:val="0"/>
          <w:sz w:val="21"/>
        </w:rPr>
        <w:t>（5）监管要素：珠海地方要求的“建管通” APP 水印（需接入珠海市建设工程质量安全监督管理平台，自动同步上传状态）。</w:t>
      </w:r>
    </w:p>
    <w:p w14:paraId="1DD1DCD9">
      <w:pPr>
        <w:spacing w:before="0" w:after="40" w:line="300" w:lineRule="auto"/>
        <w:ind w:firstLine="420"/>
        <w:jc w:val="both"/>
      </w:pPr>
      <w:r>
        <w:rPr>
          <w:rFonts w:ascii="宋体" w:hAnsi="宋体" w:eastAsia="宋体"/>
          <w:b w:val="0"/>
          <w:sz w:val="21"/>
        </w:rPr>
        <w:t>2、各分项工程影像拍摄专项要求</w:t>
      </w:r>
    </w:p>
    <w:p w14:paraId="0701DE60">
      <w:pPr>
        <w:spacing w:before="0" w:after="40" w:line="300" w:lineRule="auto"/>
        <w:ind w:firstLine="420"/>
        <w:jc w:val="both"/>
      </w:pPr>
      <w:r>
        <w:rPr>
          <w:rFonts w:ascii="宋体" w:hAnsi="宋体" w:eastAsia="宋体"/>
          <w:b w:val="0"/>
          <w:sz w:val="21"/>
        </w:rPr>
        <w:t>（1）管沟开挖与基底支护：拍摄探槽开挖、地下管线核查、钢板桩支护及基底标高复核；</w:t>
      </w:r>
    </w:p>
    <w:p w14:paraId="5C0B019F">
      <w:pPr>
        <w:spacing w:before="0" w:after="40" w:line="300" w:lineRule="auto"/>
        <w:ind w:firstLine="420"/>
        <w:jc w:val="both"/>
      </w:pPr>
      <w:r>
        <w:rPr>
          <w:rFonts w:ascii="宋体" w:hAnsi="宋体" w:eastAsia="宋体"/>
          <w:b w:val="0"/>
          <w:sz w:val="21"/>
        </w:rPr>
        <w:t>（2）材料及设备进场验收：拍摄箱变外观、高压电缆、管材合格证、铭牌及见证取样封样；</w:t>
      </w:r>
    </w:p>
    <w:p w14:paraId="0224E076">
      <w:pPr>
        <w:spacing w:before="0" w:after="40" w:line="300" w:lineRule="auto"/>
        <w:ind w:firstLine="420"/>
        <w:jc w:val="both"/>
      </w:pPr>
      <w:r>
        <w:rPr>
          <w:rFonts w:ascii="宋体" w:hAnsi="宋体" w:eastAsia="宋体"/>
          <w:b w:val="0"/>
          <w:sz w:val="21"/>
        </w:rPr>
        <w:t>（3）排管敷设与混凝土包封：拍摄管枕间距、排管绑扎、包封钢筋及C25混凝土浇筑全过程；</w:t>
      </w:r>
    </w:p>
    <w:p w14:paraId="2D311E2A">
      <w:pPr>
        <w:spacing w:before="0" w:after="40" w:line="300" w:lineRule="auto"/>
        <w:ind w:firstLine="420"/>
        <w:jc w:val="both"/>
      </w:pPr>
      <w:r>
        <w:rPr>
          <w:rFonts w:ascii="宋体" w:hAnsi="宋体" w:eastAsia="宋体"/>
          <w:b w:val="0"/>
          <w:sz w:val="21"/>
        </w:rPr>
        <w:t>（4）电缆井及行车井施工：拍摄垫层、钢筋绑扎、C25抗渗浇筑、预制行车盖板C型钢包边及防坠网安装；</w:t>
      </w:r>
    </w:p>
    <w:p w14:paraId="21BB71B7">
      <w:pPr>
        <w:spacing w:before="0" w:after="40" w:line="300" w:lineRule="auto"/>
        <w:ind w:firstLine="420"/>
        <w:jc w:val="both"/>
      </w:pPr>
      <w:r>
        <w:rPr>
          <w:rFonts w:ascii="宋体" w:hAnsi="宋体" w:eastAsia="宋体"/>
          <w:b w:val="0"/>
          <w:sz w:val="21"/>
        </w:rPr>
        <w:t>（5）箱变基础及接地网施工：拍摄筏板基础、预埋槽钢水平度、-40×4接地网焊接及接地电阻摇测读数；</w:t>
      </w:r>
    </w:p>
    <w:p w14:paraId="0D3AD014">
      <w:pPr>
        <w:spacing w:before="0" w:after="40" w:line="300" w:lineRule="auto"/>
        <w:ind w:firstLine="420"/>
        <w:jc w:val="both"/>
      </w:pPr>
      <w:r>
        <w:rPr>
          <w:rFonts w:ascii="宋体" w:hAnsi="宋体" w:eastAsia="宋体"/>
          <w:b w:val="0"/>
          <w:sz w:val="21"/>
        </w:rPr>
        <w:t>（6）高压电缆敷设与中间头制作：拍摄滚轮敷设、冷缩中间接头制作剥切尺寸、玻璃钢防爆盒注胶密封；</w:t>
      </w:r>
    </w:p>
    <w:p w14:paraId="7CBD92C9">
      <w:pPr>
        <w:spacing w:before="0" w:after="40" w:line="300" w:lineRule="auto"/>
        <w:ind w:firstLine="420"/>
        <w:jc w:val="both"/>
      </w:pPr>
      <w:r>
        <w:rPr>
          <w:rFonts w:ascii="宋体" w:hAnsi="宋体" w:eastAsia="宋体"/>
          <w:b w:val="0"/>
          <w:sz w:val="21"/>
        </w:rPr>
        <w:t>（7）高压耐压试验与电气调试：拍摄串联谐振试验接线、耐压读数、保护定值校验及监理旁站；</w:t>
      </w:r>
    </w:p>
    <w:p w14:paraId="6DF863DB">
      <w:pPr>
        <w:spacing w:before="0" w:after="40" w:line="300" w:lineRule="auto"/>
        <w:ind w:firstLine="420"/>
        <w:jc w:val="both"/>
      </w:pPr>
      <w:r>
        <w:rPr>
          <w:rFonts w:ascii="宋体" w:hAnsi="宋体" w:eastAsia="宋体"/>
          <w:b w:val="0"/>
          <w:sz w:val="21"/>
        </w:rPr>
        <w:t>（8）旧设备拆除与移交：拍摄停电验电接地、旧箱变装车、供电局仓库卸车交接签认；</w:t>
      </w:r>
    </w:p>
    <w:p w14:paraId="241277F9">
      <w:pPr>
        <w:spacing w:before="0" w:after="40" w:line="300" w:lineRule="auto"/>
        <w:ind w:firstLine="420"/>
        <w:jc w:val="both"/>
      </w:pPr>
      <w:r>
        <w:rPr>
          <w:rFonts w:ascii="宋体" w:hAnsi="宋体" w:eastAsia="宋体"/>
          <w:b w:val="0"/>
          <w:sz w:val="21"/>
        </w:rPr>
        <w:t>（9）应急保电与不停电割接：拍摄160kW发电车就位接线、运行发电参数及倒闸操作；</w:t>
      </w:r>
    </w:p>
    <w:p w14:paraId="4845ACA9">
      <w:pPr>
        <w:spacing w:before="0" w:after="40" w:line="300" w:lineRule="auto"/>
        <w:ind w:firstLine="420"/>
        <w:jc w:val="both"/>
      </w:pPr>
      <w:r>
        <w:rPr>
          <w:rFonts w:ascii="宋体" w:hAnsi="宋体" w:eastAsia="宋体"/>
          <w:b w:val="0"/>
          <w:sz w:val="21"/>
        </w:rPr>
        <w:t>（10）路面破复与沟槽回填：拍摄路面切缝深度、分层细砂水密回填夯实及混凝土面层拉毛养护。</w:t>
      </w:r>
    </w:p>
    <w:p w14:paraId="4757297A">
      <w:pPr>
        <w:spacing w:before="0" w:after="40" w:line="300" w:lineRule="auto"/>
        <w:ind w:firstLine="420"/>
        <w:jc w:val="both"/>
      </w:pPr>
      <w:r>
        <w:rPr>
          <w:rFonts w:ascii="宋体" w:hAnsi="宋体" w:eastAsia="宋体"/>
          <w:b w:val="0"/>
          <w:sz w:val="21"/>
        </w:rPr>
        <w:t>3、禁忌与注意事项</w:t>
      </w:r>
    </w:p>
    <w:p w14:paraId="18792DEC">
      <w:pPr>
        <w:spacing w:before="0" w:after="40" w:line="300" w:lineRule="auto"/>
        <w:ind w:firstLine="420"/>
        <w:jc w:val="both"/>
      </w:pPr>
      <w:r>
        <w:rPr>
          <w:rFonts w:ascii="宋体" w:hAnsi="宋体" w:eastAsia="宋体"/>
          <w:b w:val="0"/>
          <w:sz w:val="21"/>
        </w:rPr>
        <w:t>（1）严禁影像中出现超挖、管材破损、电缆外护套划伤等违规现象；若存在整改，需拍摄“整改前 - 整改中 - 整改后”完整闭环。</w:t>
      </w:r>
    </w:p>
    <w:p w14:paraId="76053302">
      <w:pPr>
        <w:spacing w:before="0" w:after="40" w:line="300" w:lineRule="auto"/>
        <w:ind w:firstLine="420"/>
        <w:jc w:val="both"/>
      </w:pPr>
      <w:r>
        <w:rPr>
          <w:rFonts w:ascii="宋体" w:hAnsi="宋体" w:eastAsia="宋体"/>
          <w:b w:val="0"/>
          <w:sz w:val="21"/>
        </w:rPr>
        <w:t>（2）电缆耐压试验、箱变调试、中间接头密封、停电割接等关键工序，必须拍摄监理及发包人代表旁站监督画面，无旁站在场的影像视为无效。</w:t>
      </w:r>
    </w:p>
    <w:p w14:paraId="2DF7BD3C">
      <w:pPr>
        <w:spacing w:before="0" w:after="40" w:line="300" w:lineRule="auto"/>
        <w:ind w:firstLine="420"/>
        <w:jc w:val="both"/>
      </w:pPr>
      <w:r>
        <w:rPr>
          <w:rFonts w:ascii="宋体" w:hAnsi="宋体" w:eastAsia="宋体"/>
          <w:b w:val="0"/>
          <w:sz w:val="21"/>
        </w:rPr>
        <w:t>（3）避免镜头遮挡水印（尤其是经纬度、建管通APP水印），拍摄时确保光线充足、画面清晰。</w:t>
      </w:r>
    </w:p>
    <w:p w14:paraId="50CFF301">
      <w:pPr>
        <w:spacing w:before="0" w:after="40" w:line="300" w:lineRule="auto"/>
        <w:ind w:firstLine="420"/>
        <w:jc w:val="both"/>
      </w:pPr>
      <w:r>
        <w:rPr>
          <w:rFonts w:ascii="宋体" w:hAnsi="宋体" w:eastAsia="宋体"/>
          <w:b w:val="0"/>
          <w:sz w:val="21"/>
        </w:rPr>
        <w:t>（4）影像文件按“电力迁改 - 工序名称 - 道路名称 - 桩号 - 日期 - 班组”规范命名，每日整理归档，双备份加密存储。</w:t>
      </w:r>
    </w:p>
    <w:p w14:paraId="1319646B">
      <w:pPr>
        <w:spacing w:before="160" w:after="60" w:line="300" w:lineRule="auto"/>
        <w:jc w:val="left"/>
      </w:pPr>
      <w:r>
        <w:rPr>
          <w:rFonts w:ascii="黑体" w:hAnsi="黑体" w:eastAsia="黑体"/>
          <w:b/>
          <w:sz w:val="24"/>
        </w:rPr>
        <w:t>七、验收与移交</w:t>
      </w:r>
    </w:p>
    <w:p w14:paraId="755B4DC0">
      <w:pPr>
        <w:spacing w:before="0" w:after="40" w:line="300" w:lineRule="auto"/>
        <w:ind w:firstLine="420"/>
        <w:jc w:val="both"/>
      </w:pPr>
      <w:r>
        <w:rPr>
          <w:rFonts w:ascii="宋体" w:hAnsi="宋体" w:eastAsia="宋体"/>
          <w:b w:val="0"/>
          <w:sz w:val="21"/>
        </w:rPr>
        <w:t>验收将依据前述国家、行业标准、供电局规范及招标文件技术要求进行，重点验收内容包括但不限于：</w:t>
      </w:r>
    </w:p>
    <w:p w14:paraId="2330A7D9">
      <w:pPr>
        <w:spacing w:before="0" w:after="40" w:line="300" w:lineRule="auto"/>
        <w:ind w:firstLine="420"/>
        <w:jc w:val="both"/>
      </w:pPr>
      <w:r>
        <w:rPr>
          <w:rFonts w:ascii="宋体" w:hAnsi="宋体" w:eastAsia="宋体"/>
          <w:b w:val="0"/>
          <w:sz w:val="21"/>
        </w:rPr>
        <w:t>（1）材料与设备验收：所有进场箱变、开关柜、高压电缆、管材等需满足国标及南网规范，提供全套合格证、出厂检验报告、3C认证及现场见证取样检测报告。</w:t>
      </w:r>
    </w:p>
    <w:p w14:paraId="0E14C05A">
      <w:pPr>
        <w:spacing w:before="0" w:after="40" w:line="300" w:lineRule="auto"/>
        <w:ind w:firstLine="420"/>
        <w:jc w:val="both"/>
      </w:pPr>
      <w:r>
        <w:rPr>
          <w:rFonts w:ascii="宋体" w:hAnsi="宋体" w:eastAsia="宋体"/>
          <w:b w:val="0"/>
          <w:sz w:val="21"/>
        </w:rPr>
        <w:t>（2）隐蔽工程与工艺验收：电力排管沟槽隐蔽验收、混凝土包封隐蔽验收、电缆工作井抗渗验收、行车盖板包边强度验收、箱变筏板基础及地网接地电阻实测验收、路面恢复平整度验收等。</w:t>
      </w:r>
    </w:p>
    <w:p w14:paraId="38038213">
      <w:pPr>
        <w:spacing w:before="0" w:after="40" w:line="300" w:lineRule="auto"/>
        <w:ind w:firstLine="420"/>
        <w:jc w:val="both"/>
      </w:pPr>
      <w:r>
        <w:rPr>
          <w:rFonts w:ascii="宋体" w:hAnsi="宋体" w:eastAsia="宋体"/>
          <w:b w:val="0"/>
          <w:sz w:val="21"/>
        </w:rPr>
        <w:t>（3）电气试验与调试验收：GB 50150高压电缆交流耐压试验、箱式变电站综合调试、保护整定定值校验、接地阻抗测试等全套合格报告。</w:t>
      </w:r>
    </w:p>
    <w:p w14:paraId="1AD47604">
      <w:pPr>
        <w:spacing w:before="0" w:after="40" w:line="300" w:lineRule="auto"/>
        <w:ind w:firstLine="420"/>
        <w:jc w:val="both"/>
      </w:pPr>
      <w:r>
        <w:rPr>
          <w:rFonts w:ascii="宋体" w:hAnsi="宋体" w:eastAsia="宋体"/>
          <w:b w:val="0"/>
          <w:sz w:val="21"/>
        </w:rPr>
        <w:t>（4）供电局竣工验收与移交：中标人须积极配合并组织珠海供电局各专业部门完成现场质监与验收，完成装表接电，取得供电局《供电工程竣工验收合格证明》，实现正式送电移交。</w:t>
      </w:r>
    </w:p>
    <w:p w14:paraId="6FFD5E84">
      <w:pPr>
        <w:spacing w:before="0" w:after="40" w:line="300" w:lineRule="auto"/>
        <w:ind w:firstLine="420"/>
        <w:jc w:val="both"/>
      </w:pPr>
      <w:r>
        <w:rPr>
          <w:rFonts w:ascii="宋体" w:hAnsi="宋体" w:eastAsia="宋体"/>
          <w:b w:val="0"/>
          <w:sz w:val="21"/>
        </w:rPr>
        <w:t>（5）资料移交：完整的竣工图纸（CAD版及PDF版）、设备出厂资料、试验报告、调试记录、影像台账及供电局批复文件等，一式六份组卷装订移交发包人。</w:t>
      </w:r>
    </w:p>
    <w:p w14:paraId="054AC07D">
      <w:pPr>
        <w:spacing w:before="0" w:after="40" w:line="300" w:lineRule="auto"/>
        <w:ind w:firstLine="0"/>
        <w:jc w:val="both"/>
      </w:pPr>
    </w:p>
    <w:sectPr>
      <w:headerReference r:id="rId5" w:type="default"/>
      <w:pgSz w:w="12240" w:h="15840"/>
      <w:pgMar w:top="1247" w:right="1247" w:bottom="1247"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A4F55">
    <w:pPr>
      <w:pStyle w:val="25"/>
      <w:jc w:val="right"/>
    </w:pPr>
    <w:r>
      <w:rPr>
        <w:rFonts w:ascii="宋体" w:hAnsi="宋体" w:eastAsia="宋体"/>
        <w:color w:val="787878"/>
        <w:sz w:val="18"/>
      </w:rPr>
      <w:t>广昌保障房配套基础设施项目箱变及电力迁改工程招标技术要求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B441D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6672</Words>
  <Characters>7307</Characters>
  <Lines>0</Lines>
  <Paragraphs>0</Paragraphs>
  <TotalTime>2</TotalTime>
  <ScaleCrop>false</ScaleCrop>
  <LinksUpToDate>false</LinksUpToDate>
  <CharactersWithSpaces>7351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Jason</cp:lastModifiedBy>
  <dcterms:modified xsi:type="dcterms:W3CDTF">2026-08-23T13:42:48Z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eyJoZGlkIjoiZWRiNDliOTkwNDU3Mjk1OWZkZThiOTdlOGVmYTYzZmQiLCJ1c2VySWQiOiIxNzEzNjYxODcxIn0=</vt:lpwstr>
  </property>
  <property fmtid="{D5CDD505-2E9C-101B-9397-08002B2CF9AE}" pid="3" name="KSOProductBuildVer">
    <vt:lpwstr>2052-12.1.0.28043</vt:lpwstr>
  </property>
  <property fmtid="{D5CDD505-2E9C-101B-9397-08002B2CF9AE}" pid="4" name="ICV">
    <vt:lpwstr>C30E47FA9F994BE987AFB99426FFECC6_12</vt:lpwstr>
  </property>
</Properties>
</file>