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9BE646">
      <w:pPr>
        <w:spacing w:before="0" w:after="0"/>
      </w:pPr>
    </w:p>
    <w:p w14:paraId="5782224B">
      <w:pPr>
        <w:spacing w:before="0" w:after="0"/>
      </w:pPr>
    </w:p>
    <w:p w14:paraId="34D59FEF">
      <w:pPr>
        <w:spacing w:line="1000" w:lineRule="exact"/>
        <w:jc w:val="center"/>
        <w:rPr>
          <w:rFonts w:hint="eastAsia" w:ascii="黑体" w:hAnsi="黑体" w:eastAsia="黑体" w:cs="黑体"/>
          <w:b/>
          <w:spacing w:val="-6"/>
          <w:sz w:val="52"/>
          <w:szCs w:val="52"/>
          <w:lang w:val="en-US" w:eastAsia="zh-CN" w:bidi="ar-SA"/>
        </w:rPr>
      </w:pPr>
      <w:r>
        <w:rPr>
          <w:rFonts w:hint="eastAsia" w:ascii="黑体" w:hAnsi="黑体" w:eastAsia="黑体" w:cs="黑体"/>
          <w:b/>
          <w:spacing w:val="-6"/>
          <w:sz w:val="52"/>
          <w:szCs w:val="52"/>
          <w:lang w:val="en-US" w:eastAsia="zh-CN" w:bidi="ar-SA"/>
        </w:rPr>
        <w:t>珠海人工岛地块出租租金评估</w:t>
      </w:r>
    </w:p>
    <w:p w14:paraId="237F1992">
      <w:pPr>
        <w:spacing w:line="1000" w:lineRule="exact"/>
        <w:jc w:val="center"/>
        <w:rPr>
          <w:rFonts w:hint="eastAsia" w:ascii="黑体" w:hAnsi="黑体" w:eastAsia="黑体" w:cs="黑体"/>
          <w:b/>
          <w:spacing w:val="-6"/>
          <w:sz w:val="52"/>
          <w:szCs w:val="52"/>
          <w:lang w:val="en-US" w:eastAsia="zh-CN"/>
        </w:rPr>
      </w:pPr>
    </w:p>
    <w:p w14:paraId="0756EF6D">
      <w:pPr>
        <w:spacing w:line="1000" w:lineRule="exact"/>
        <w:jc w:val="center"/>
        <w:rPr>
          <w:rFonts w:hint="eastAsia" w:ascii="黑体" w:hAnsi="黑体" w:eastAsia="黑体" w:cs="黑体"/>
          <w:b/>
          <w:spacing w:val="-6"/>
          <w:sz w:val="52"/>
          <w:szCs w:val="52"/>
          <w:lang w:val="en-US" w:eastAsia="zh-CN"/>
        </w:rPr>
      </w:pPr>
    </w:p>
    <w:p w14:paraId="53BB91F5">
      <w:pPr>
        <w:spacing w:line="1000" w:lineRule="exact"/>
        <w:jc w:val="center"/>
        <w:rPr>
          <w:rFonts w:hint="eastAsia" w:ascii="黑体" w:hAnsi="黑体" w:eastAsia="黑体" w:cs="黑体"/>
          <w:b/>
          <w:spacing w:val="-6"/>
          <w:sz w:val="52"/>
          <w:szCs w:val="52"/>
          <w:lang w:val="en-US" w:eastAsia="zh-CN"/>
        </w:rPr>
      </w:pPr>
    </w:p>
    <w:p w14:paraId="618D63A1">
      <w:pPr>
        <w:spacing w:line="1000" w:lineRule="exact"/>
        <w:jc w:val="center"/>
        <w:rPr>
          <w:rFonts w:hint="eastAsia" w:ascii="黑体" w:hAnsi="黑体" w:eastAsia="黑体" w:cs="黑体"/>
          <w:b/>
          <w:spacing w:val="-6"/>
          <w:sz w:val="52"/>
          <w:szCs w:val="52"/>
          <w:lang w:val="en-US" w:eastAsia="zh-CN"/>
        </w:rPr>
      </w:pPr>
    </w:p>
    <w:p w14:paraId="58B65D73">
      <w:pPr>
        <w:spacing w:line="1000" w:lineRule="exact"/>
        <w:jc w:val="center"/>
        <w:rPr>
          <w:rFonts w:hint="eastAsia" w:ascii="黑体" w:hAnsi="黑体" w:eastAsia="黑体" w:cs="黑体"/>
          <w:b/>
          <w:spacing w:val="-6"/>
          <w:sz w:val="52"/>
          <w:szCs w:val="52"/>
          <w:lang w:val="en-US" w:eastAsia="zh-CN" w:bidi="ar-SA"/>
        </w:rPr>
      </w:pPr>
      <w:r>
        <w:rPr>
          <w:rFonts w:hint="eastAsia" w:ascii="黑体" w:hAnsi="黑体" w:eastAsia="黑体" w:cs="黑体"/>
          <w:b/>
          <w:spacing w:val="-6"/>
          <w:sz w:val="52"/>
          <w:szCs w:val="52"/>
          <w:lang w:val="en-US" w:eastAsia="zh-CN" w:bidi="ar-SA"/>
        </w:rPr>
        <w:t>技术任务书</w:t>
      </w:r>
    </w:p>
    <w:p w14:paraId="4A0BFD77">
      <w:pPr>
        <w:spacing w:line="360" w:lineRule="auto"/>
        <w:jc w:val="center"/>
        <w:rPr>
          <w:rFonts w:hint="eastAsia" w:ascii="黑体" w:hAnsi="黑体" w:eastAsia="黑体" w:cs="黑体"/>
          <w:b/>
          <w:sz w:val="52"/>
          <w:szCs w:val="52"/>
        </w:rPr>
      </w:pPr>
    </w:p>
    <w:p w14:paraId="79A41ACF">
      <w:pPr>
        <w:spacing w:line="360" w:lineRule="auto"/>
        <w:jc w:val="both"/>
        <w:rPr>
          <w:sz w:val="28"/>
          <w:szCs w:val="28"/>
        </w:rPr>
      </w:pPr>
    </w:p>
    <w:p w14:paraId="48235BAD">
      <w:pPr>
        <w:spacing w:line="360" w:lineRule="auto"/>
        <w:jc w:val="center"/>
        <w:rPr>
          <w:sz w:val="28"/>
          <w:szCs w:val="28"/>
        </w:rPr>
      </w:pPr>
    </w:p>
    <w:p w14:paraId="52BA7F0C">
      <w:pPr>
        <w:spacing w:line="360" w:lineRule="auto"/>
        <w:jc w:val="center"/>
        <w:rPr>
          <w:sz w:val="28"/>
          <w:szCs w:val="28"/>
        </w:rPr>
      </w:pPr>
    </w:p>
    <w:p w14:paraId="183F3E0D">
      <w:pPr>
        <w:spacing w:line="360" w:lineRule="auto"/>
        <w:jc w:val="center"/>
        <w:rPr>
          <w:rFonts w:hint="eastAsia"/>
          <w:sz w:val="28"/>
          <w:szCs w:val="28"/>
        </w:rPr>
      </w:pPr>
    </w:p>
    <w:p w14:paraId="760C4B5D">
      <w:pPr>
        <w:spacing w:line="360" w:lineRule="auto"/>
        <w:jc w:val="center"/>
        <w:rPr>
          <w:sz w:val="28"/>
          <w:szCs w:val="28"/>
        </w:rPr>
      </w:pPr>
    </w:p>
    <w:p w14:paraId="5C30FD23">
      <w:pPr>
        <w:spacing w:line="360" w:lineRule="auto"/>
        <w:jc w:val="center"/>
        <w:rPr>
          <w:sz w:val="28"/>
          <w:szCs w:val="28"/>
        </w:rPr>
      </w:pPr>
    </w:p>
    <w:p w14:paraId="4206885A">
      <w:pPr>
        <w:spacing w:line="360" w:lineRule="auto"/>
        <w:jc w:val="center"/>
        <w:rPr>
          <w:sz w:val="28"/>
          <w:szCs w:val="28"/>
        </w:rPr>
      </w:pPr>
    </w:p>
    <w:p w14:paraId="6527073A">
      <w:pPr>
        <w:spacing w:line="360" w:lineRule="auto"/>
        <w:jc w:val="center"/>
        <w:rPr>
          <w:rFonts w:hint="eastAsia"/>
          <w:sz w:val="28"/>
          <w:szCs w:val="28"/>
        </w:rPr>
      </w:pPr>
    </w:p>
    <w:p w14:paraId="5D98597B">
      <w:pPr>
        <w:spacing w:line="360" w:lineRule="auto"/>
        <w:jc w:val="center"/>
        <w:outlineLvl w:val="0"/>
        <w:rPr>
          <w:rFonts w:hint="eastAsia" w:ascii="黑体" w:hAnsi="黑体" w:eastAsia="黑体" w:cs="黑体"/>
          <w:b w:val="0"/>
          <w:bCs w:val="0"/>
          <w:sz w:val="30"/>
          <w:szCs w:val="30"/>
          <w:lang w:val="en-US" w:eastAsia="zh-CN" w:bidi="ar-SA"/>
        </w:rPr>
      </w:pPr>
      <w:r>
        <w:rPr>
          <w:rFonts w:hint="eastAsia" w:ascii="黑体" w:hAnsi="黑体" w:eastAsia="黑体" w:cs="黑体"/>
          <w:b w:val="0"/>
          <w:bCs w:val="0"/>
          <w:sz w:val="30"/>
          <w:szCs w:val="30"/>
          <w:lang w:val="en-US" w:eastAsia="zh-CN" w:bidi="ar-SA"/>
        </w:rPr>
        <w:t>编制日期：2026年  月  日</w:t>
      </w:r>
    </w:p>
    <w:p w14:paraId="5EF0D492">
      <w:pPr>
        <w:rPr>
          <w:rFonts w:hint="eastAsia" w:ascii="黑体" w:hAnsi="黑体" w:eastAsia="黑体" w:cs="黑体"/>
          <w:b w:val="0"/>
          <w:bCs w:val="0"/>
          <w:sz w:val="30"/>
          <w:szCs w:val="30"/>
          <w:lang w:val="en-US" w:eastAsia="zh-CN" w:bidi="ar-SA"/>
        </w:rPr>
      </w:pPr>
      <w:r>
        <w:rPr>
          <w:rFonts w:hint="eastAsia" w:ascii="黑体" w:hAnsi="黑体" w:eastAsia="黑体" w:cs="黑体"/>
          <w:b w:val="0"/>
          <w:bCs w:val="0"/>
          <w:sz w:val="30"/>
          <w:szCs w:val="30"/>
          <w:lang w:val="en-US" w:eastAsia="zh-CN" w:bidi="ar-SA"/>
        </w:rPr>
        <w:br w:type="page"/>
      </w:r>
    </w:p>
    <w:p w14:paraId="3AB6FA41">
      <w:pPr>
        <w:spacing w:line="480" w:lineRule="auto"/>
        <w:ind w:firstLine="562" w:firstLineChars="200"/>
        <w:rPr>
          <w:rFonts w:hint="eastAsia" w:ascii="仿宋" w:hAnsi="仿宋" w:eastAsia="仿宋" w:cs="仿宋"/>
          <w:b/>
          <w:bCs/>
          <w:sz w:val="28"/>
          <w:szCs w:val="28"/>
        </w:rPr>
      </w:pPr>
      <w:r>
        <w:rPr>
          <w:rFonts w:hint="eastAsia" w:ascii="仿宋" w:hAnsi="仿宋" w:eastAsia="仿宋" w:cs="仿宋"/>
          <w:b/>
          <w:bCs/>
          <w:sz w:val="28"/>
          <w:szCs w:val="28"/>
          <w:lang w:val="en-US" w:eastAsia="zh-CN"/>
        </w:rPr>
        <w:t>一、</w:t>
      </w:r>
      <w:r>
        <w:rPr>
          <w:rFonts w:hint="eastAsia" w:ascii="仿宋" w:hAnsi="仿宋" w:eastAsia="仿宋" w:cs="仿宋"/>
          <w:b/>
          <w:bCs/>
          <w:sz w:val="28"/>
          <w:szCs w:val="28"/>
        </w:rPr>
        <w:t>项目概况</w:t>
      </w:r>
    </w:p>
    <w:p w14:paraId="3BB6C192">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bidi="ar-SA"/>
        </w:rPr>
        <w:t>项目名称：珠海人工岛地块三、地块四、地块五出租租金评估项目</w:t>
      </w:r>
    </w:p>
    <w:p w14:paraId="29BC602D">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bidi="ar-SA"/>
        </w:rPr>
        <w:t>项目区位：珠海市港珠澳大桥人工岛（珠澳口岸人工岛片区）</w:t>
      </w:r>
    </w:p>
    <w:p w14:paraId="4D610983">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bidi="ar-SA"/>
        </w:rPr>
        <w:t>情况背景：为盘活港珠澳大桥人工岛存量土地资源，拟将人工岛上地块三、地块四、地块五以出租方式引入符合片区定位的商业及停车场业态。承租方拟依托三地联动的口岸客流优势，在地块上布局户外休闲运动、基础运动、潮流运动、体验运动等商业业态，使项目既能满足节假日面向家庭客群举办各类运动主题活动，又能满足工作日面向港珠澳企业承接企业团建活动，同时具备承接赛事、结合赛事主题举办周边IP活动、邀请参赛运动员参与运动体验以及在非赛季提供运动员综合训练服务等功能。现需聘请具备土地估价资质的专业评估机构，对上述地块在拟出租用途下的土地租金水平进行评估，并出具符合国家和广东省土地估价规范的土地租金评估报告。地块基本信息如下：</w:t>
      </w:r>
    </w:p>
    <w:tbl>
      <w:tblPr>
        <w:tblStyle w:val="11"/>
        <w:tblW w:w="90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418"/>
        <w:gridCol w:w="1891"/>
        <w:gridCol w:w="1891"/>
        <w:gridCol w:w="1912"/>
        <w:gridCol w:w="1912"/>
      </w:tblGrid>
      <w:tr w14:paraId="16BAC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18" w:type="dxa"/>
            <w:tcBorders>
              <w:top w:val="single" w:color="000000" w:sz="0" w:space="0"/>
              <w:left w:val="single" w:color="000000" w:sz="0" w:space="0"/>
              <w:bottom w:val="single" w:color="000000" w:sz="0" w:space="0"/>
              <w:right w:val="single" w:color="000000" w:sz="0" w:space="0"/>
            </w:tcBorders>
            <w:shd w:val="clear" w:color="auto" w:fill="auto"/>
            <w:tcMar>
              <w:top w:w="60" w:type="dxa"/>
              <w:left w:w="100" w:type="dxa"/>
              <w:bottom w:w="60" w:type="dxa"/>
              <w:right w:w="100" w:type="dxa"/>
            </w:tcMar>
            <w:vAlign w:val="center"/>
          </w:tcPr>
          <w:p w14:paraId="383F0027">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仿宋" w:hAnsi="仿宋" w:eastAsia="仿宋" w:cs="仿宋"/>
                <w:b w:val="0"/>
                <w:bCs w:val="0"/>
                <w:kern w:val="0"/>
                <w:sz w:val="24"/>
                <w:szCs w:val="24"/>
                <w:lang w:val="en-US" w:eastAsia="zh-CN" w:bidi="ar-SA"/>
              </w:rPr>
            </w:pPr>
            <w:r>
              <w:rPr>
                <w:rFonts w:hint="eastAsia" w:ascii="仿宋" w:hAnsi="仿宋" w:eastAsia="仿宋" w:cs="仿宋"/>
                <w:b w:val="0"/>
                <w:bCs w:val="0"/>
                <w:kern w:val="0"/>
                <w:sz w:val="24"/>
                <w:szCs w:val="24"/>
                <w:lang w:val="en-US" w:eastAsia="zh-CN" w:bidi="ar-SA"/>
              </w:rPr>
              <w:t>地块编号</w:t>
            </w:r>
          </w:p>
        </w:tc>
        <w:tc>
          <w:tcPr>
            <w:tcW w:w="1891" w:type="dxa"/>
            <w:tcBorders>
              <w:top w:val="single" w:color="000000" w:sz="0" w:space="0"/>
              <w:left w:val="single" w:color="000000" w:sz="0" w:space="0"/>
              <w:bottom w:val="single" w:color="000000" w:sz="0" w:space="0"/>
              <w:right w:val="single" w:color="000000" w:sz="0" w:space="0"/>
            </w:tcBorders>
            <w:shd w:val="clear" w:color="auto" w:fill="auto"/>
            <w:tcMar>
              <w:top w:w="60" w:type="dxa"/>
              <w:left w:w="100" w:type="dxa"/>
              <w:bottom w:w="60" w:type="dxa"/>
              <w:right w:w="100" w:type="dxa"/>
            </w:tcMar>
            <w:vAlign w:val="center"/>
          </w:tcPr>
          <w:p w14:paraId="08B56840">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仿宋" w:hAnsi="仿宋" w:eastAsia="仿宋" w:cs="仿宋"/>
                <w:b w:val="0"/>
                <w:bCs w:val="0"/>
                <w:kern w:val="0"/>
                <w:sz w:val="24"/>
                <w:szCs w:val="24"/>
                <w:lang w:val="en-US" w:eastAsia="zh-CN" w:bidi="ar-SA"/>
              </w:rPr>
            </w:pPr>
            <w:r>
              <w:rPr>
                <w:rFonts w:hint="eastAsia" w:ascii="仿宋" w:hAnsi="仿宋" w:eastAsia="仿宋" w:cs="仿宋"/>
                <w:b w:val="0"/>
                <w:bCs w:val="0"/>
                <w:kern w:val="0"/>
                <w:sz w:val="24"/>
                <w:szCs w:val="24"/>
                <w:lang w:val="en-US" w:eastAsia="zh-CN" w:bidi="ar-SA"/>
              </w:rPr>
              <w:t>用地面积（㎡）</w:t>
            </w:r>
          </w:p>
        </w:tc>
        <w:tc>
          <w:tcPr>
            <w:tcW w:w="1891" w:type="dxa"/>
            <w:tcBorders>
              <w:top w:val="single" w:color="000000" w:sz="0" w:space="0"/>
              <w:left w:val="single" w:color="000000" w:sz="0" w:space="0"/>
              <w:bottom w:val="single" w:color="000000" w:sz="0" w:space="0"/>
              <w:right w:val="single" w:color="000000" w:sz="0" w:space="0"/>
            </w:tcBorders>
            <w:shd w:val="clear" w:color="auto" w:fill="auto"/>
            <w:tcMar>
              <w:top w:w="60" w:type="dxa"/>
              <w:left w:w="100" w:type="dxa"/>
              <w:bottom w:w="60" w:type="dxa"/>
              <w:right w:w="100" w:type="dxa"/>
            </w:tcMar>
            <w:vAlign w:val="center"/>
          </w:tcPr>
          <w:p w14:paraId="727D6EA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仿宋" w:hAnsi="仿宋" w:eastAsia="仿宋" w:cs="仿宋"/>
                <w:b w:val="0"/>
                <w:bCs w:val="0"/>
                <w:kern w:val="0"/>
                <w:sz w:val="24"/>
                <w:szCs w:val="24"/>
                <w:lang w:val="en-US" w:eastAsia="zh-CN" w:bidi="ar-SA"/>
              </w:rPr>
            </w:pPr>
            <w:r>
              <w:rPr>
                <w:rFonts w:hint="eastAsia" w:ascii="仿宋" w:hAnsi="仿宋" w:eastAsia="仿宋" w:cs="仿宋"/>
                <w:b w:val="0"/>
                <w:bCs w:val="0"/>
                <w:kern w:val="0"/>
                <w:sz w:val="24"/>
                <w:szCs w:val="24"/>
                <w:lang w:val="en-US" w:eastAsia="zh-CN" w:bidi="ar-SA"/>
              </w:rPr>
              <w:t>暂定用途</w:t>
            </w:r>
          </w:p>
        </w:tc>
        <w:tc>
          <w:tcPr>
            <w:tcW w:w="1912" w:type="dxa"/>
            <w:tcBorders>
              <w:top w:val="single" w:color="000000" w:sz="0" w:space="0"/>
              <w:left w:val="single" w:color="000000" w:sz="0" w:space="0"/>
              <w:bottom w:val="single" w:color="000000" w:sz="0" w:space="0"/>
              <w:right w:val="single" w:color="000000" w:sz="0" w:space="0"/>
            </w:tcBorders>
            <w:shd w:val="clear" w:color="auto" w:fill="auto"/>
            <w:tcMar>
              <w:top w:w="60" w:type="dxa"/>
              <w:left w:w="100" w:type="dxa"/>
              <w:bottom w:w="60" w:type="dxa"/>
              <w:right w:w="100" w:type="dxa"/>
            </w:tcMar>
            <w:vAlign w:val="center"/>
          </w:tcPr>
          <w:p w14:paraId="31752026">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仿宋" w:hAnsi="仿宋" w:eastAsia="仿宋" w:cs="仿宋"/>
                <w:b w:val="0"/>
                <w:bCs w:val="0"/>
                <w:kern w:val="0"/>
                <w:sz w:val="24"/>
                <w:szCs w:val="24"/>
                <w:lang w:val="en-US" w:eastAsia="zh-CN" w:bidi="ar-SA"/>
              </w:rPr>
            </w:pPr>
            <w:r>
              <w:rPr>
                <w:rFonts w:hint="eastAsia" w:ascii="仿宋" w:hAnsi="仿宋" w:eastAsia="仿宋" w:cs="仿宋"/>
                <w:b w:val="0"/>
                <w:bCs w:val="0"/>
                <w:kern w:val="0"/>
                <w:sz w:val="24"/>
                <w:szCs w:val="24"/>
                <w:lang w:val="en-US" w:eastAsia="zh-CN" w:bidi="ar-SA"/>
              </w:rPr>
              <w:t>使用年限（年）</w:t>
            </w:r>
          </w:p>
        </w:tc>
        <w:tc>
          <w:tcPr>
            <w:tcW w:w="1912" w:type="dxa"/>
            <w:tcBorders>
              <w:top w:val="single" w:color="000000" w:sz="0" w:space="0"/>
              <w:left w:val="single" w:color="000000" w:sz="0" w:space="0"/>
              <w:bottom w:val="single" w:color="000000" w:sz="0" w:space="0"/>
              <w:right w:val="single" w:color="000000" w:sz="0" w:space="0"/>
            </w:tcBorders>
            <w:shd w:val="clear" w:color="auto" w:fill="auto"/>
            <w:tcMar>
              <w:top w:w="60" w:type="dxa"/>
              <w:left w:w="100" w:type="dxa"/>
              <w:bottom w:w="60" w:type="dxa"/>
              <w:right w:w="100" w:type="dxa"/>
            </w:tcMar>
            <w:vAlign w:val="center"/>
          </w:tcPr>
          <w:p w14:paraId="18B39C39">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仿宋" w:hAnsi="仿宋" w:eastAsia="仿宋" w:cs="仿宋"/>
                <w:b w:val="0"/>
                <w:bCs w:val="0"/>
                <w:kern w:val="0"/>
                <w:sz w:val="24"/>
                <w:szCs w:val="24"/>
                <w:lang w:val="en-US" w:eastAsia="zh-CN" w:bidi="ar-SA"/>
              </w:rPr>
            </w:pPr>
            <w:r>
              <w:rPr>
                <w:rFonts w:hint="eastAsia" w:ascii="仿宋" w:hAnsi="仿宋" w:eastAsia="仿宋" w:cs="仿宋"/>
                <w:b w:val="0"/>
                <w:bCs w:val="0"/>
                <w:kern w:val="0"/>
                <w:sz w:val="24"/>
                <w:szCs w:val="24"/>
                <w:lang w:val="en-US" w:eastAsia="zh-CN" w:bidi="ar-SA"/>
              </w:rPr>
              <w:t>备注</w:t>
            </w:r>
          </w:p>
        </w:tc>
      </w:tr>
      <w:tr w14:paraId="31B71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18"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0AD40802">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仿宋" w:hAnsi="仿宋" w:eastAsia="仿宋" w:cs="仿宋"/>
                <w:b w:val="0"/>
                <w:bCs w:val="0"/>
                <w:kern w:val="0"/>
                <w:sz w:val="24"/>
                <w:szCs w:val="24"/>
                <w:lang w:val="en-US" w:eastAsia="zh-CN" w:bidi="ar-SA"/>
              </w:rPr>
            </w:pPr>
            <w:r>
              <w:rPr>
                <w:rFonts w:hint="eastAsia" w:ascii="仿宋" w:hAnsi="仿宋" w:eastAsia="仿宋" w:cs="仿宋"/>
                <w:b w:val="0"/>
                <w:bCs w:val="0"/>
                <w:kern w:val="0"/>
                <w:sz w:val="24"/>
                <w:szCs w:val="24"/>
                <w:lang w:val="en-US" w:eastAsia="zh-CN" w:bidi="ar-SA"/>
              </w:rPr>
              <w:t>地块三</w:t>
            </w:r>
          </w:p>
        </w:tc>
        <w:tc>
          <w:tcPr>
            <w:tcW w:w="1891"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5264C9C3">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仿宋" w:hAnsi="仿宋" w:eastAsia="仿宋" w:cs="仿宋"/>
                <w:b w:val="0"/>
                <w:bCs w:val="0"/>
                <w:kern w:val="0"/>
                <w:sz w:val="24"/>
                <w:szCs w:val="24"/>
                <w:lang w:val="en-US" w:eastAsia="zh-CN" w:bidi="ar-SA"/>
              </w:rPr>
            </w:pPr>
            <w:r>
              <w:rPr>
                <w:rFonts w:hint="eastAsia" w:ascii="仿宋" w:hAnsi="仿宋" w:eastAsia="仿宋" w:cs="仿宋"/>
                <w:b w:val="0"/>
                <w:bCs w:val="0"/>
                <w:kern w:val="0"/>
                <w:sz w:val="24"/>
                <w:szCs w:val="24"/>
                <w:lang w:val="en-US" w:eastAsia="zh-CN" w:bidi="ar-SA"/>
              </w:rPr>
              <w:t>93,822.02</w:t>
            </w:r>
          </w:p>
        </w:tc>
        <w:tc>
          <w:tcPr>
            <w:tcW w:w="1891"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29F8E0A6">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仿宋" w:hAnsi="仿宋" w:eastAsia="仿宋" w:cs="仿宋"/>
                <w:b w:val="0"/>
                <w:bCs w:val="0"/>
                <w:kern w:val="0"/>
                <w:sz w:val="24"/>
                <w:szCs w:val="24"/>
                <w:lang w:val="en-US" w:eastAsia="zh-CN" w:bidi="ar-SA"/>
              </w:rPr>
            </w:pPr>
            <w:r>
              <w:rPr>
                <w:rFonts w:hint="eastAsia" w:ascii="仿宋" w:hAnsi="仿宋" w:eastAsia="仿宋" w:cs="仿宋"/>
                <w:b w:val="0"/>
                <w:bCs w:val="0"/>
                <w:kern w:val="0"/>
                <w:sz w:val="24"/>
                <w:szCs w:val="24"/>
                <w:lang w:val="en-US" w:eastAsia="zh-CN" w:bidi="ar-SA"/>
              </w:rPr>
              <w:t>商业、停车场</w:t>
            </w:r>
          </w:p>
        </w:tc>
        <w:tc>
          <w:tcPr>
            <w:tcW w:w="1912"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3A457C66">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仿宋" w:hAnsi="仿宋" w:eastAsia="仿宋" w:cs="仿宋"/>
                <w:b w:val="0"/>
                <w:bCs w:val="0"/>
                <w:kern w:val="0"/>
                <w:sz w:val="24"/>
                <w:szCs w:val="24"/>
                <w:lang w:val="en-US" w:eastAsia="zh-CN" w:bidi="ar-SA"/>
              </w:rPr>
            </w:pPr>
            <w:r>
              <w:rPr>
                <w:rFonts w:hint="eastAsia" w:ascii="仿宋" w:hAnsi="仿宋" w:eastAsia="仿宋" w:cs="仿宋"/>
                <w:b w:val="0"/>
                <w:bCs w:val="0"/>
                <w:kern w:val="0"/>
                <w:sz w:val="24"/>
                <w:szCs w:val="24"/>
                <w:lang w:val="en-US" w:eastAsia="zh-CN" w:bidi="ar-SA"/>
              </w:rPr>
              <w:t>1-2</w:t>
            </w:r>
          </w:p>
        </w:tc>
        <w:tc>
          <w:tcPr>
            <w:tcW w:w="1912"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2C1C4D10">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仿宋" w:hAnsi="仿宋" w:eastAsia="仿宋" w:cs="仿宋"/>
                <w:b w:val="0"/>
                <w:bCs w:val="0"/>
                <w:kern w:val="0"/>
                <w:sz w:val="24"/>
                <w:szCs w:val="24"/>
                <w:lang w:val="en-US" w:eastAsia="zh-CN" w:bidi="ar-SA"/>
              </w:rPr>
            </w:pPr>
            <w:r>
              <w:rPr>
                <w:rFonts w:hint="eastAsia" w:ascii="仿宋" w:hAnsi="仿宋" w:eastAsia="仿宋" w:cs="仿宋"/>
                <w:b w:val="0"/>
                <w:bCs w:val="0"/>
                <w:kern w:val="0"/>
                <w:sz w:val="24"/>
                <w:szCs w:val="24"/>
                <w:lang w:val="en-US" w:eastAsia="zh-CN" w:bidi="ar-SA"/>
              </w:rPr>
              <w:t>以最终规划批复为准</w:t>
            </w:r>
          </w:p>
        </w:tc>
      </w:tr>
      <w:tr w14:paraId="38422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18"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6D443B51">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仿宋" w:hAnsi="仿宋" w:eastAsia="仿宋" w:cs="仿宋"/>
                <w:b w:val="0"/>
                <w:bCs w:val="0"/>
                <w:kern w:val="0"/>
                <w:sz w:val="24"/>
                <w:szCs w:val="24"/>
                <w:lang w:val="en-US" w:eastAsia="zh-CN" w:bidi="ar-SA"/>
              </w:rPr>
            </w:pPr>
            <w:r>
              <w:rPr>
                <w:rFonts w:hint="eastAsia" w:ascii="仿宋" w:hAnsi="仿宋" w:eastAsia="仿宋" w:cs="仿宋"/>
                <w:b w:val="0"/>
                <w:bCs w:val="0"/>
                <w:kern w:val="0"/>
                <w:sz w:val="24"/>
                <w:szCs w:val="24"/>
                <w:lang w:val="en-US" w:eastAsia="zh-CN" w:bidi="ar-SA"/>
              </w:rPr>
              <w:t>地块四</w:t>
            </w:r>
          </w:p>
        </w:tc>
        <w:tc>
          <w:tcPr>
            <w:tcW w:w="1891"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688BF0C6">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仿宋" w:hAnsi="仿宋" w:eastAsia="仿宋" w:cs="仿宋"/>
                <w:b w:val="0"/>
                <w:bCs w:val="0"/>
                <w:kern w:val="0"/>
                <w:sz w:val="24"/>
                <w:szCs w:val="24"/>
                <w:lang w:val="en-US" w:eastAsia="zh-CN" w:bidi="ar-SA"/>
              </w:rPr>
            </w:pPr>
            <w:r>
              <w:rPr>
                <w:rFonts w:hint="eastAsia" w:ascii="仿宋" w:hAnsi="仿宋" w:eastAsia="仿宋" w:cs="仿宋"/>
                <w:b w:val="0"/>
                <w:bCs w:val="0"/>
                <w:kern w:val="0"/>
                <w:sz w:val="24"/>
                <w:szCs w:val="24"/>
                <w:lang w:val="en-US" w:eastAsia="zh-CN" w:bidi="ar-SA"/>
              </w:rPr>
              <w:t>20,767.86</w:t>
            </w:r>
          </w:p>
        </w:tc>
        <w:tc>
          <w:tcPr>
            <w:tcW w:w="1891"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18860BAC">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仿宋" w:hAnsi="仿宋" w:eastAsia="仿宋" w:cs="仿宋"/>
                <w:b w:val="0"/>
                <w:bCs w:val="0"/>
                <w:kern w:val="0"/>
                <w:sz w:val="24"/>
                <w:szCs w:val="24"/>
                <w:lang w:val="en-US" w:eastAsia="zh-CN" w:bidi="ar-SA"/>
              </w:rPr>
            </w:pPr>
            <w:r>
              <w:rPr>
                <w:rFonts w:hint="eastAsia" w:ascii="仿宋" w:hAnsi="仿宋" w:eastAsia="仿宋" w:cs="仿宋"/>
                <w:b w:val="0"/>
                <w:bCs w:val="0"/>
                <w:kern w:val="0"/>
                <w:sz w:val="24"/>
                <w:szCs w:val="24"/>
                <w:lang w:val="en-US" w:eastAsia="zh-CN" w:bidi="ar-SA"/>
              </w:rPr>
              <w:t>商业、停车场</w:t>
            </w:r>
          </w:p>
        </w:tc>
        <w:tc>
          <w:tcPr>
            <w:tcW w:w="1912"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1CFE9D11">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仿宋" w:hAnsi="仿宋" w:eastAsia="仿宋" w:cs="仿宋"/>
                <w:b w:val="0"/>
                <w:bCs w:val="0"/>
                <w:kern w:val="0"/>
                <w:sz w:val="24"/>
                <w:szCs w:val="24"/>
                <w:lang w:val="en-US" w:eastAsia="zh-CN" w:bidi="ar-SA"/>
              </w:rPr>
            </w:pPr>
            <w:r>
              <w:rPr>
                <w:rFonts w:hint="eastAsia" w:ascii="仿宋" w:hAnsi="仿宋" w:eastAsia="仿宋" w:cs="仿宋"/>
                <w:b w:val="0"/>
                <w:bCs w:val="0"/>
                <w:kern w:val="0"/>
                <w:sz w:val="24"/>
                <w:szCs w:val="24"/>
                <w:lang w:val="en-US" w:eastAsia="zh-CN" w:bidi="ar-SA"/>
              </w:rPr>
              <w:t>5</w:t>
            </w:r>
          </w:p>
        </w:tc>
        <w:tc>
          <w:tcPr>
            <w:tcW w:w="1912"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1E187BA6">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仿宋" w:hAnsi="仿宋" w:eastAsia="仿宋" w:cs="仿宋"/>
                <w:b w:val="0"/>
                <w:bCs w:val="0"/>
                <w:kern w:val="0"/>
                <w:sz w:val="24"/>
                <w:szCs w:val="24"/>
                <w:lang w:val="en-US" w:eastAsia="zh-CN" w:bidi="ar-SA"/>
              </w:rPr>
            </w:pPr>
            <w:r>
              <w:rPr>
                <w:rFonts w:hint="eastAsia" w:ascii="仿宋" w:hAnsi="仿宋" w:eastAsia="仿宋" w:cs="仿宋"/>
                <w:b w:val="0"/>
                <w:bCs w:val="0"/>
                <w:kern w:val="0"/>
                <w:sz w:val="24"/>
                <w:szCs w:val="24"/>
                <w:lang w:val="en-US" w:eastAsia="zh-CN" w:bidi="ar-SA"/>
              </w:rPr>
              <w:t>以</w:t>
            </w:r>
            <w:bookmarkStart w:id="0" w:name="_GoBack"/>
            <w:bookmarkEnd w:id="0"/>
            <w:r>
              <w:rPr>
                <w:rFonts w:hint="eastAsia" w:ascii="仿宋" w:hAnsi="仿宋" w:eastAsia="仿宋" w:cs="仿宋"/>
                <w:b w:val="0"/>
                <w:bCs w:val="0"/>
                <w:kern w:val="0"/>
                <w:sz w:val="24"/>
                <w:szCs w:val="24"/>
                <w:lang w:val="en-US" w:eastAsia="zh-CN" w:bidi="ar-SA"/>
              </w:rPr>
              <w:t>最终规划批复为准</w:t>
            </w:r>
          </w:p>
        </w:tc>
      </w:tr>
      <w:tr w14:paraId="7BA98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18"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4C1AC237">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仿宋" w:hAnsi="仿宋" w:eastAsia="仿宋" w:cs="仿宋"/>
                <w:b w:val="0"/>
                <w:bCs w:val="0"/>
                <w:kern w:val="0"/>
                <w:sz w:val="24"/>
                <w:szCs w:val="24"/>
                <w:lang w:val="en-US" w:eastAsia="zh-CN" w:bidi="ar-SA"/>
              </w:rPr>
            </w:pPr>
            <w:r>
              <w:rPr>
                <w:rFonts w:hint="eastAsia" w:ascii="仿宋" w:hAnsi="仿宋" w:eastAsia="仿宋" w:cs="仿宋"/>
                <w:b w:val="0"/>
                <w:bCs w:val="0"/>
                <w:kern w:val="0"/>
                <w:sz w:val="24"/>
                <w:szCs w:val="24"/>
                <w:lang w:val="en-US" w:eastAsia="zh-CN" w:bidi="ar-SA"/>
              </w:rPr>
              <w:t>地块五</w:t>
            </w:r>
          </w:p>
        </w:tc>
        <w:tc>
          <w:tcPr>
            <w:tcW w:w="1891"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472A7840">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仿宋" w:hAnsi="仿宋" w:eastAsia="仿宋" w:cs="仿宋"/>
                <w:b w:val="0"/>
                <w:bCs w:val="0"/>
                <w:kern w:val="0"/>
                <w:sz w:val="24"/>
                <w:szCs w:val="24"/>
                <w:lang w:val="en-US" w:eastAsia="zh-CN" w:bidi="ar-SA"/>
              </w:rPr>
            </w:pPr>
            <w:r>
              <w:rPr>
                <w:rFonts w:hint="eastAsia" w:ascii="仿宋" w:hAnsi="仿宋" w:eastAsia="仿宋" w:cs="仿宋"/>
                <w:b w:val="0"/>
                <w:bCs w:val="0"/>
                <w:kern w:val="0"/>
                <w:sz w:val="24"/>
                <w:szCs w:val="24"/>
                <w:lang w:val="en-US" w:eastAsia="zh-CN" w:bidi="ar-SA"/>
              </w:rPr>
              <w:t>24,410.23</w:t>
            </w:r>
          </w:p>
        </w:tc>
        <w:tc>
          <w:tcPr>
            <w:tcW w:w="1891"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4C148711">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仿宋" w:hAnsi="仿宋" w:eastAsia="仿宋" w:cs="仿宋"/>
                <w:b w:val="0"/>
                <w:bCs w:val="0"/>
                <w:kern w:val="0"/>
                <w:sz w:val="24"/>
                <w:szCs w:val="24"/>
                <w:lang w:val="en-US" w:eastAsia="zh-CN" w:bidi="ar-SA"/>
              </w:rPr>
            </w:pPr>
            <w:r>
              <w:rPr>
                <w:rFonts w:hint="eastAsia" w:ascii="仿宋" w:hAnsi="仿宋" w:eastAsia="仿宋" w:cs="仿宋"/>
                <w:b w:val="0"/>
                <w:bCs w:val="0"/>
                <w:kern w:val="0"/>
                <w:sz w:val="24"/>
                <w:szCs w:val="24"/>
                <w:lang w:val="en-US" w:eastAsia="zh-CN" w:bidi="ar-SA"/>
              </w:rPr>
              <w:t>商业、停车场</w:t>
            </w:r>
          </w:p>
        </w:tc>
        <w:tc>
          <w:tcPr>
            <w:tcW w:w="1912"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259C9D4B">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仿宋" w:hAnsi="仿宋" w:eastAsia="仿宋" w:cs="仿宋"/>
                <w:b w:val="0"/>
                <w:bCs w:val="0"/>
                <w:kern w:val="0"/>
                <w:sz w:val="24"/>
                <w:szCs w:val="24"/>
                <w:lang w:val="en-US" w:eastAsia="zh-CN" w:bidi="ar-SA"/>
              </w:rPr>
            </w:pPr>
            <w:r>
              <w:rPr>
                <w:rFonts w:hint="eastAsia" w:ascii="仿宋" w:hAnsi="仿宋" w:eastAsia="仿宋" w:cs="仿宋"/>
                <w:b w:val="0"/>
                <w:bCs w:val="0"/>
                <w:kern w:val="0"/>
                <w:sz w:val="24"/>
                <w:szCs w:val="24"/>
                <w:lang w:val="en-US" w:eastAsia="zh-CN" w:bidi="ar-SA"/>
              </w:rPr>
              <w:t>5</w:t>
            </w:r>
          </w:p>
        </w:tc>
        <w:tc>
          <w:tcPr>
            <w:tcW w:w="1912"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0963AA15">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仿宋" w:hAnsi="仿宋" w:eastAsia="仿宋" w:cs="仿宋"/>
                <w:b w:val="0"/>
                <w:bCs w:val="0"/>
                <w:kern w:val="0"/>
                <w:sz w:val="24"/>
                <w:szCs w:val="24"/>
                <w:lang w:val="en-US" w:eastAsia="zh-CN" w:bidi="ar-SA"/>
              </w:rPr>
            </w:pPr>
            <w:r>
              <w:rPr>
                <w:rFonts w:hint="eastAsia" w:ascii="仿宋" w:hAnsi="仿宋" w:eastAsia="仿宋" w:cs="仿宋"/>
                <w:b w:val="0"/>
                <w:bCs w:val="0"/>
                <w:kern w:val="0"/>
                <w:sz w:val="24"/>
                <w:szCs w:val="24"/>
                <w:lang w:val="en-US" w:eastAsia="zh-CN" w:bidi="ar-SA"/>
              </w:rPr>
              <w:t>以最终规划批复为准</w:t>
            </w:r>
          </w:p>
        </w:tc>
      </w:tr>
      <w:tr w14:paraId="17AB3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18"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006CEA75">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仿宋" w:hAnsi="仿宋" w:eastAsia="仿宋" w:cs="仿宋"/>
                <w:b w:val="0"/>
                <w:bCs w:val="0"/>
                <w:kern w:val="0"/>
                <w:sz w:val="24"/>
                <w:szCs w:val="24"/>
                <w:lang w:val="en-US" w:eastAsia="zh-CN" w:bidi="ar-SA"/>
              </w:rPr>
            </w:pPr>
            <w:r>
              <w:rPr>
                <w:rFonts w:hint="eastAsia" w:ascii="仿宋" w:hAnsi="仿宋" w:eastAsia="仿宋" w:cs="仿宋"/>
                <w:b w:val="0"/>
                <w:bCs w:val="0"/>
                <w:kern w:val="0"/>
                <w:sz w:val="24"/>
                <w:szCs w:val="24"/>
                <w:lang w:val="en-US" w:eastAsia="zh-CN" w:bidi="ar-SA"/>
              </w:rPr>
              <w:t>合计</w:t>
            </w:r>
          </w:p>
        </w:tc>
        <w:tc>
          <w:tcPr>
            <w:tcW w:w="1891"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470E8D7F">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仿宋" w:hAnsi="仿宋" w:eastAsia="仿宋" w:cs="仿宋"/>
                <w:b w:val="0"/>
                <w:bCs w:val="0"/>
                <w:kern w:val="0"/>
                <w:sz w:val="24"/>
                <w:szCs w:val="24"/>
                <w:lang w:val="en-US" w:eastAsia="zh-CN" w:bidi="ar-SA"/>
              </w:rPr>
            </w:pPr>
            <w:r>
              <w:rPr>
                <w:rFonts w:hint="eastAsia" w:ascii="仿宋" w:hAnsi="仿宋" w:eastAsia="仿宋" w:cs="仿宋"/>
                <w:b w:val="0"/>
                <w:bCs w:val="0"/>
                <w:kern w:val="0"/>
                <w:sz w:val="24"/>
                <w:szCs w:val="24"/>
                <w:lang w:val="en-US" w:eastAsia="zh-CN" w:bidi="ar-SA"/>
              </w:rPr>
              <w:t>139,000.11</w:t>
            </w:r>
          </w:p>
        </w:tc>
        <w:tc>
          <w:tcPr>
            <w:tcW w:w="1891"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2536A599">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仿宋" w:hAnsi="仿宋" w:eastAsia="仿宋" w:cs="仿宋"/>
                <w:b w:val="0"/>
                <w:bCs w:val="0"/>
                <w:kern w:val="0"/>
                <w:sz w:val="24"/>
                <w:szCs w:val="24"/>
                <w:lang w:val="en-US" w:eastAsia="zh-CN" w:bidi="ar-SA"/>
              </w:rPr>
            </w:pPr>
            <w:r>
              <w:rPr>
                <w:rFonts w:hint="eastAsia" w:ascii="仿宋" w:hAnsi="仿宋" w:eastAsia="仿宋" w:cs="仿宋"/>
                <w:b w:val="0"/>
                <w:bCs w:val="0"/>
                <w:kern w:val="0"/>
                <w:sz w:val="24"/>
                <w:szCs w:val="24"/>
                <w:lang w:val="en-US" w:eastAsia="zh-CN" w:bidi="ar-SA"/>
              </w:rPr>
              <w:t>—</w:t>
            </w:r>
          </w:p>
        </w:tc>
        <w:tc>
          <w:tcPr>
            <w:tcW w:w="1912"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3B2017D8">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仿宋" w:hAnsi="仿宋" w:eastAsia="仿宋" w:cs="仿宋"/>
                <w:b w:val="0"/>
                <w:bCs w:val="0"/>
                <w:kern w:val="0"/>
                <w:sz w:val="24"/>
                <w:szCs w:val="24"/>
                <w:lang w:val="en-US" w:eastAsia="zh-CN" w:bidi="ar-SA"/>
              </w:rPr>
            </w:pPr>
          </w:p>
        </w:tc>
        <w:tc>
          <w:tcPr>
            <w:tcW w:w="1912"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0A2F21A9">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仿宋" w:hAnsi="仿宋" w:eastAsia="仿宋" w:cs="仿宋"/>
                <w:b w:val="0"/>
                <w:bCs w:val="0"/>
                <w:kern w:val="0"/>
                <w:sz w:val="24"/>
                <w:szCs w:val="24"/>
                <w:lang w:val="en-US" w:eastAsia="zh-CN" w:bidi="ar-SA"/>
              </w:rPr>
            </w:pPr>
            <w:r>
              <w:rPr>
                <w:rFonts w:hint="eastAsia" w:ascii="仿宋" w:hAnsi="仿宋" w:eastAsia="仿宋" w:cs="仿宋"/>
                <w:b w:val="0"/>
                <w:bCs w:val="0"/>
                <w:kern w:val="0"/>
                <w:sz w:val="24"/>
                <w:szCs w:val="24"/>
                <w:lang w:val="en-US" w:eastAsia="zh-CN" w:bidi="ar-SA"/>
              </w:rPr>
              <w:t>—</w:t>
            </w:r>
          </w:p>
        </w:tc>
      </w:tr>
    </w:tbl>
    <w:p w14:paraId="6ABCDDED">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bidi="ar-SA"/>
        </w:rPr>
        <w:t>业态说明：商业部分以运动主题体验消费为核心，涵盖户外休闲运动、基础运动、潮流运动、体验运动四大类，兼顾家庭客群、企业团建、赛事活动及运动员训练等多元场景；停车场为配套功能，服务于上述商业业态及口岸客流停车需求。</w:t>
      </w:r>
    </w:p>
    <w:p w14:paraId="07F86343">
      <w:pPr>
        <w:spacing w:line="480" w:lineRule="auto"/>
        <w:ind w:firstLine="562" w:firstLineChars="200"/>
        <w:jc w:val="left"/>
      </w:pPr>
      <w:r>
        <w:rPr>
          <w:rFonts w:hint="eastAsia" w:ascii="仿宋" w:hAnsi="仿宋" w:eastAsia="仿宋" w:cs="仿宋"/>
          <w:b/>
          <w:bCs/>
          <w:kern w:val="0"/>
          <w:sz w:val="28"/>
          <w:szCs w:val="28"/>
          <w:lang w:val="en-US" w:eastAsia="zh-CN" w:bidi="ar-SA"/>
        </w:rPr>
        <w:t>二、需求内容</w:t>
      </w:r>
    </w:p>
    <w:p w14:paraId="6FF6EB71">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bidi="ar-SA"/>
        </w:rPr>
        <w:t>（1）评估内容：上述地块在拟出租用途（商业、停车场）及拟出租条件下的土地租金（市场租金）。</w:t>
      </w:r>
    </w:p>
    <w:p w14:paraId="23B290EF">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bidi="ar-SA"/>
        </w:rPr>
        <w:t>（2）评估目的：为委托方对上述地块实施出租提供客观、合理的土地租金定价依据，作为地块公开招租或协议出租确定租金水平的参考。</w:t>
      </w:r>
    </w:p>
    <w:p w14:paraId="78F4BA38">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bidi="ar-SA"/>
        </w:rPr>
        <w:t>（3）评估依据：评估机构应自行收集当地土地市场租金案例、基准地价、标定地价等市场资料，并结合采购人提供的地块基本信息开展评估工作。</w:t>
      </w:r>
    </w:p>
    <w:p w14:paraId="21E7BD1F">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bidi="ar-SA"/>
        </w:rPr>
        <w:t>（4）评估要求：①</w:t>
      </w:r>
      <w:r>
        <w:rPr>
          <w:rFonts w:hint="eastAsia" w:ascii="仿宋" w:hAnsi="仿宋" w:eastAsia="仿宋" w:cs="仿宋"/>
          <w:b w:val="0"/>
          <w:bCs w:val="0"/>
          <w:kern w:val="0"/>
          <w:sz w:val="28"/>
          <w:szCs w:val="28"/>
          <w:lang w:val="en-US" w:eastAsia="zh-CN"/>
        </w:rPr>
        <w:t>按国家有关法律、行政法规和估价规范准则要求</w:t>
      </w:r>
      <w:r>
        <w:rPr>
          <w:rFonts w:hint="eastAsia" w:ascii="仿宋" w:hAnsi="仿宋" w:eastAsia="仿宋" w:cs="仿宋"/>
          <w:b w:val="0"/>
          <w:bCs w:val="0"/>
          <w:kern w:val="0"/>
          <w:sz w:val="28"/>
          <w:szCs w:val="28"/>
          <w:lang w:val="en-US" w:eastAsia="zh-CN" w:bidi="ar-SA"/>
        </w:rPr>
        <w:t>，独立、客观、公正地出具土地租金评估报告；②在对地块租金进行评估时，应充分考虑地块区位（港珠澳大桥人工岛口岸片区）、土地用途（商业、停车场）、规划条件（容积率、建筑密度、建筑限高等）、土地开发程度、租赁年期、租金支付方式、周边土地市场租金水平、口岸客流及消费潜力、划拨转出让地价款（如涉及）、产权证证载面积等方面的情况；③评估结论应明确给出各地块在评估基准日下的土地年租金（元/㎡·年）及总租金水平，并说明租金内涵（是否含税费、是否含地上建/构筑物等）。</w:t>
      </w:r>
    </w:p>
    <w:p w14:paraId="7A4AAF67">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bidi="ar-SA"/>
        </w:rPr>
        <w:t>（5）评估方法：①评估专业人员应当恰当选择评估方法，除依据评估执业准则只能选择一种评估方法的外，应当选择两种以上评估方法，经综合分析，形成评估结论，编制评估报告；②可执行的方法包括但不限于市场比较法（收集人工岛及周边同类型土地出租可比案例）、收益还原法（基于地块未来运营收益测算土地租金）、成本法及基准地价系数修正法等；③评估报告出具后，须发送一份成果扫描版给采购人指定经办人，并装订3份成果文件送采购人存档。</w:t>
      </w:r>
    </w:p>
    <w:p w14:paraId="70134F16">
      <w:pPr>
        <w:spacing w:line="480" w:lineRule="auto"/>
        <w:ind w:firstLine="562" w:firstLineChars="200"/>
        <w:jc w:val="left"/>
        <w:rPr>
          <w:rFonts w:hint="eastAsia" w:ascii="仿宋" w:hAnsi="仿宋" w:eastAsia="仿宋" w:cs="仿宋"/>
          <w:b/>
          <w:bCs/>
          <w:sz w:val="28"/>
          <w:szCs w:val="28"/>
          <w:lang w:val="en-US" w:eastAsia="zh-CN" w:bidi="ar-SA"/>
        </w:rPr>
      </w:pPr>
      <w:r>
        <w:rPr>
          <w:rFonts w:hint="eastAsia" w:ascii="仿宋" w:hAnsi="仿宋" w:eastAsia="仿宋" w:cs="仿宋"/>
          <w:b/>
          <w:bCs/>
          <w:sz w:val="28"/>
          <w:szCs w:val="28"/>
          <w:lang w:val="en-US" w:eastAsia="zh-CN" w:bidi="ar-SA"/>
        </w:rPr>
        <w:t>三、招标内容</w:t>
      </w:r>
    </w:p>
    <w:p w14:paraId="27A1EFDA">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bidi="ar-SA"/>
        </w:rPr>
        <w:t>（1）完成采购人指定的上述三宗地块在拟出租用途下的土地市场租金评估，在保证质量并符合实际价值的前提下出具土地租金评估报告。</w:t>
      </w:r>
    </w:p>
    <w:p w14:paraId="6490780B">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bidi="ar-SA"/>
        </w:rPr>
        <w:t>（2）编制各宗地块的评估报告书，所有成果文件符合国家及广东省土地估价标准，并组织和确保通过相关主管部门的评审。</w:t>
      </w:r>
    </w:p>
    <w:p w14:paraId="2BF5892F">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bidi="ar-SA"/>
        </w:rPr>
        <w:t>（3）评估机构须具备土地估价相应资质，并优先从珠海市自然资源主管部门认可的土地评估机构备选库中选定；评估团队应有同类口岸、文旅体商业或大型地块租金评估项目经验。</w:t>
      </w:r>
    </w:p>
    <w:p w14:paraId="2AC4D16B">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bidi="ar-SA"/>
        </w:rPr>
        <w:t>（4）评估机构应对评估过程中涉及的商业秘密及地块敏感信息严格保密，未经采购人书面同意不得向第三方披露。</w:t>
      </w:r>
    </w:p>
    <w:p w14:paraId="2A218CC9">
      <w:pPr>
        <w:spacing w:line="480" w:lineRule="auto"/>
        <w:ind w:firstLine="562" w:firstLineChars="200"/>
        <w:jc w:val="left"/>
        <w:rPr>
          <w:rFonts w:hint="eastAsia" w:ascii="仿宋" w:hAnsi="仿宋" w:eastAsia="仿宋" w:cs="仿宋"/>
          <w:b/>
          <w:bCs/>
          <w:sz w:val="28"/>
          <w:szCs w:val="28"/>
          <w:lang w:val="en-US" w:eastAsia="zh-CN" w:bidi="ar-SA"/>
        </w:rPr>
      </w:pPr>
      <w:r>
        <w:rPr>
          <w:rFonts w:hint="eastAsia" w:ascii="仿宋" w:hAnsi="仿宋" w:eastAsia="仿宋" w:cs="仿宋"/>
          <w:b/>
          <w:bCs/>
          <w:sz w:val="28"/>
          <w:szCs w:val="28"/>
          <w:lang w:val="en-US" w:eastAsia="zh-CN" w:bidi="ar-SA"/>
        </w:rPr>
        <w:t>四、工作进度及成果要求</w:t>
      </w:r>
    </w:p>
    <w:p w14:paraId="7D8DFB87">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bidi="ar-SA"/>
        </w:rPr>
        <w:t>（1）中标后，接到正式评估委托函之日起在招标人规定工作日内提交评估报告初稿，初评报告应为包含评估结果报告、评估技术报告、附件等在内的完整报告。</w:t>
      </w:r>
    </w:p>
    <w:p w14:paraId="70DAEC4A">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bidi="ar-SA"/>
        </w:rPr>
        <w:t>（2）如采购人对咨询报告（初稿）有修改意见，需在采购人提出修改意见后的3个工作日内作出修改；如采购人无相关修改意见，则在采购人确认通知后的1个工作日内出具正式盖章的咨询报告。</w:t>
      </w:r>
    </w:p>
    <w:p w14:paraId="21D4906C">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bidi="ar-SA"/>
        </w:rPr>
        <w:t>（3）服务期限为中标通知书发出之日起至中标人提交成果符合招标文件规定的质量控制目标止。</w:t>
      </w:r>
    </w:p>
    <w:p w14:paraId="2B24DA64">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bidi="ar-SA"/>
        </w:rPr>
        <w:t>（4）成果文件形式：出具《土地租金评估报告》，含报告正文、测算过程、参数说明、附件（含可比案例、基准地价修正过程、土地还原利率确定依据等）。</w:t>
      </w:r>
    </w:p>
    <w:p w14:paraId="10468502">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rPr>
          <w:rFonts w:hint="eastAsia" w:ascii="仿宋" w:hAnsi="仿宋" w:eastAsia="仿宋" w:cs="仿宋"/>
          <w:b w:val="0"/>
          <w:bCs w:val="0"/>
          <w:kern w:val="0"/>
          <w:sz w:val="28"/>
          <w:szCs w:val="28"/>
          <w:lang w:val="en-US" w:eastAsia="zh-CN" w:bidi="ar-SA"/>
        </w:rPr>
      </w:pPr>
    </w:p>
    <w:sectPr>
      <w:headerReference r:id="rId3" w:type="default"/>
      <w:footerReference r:id="rId4"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36A77">
    <w:pPr>
      <w:jc w:val="center"/>
    </w:pPr>
    <w:r>
      <w:rPr>
        <w:rFonts w:ascii="宋体" w:hAnsi="宋体" w:eastAsia="宋体" w:cs="宋体"/>
        <w:sz w:val="18"/>
        <w:szCs w:val="18"/>
      </w:rPr>
      <w:t xml:space="preserve">第 </w:t>
    </w:r>
    <w:r>
      <w:rPr>
        <w:rFonts w:ascii="宋体" w:hAnsi="宋体" w:eastAsia="宋体" w:cs="宋体"/>
        <w:sz w:val="18"/>
        <w:szCs w:val="18"/>
      </w:rPr>
      <w:fldChar w:fldCharType="begin"/>
    </w:r>
    <w:r>
      <w:rPr>
        <w:rFonts w:ascii="宋体" w:hAnsi="宋体" w:eastAsia="宋体" w:cs="宋体"/>
        <w:sz w:val="18"/>
        <w:szCs w:val="18"/>
      </w:rPr>
      <w:instrText xml:space="preserve">PAGE</w:instrText>
    </w:r>
    <w:r>
      <w:rPr>
        <w:rFonts w:ascii="宋体" w:hAnsi="宋体" w:eastAsia="宋体" w:cs="宋体"/>
        <w:sz w:val="18"/>
        <w:szCs w:val="18"/>
      </w:rPr>
      <w:fldChar w:fldCharType="separate"/>
    </w:r>
    <w:r>
      <w:rPr>
        <w:rFonts w:ascii="宋体" w:hAnsi="宋体" w:eastAsia="宋体" w:cs="宋体"/>
        <w:sz w:val="18"/>
        <w:szCs w:val="18"/>
      </w:rPr>
      <w:fldChar w:fldCharType="end"/>
    </w:r>
    <w:r>
      <w:rPr>
        <w:rFonts w:ascii="宋体" w:hAnsi="宋体" w:eastAsia="宋体" w:cs="宋体"/>
        <w:sz w:val="18"/>
        <w:szCs w:val="18"/>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07CA4">
    <w:pPr>
      <w:jc w:val="center"/>
    </w:pPr>
    <w:r>
      <w:rPr>
        <w:rFonts w:hint="eastAsia" w:cs="宋体"/>
        <w:color w:val="808080"/>
        <w:sz w:val="18"/>
        <w:szCs w:val="18"/>
        <w:lang w:eastAsia="zh-CN"/>
      </w:rPr>
      <w:t>珠海人工岛地块</w:t>
    </w:r>
    <w:r>
      <w:rPr>
        <w:rFonts w:ascii="宋体" w:hAnsi="宋体" w:eastAsia="宋体" w:cs="宋体"/>
        <w:color w:val="808080"/>
        <w:sz w:val="18"/>
        <w:szCs w:val="18"/>
      </w:rPr>
      <w:t>出租租金评估技术任务书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documentProtection w:enforcement="0"/>
  <w:compat>
    <w:useFELayout/>
    <w:compatSetting w:name="compatibilityMode" w:uri="http://schemas.microsoft.com/office/word" w:val="15"/>
  </w:compat>
  <w:rsids>
    <w:rsidRoot w:val="00000000"/>
    <w:rsid w:val="282C66F4"/>
    <w:rsid w:val="5474272F"/>
    <w:rsid w:val="6F636F8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sz w:val="24"/>
      <w:szCs w:val="24"/>
    </w:rPr>
  </w:style>
  <w:style w:type="paragraph" w:styleId="2">
    <w:name w:val="heading 1"/>
    <w:next w:val="1"/>
    <w:qFormat/>
    <w:uiPriority w:val="0"/>
    <w:rPr>
      <w:rFonts w:ascii="宋体" w:hAnsi="宋体" w:eastAsia="宋体" w:cs="宋体"/>
      <w:color w:val="2E74B5"/>
      <w:sz w:val="32"/>
      <w:szCs w:val="32"/>
    </w:rPr>
  </w:style>
  <w:style w:type="paragraph" w:styleId="3">
    <w:name w:val="heading 2"/>
    <w:next w:val="1"/>
    <w:qFormat/>
    <w:uiPriority w:val="0"/>
    <w:rPr>
      <w:rFonts w:ascii="宋体" w:hAnsi="宋体" w:eastAsia="宋体" w:cs="宋体"/>
      <w:color w:val="2E74B5"/>
      <w:sz w:val="26"/>
      <w:szCs w:val="26"/>
    </w:rPr>
  </w:style>
  <w:style w:type="paragraph" w:styleId="4">
    <w:name w:val="heading 3"/>
    <w:next w:val="1"/>
    <w:qFormat/>
    <w:uiPriority w:val="0"/>
    <w:rPr>
      <w:rFonts w:ascii="宋体" w:hAnsi="宋体" w:eastAsia="宋体" w:cs="宋体"/>
      <w:color w:val="1F4D78"/>
      <w:sz w:val="24"/>
      <w:szCs w:val="24"/>
    </w:rPr>
  </w:style>
  <w:style w:type="paragraph" w:styleId="5">
    <w:name w:val="heading 4"/>
    <w:next w:val="1"/>
    <w:qFormat/>
    <w:uiPriority w:val="0"/>
    <w:rPr>
      <w:rFonts w:ascii="宋体" w:hAnsi="宋体" w:eastAsia="宋体" w:cs="宋体"/>
      <w:i/>
      <w:iCs/>
      <w:color w:val="2E74B5"/>
      <w:sz w:val="24"/>
      <w:szCs w:val="24"/>
    </w:rPr>
  </w:style>
  <w:style w:type="paragraph" w:styleId="6">
    <w:name w:val="heading 5"/>
    <w:next w:val="1"/>
    <w:qFormat/>
    <w:uiPriority w:val="0"/>
    <w:rPr>
      <w:rFonts w:ascii="宋体" w:hAnsi="宋体" w:eastAsia="宋体" w:cs="宋体"/>
      <w:color w:val="2E74B5"/>
      <w:sz w:val="24"/>
      <w:szCs w:val="24"/>
    </w:rPr>
  </w:style>
  <w:style w:type="paragraph" w:styleId="7">
    <w:name w:val="heading 6"/>
    <w:next w:val="1"/>
    <w:qFormat/>
    <w:uiPriority w:val="0"/>
    <w:rPr>
      <w:rFonts w:ascii="宋体" w:hAnsi="宋体" w:eastAsia="宋体" w:cs="宋体"/>
      <w:color w:val="1F4D78"/>
      <w:sz w:val="24"/>
      <w:szCs w:val="24"/>
    </w:rPr>
  </w:style>
  <w:style w:type="character" w:default="1" w:styleId="12">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8">
    <w:name w:val="endnote text"/>
    <w:link w:val="18"/>
    <w:semiHidden/>
    <w:unhideWhenUsed/>
    <w:qFormat/>
    <w:uiPriority w:val="99"/>
    <w:pPr>
      <w:spacing w:after="0" w:line="240" w:lineRule="auto"/>
    </w:pPr>
    <w:rPr>
      <w:rFonts w:ascii="宋体" w:hAnsi="宋体" w:eastAsia="宋体" w:cs="宋体"/>
      <w:sz w:val="20"/>
      <w:szCs w:val="20"/>
    </w:rPr>
  </w:style>
  <w:style w:type="paragraph" w:styleId="9">
    <w:name w:val="footnote text"/>
    <w:link w:val="17"/>
    <w:semiHidden/>
    <w:unhideWhenUsed/>
    <w:qFormat/>
    <w:uiPriority w:val="99"/>
    <w:pPr>
      <w:spacing w:after="0" w:line="240" w:lineRule="auto"/>
    </w:pPr>
    <w:rPr>
      <w:rFonts w:ascii="宋体" w:hAnsi="宋体" w:eastAsia="宋体" w:cs="宋体"/>
      <w:sz w:val="20"/>
      <w:szCs w:val="20"/>
    </w:rPr>
  </w:style>
  <w:style w:type="paragraph" w:styleId="10">
    <w:name w:val="Title"/>
    <w:qFormat/>
    <w:uiPriority w:val="0"/>
    <w:rPr>
      <w:rFonts w:ascii="宋体" w:hAnsi="宋体" w:eastAsia="宋体" w:cs="宋体"/>
      <w:sz w:val="56"/>
      <w:szCs w:val="56"/>
    </w:rPr>
  </w:style>
  <w:style w:type="character" w:styleId="13">
    <w:name w:val="endnote reference"/>
    <w:semiHidden/>
    <w:unhideWhenUsed/>
    <w:qFormat/>
    <w:uiPriority w:val="99"/>
    <w:rPr>
      <w:vertAlign w:val="superscript"/>
    </w:rPr>
  </w:style>
  <w:style w:type="character" w:styleId="14">
    <w:name w:val="Hyperlink"/>
    <w:unhideWhenUsed/>
    <w:qFormat/>
    <w:uiPriority w:val="99"/>
    <w:rPr>
      <w:color w:val="0563C1"/>
      <w:u w:val="single"/>
    </w:rPr>
  </w:style>
  <w:style w:type="character" w:styleId="15">
    <w:name w:val="footnote reference"/>
    <w:semiHidden/>
    <w:unhideWhenUsed/>
    <w:qFormat/>
    <w:uiPriority w:val="99"/>
    <w:rPr>
      <w:vertAlign w:val="superscript"/>
    </w:rPr>
  </w:style>
  <w:style w:type="paragraph" w:styleId="16">
    <w:name w:val="List Paragraph"/>
    <w:qFormat/>
    <w:uiPriority w:val="0"/>
    <w:rPr>
      <w:rFonts w:ascii="宋体" w:hAnsi="宋体" w:eastAsia="宋体" w:cs="宋体"/>
      <w:sz w:val="24"/>
      <w:szCs w:val="24"/>
    </w:rPr>
  </w:style>
  <w:style w:type="character" w:customStyle="1" w:styleId="17">
    <w:name w:val="Footnote Text Char"/>
    <w:link w:val="9"/>
    <w:semiHidden/>
    <w:unhideWhenUsed/>
    <w:qFormat/>
    <w:uiPriority w:val="99"/>
    <w:rPr>
      <w:sz w:val="20"/>
      <w:szCs w:val="20"/>
    </w:rPr>
  </w:style>
  <w:style w:type="character" w:customStyle="1" w:styleId="18">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426</Words>
  <Characters>438</Characters>
  <TotalTime>2</TotalTime>
  <ScaleCrop>false</ScaleCrop>
  <LinksUpToDate>false</LinksUpToDate>
  <CharactersWithSpaces>442</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2026-08-21T08:29:00Z</dcterms:created>
  <dc:creator>Un-named</dc:creator>
  <cp:lastModifiedBy>卟嘟嘟嘟</cp:lastModifiedBy>
  <dcterms:modified xsi:type="dcterms:W3CDTF">2026-08-21T10:47:10Z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{"Label":"1","ContentProducer":"001191440300708461136T1WFUO","ProduceID":"159c46f74769da5b6e9e5b4b895a1f57-34zt","ReservedCode1":"{\"Type\":\" TC260PG\",\"Version\":1,\"Bindings\":[{\"Type\":\"soft\",\"AlgID\":\"sm3\",\"Value\":\"e4eb5d47d71271a86bd2ffbc854a52ed8f51bd036032cce49926a8a6c24bb8fd\"},{\"Type\":\"hash\",\"AlgID\":\"sm3\",\"Value\":\"72eacf03c3d092030536ceda69171adfcadff484dafcb899afd7c8892c27105e\"}],\"PubSD\":[{\"Type\":\"DS\",\"AlgID\":\"sm2\",\"TBSData\":{\"Type\":\"Binding\",\"BType\":\"hash\"},\"Signature\":\"3046022100af1b6419b34e2f065c7babee9cf81c3b030eabb9dfbc3af9275a5be839510ae8022100c2e719ed82587736e2092a5c2705a1bbdb8911e93effdb8903b11953d955dd71\"},{\"Type\":\"PubKey\",\"AlgID\":\"sm2\",\"KeyValue\":\"0407f79b28a17a752b3aae4305c98b48978213832729a2571850b1310b2bc9fe8fee039ccf25ebfeac27502414d9fcef792d777183c98893d226171c2f7a3289a2\"}],\"Extension\":{\"Timestamp\":1787301040,\"KeyVersion\":\"v1-TxLeOmf7bqU223\"}}","ContentPropagator":"001191440300708461136T1WFUO","PropagateID":"159c46f74769da5b6e9e5b4b895a1f57-34zt","ReservedCode2":"{\"Type\":\" TC260PG\",\"Version\":1,\"Bindings\":[{\"Type\":\"soft\",\"AlgID\":\"sm3\",\"Value\":\"e4eb5d47d71271a86bd2ffbc854a52ed8f51bd036032cce49926a8a6c24bb8fd\"},{\"Type\":\"hash\",\"AlgID\":\"sm3\",\"Value\":\"72eacf03c3d092030536ceda69171adfcadff484dafcb899afd7c8892c27105e\"}],\"PubSD\":[{\"Type\":\"DS\",\"AlgID\":\"sm2\",\"TBSData\":{\"Type\":\"Binding\",\"BType\":\"hash\"},\"Signature\":\"3044022046b592a028785ba43d6f147d970c33b0b7e2143f370359e1d2a58821b59d4c4c022062fc16fabce982748c7e8f6085f447ba24cc90188e75e173501593b5f53b64b9\"},{\"Type\":\"PubKey\",\"AlgID\":\"sm2\",\"KeyValue\":\"0407f79b28a17a752b3aae4305c98b48978213832729a2571850b1310b2bc9fe8fee039ccf25ebfeac27502414d9fcef792d777183c98893d226171c2f7a3289a2\"}],\"Extension\":{\"Timestamp\":1787301040,\"KeyVersion\":\"v1-TxLeOmf7bqU223\"}}"}</vt:lpwstr>
  </property>
  <property fmtid="{D5CDD505-2E9C-101B-9397-08002B2CF9AE}" pid="3" name="KSOProductBuildVer">
    <vt:lpwstr>2052-12.1.0.28043</vt:lpwstr>
  </property>
  <property fmtid="{D5CDD505-2E9C-101B-9397-08002B2CF9AE}" pid="4" name="ICV">
    <vt:lpwstr>7E2C8975E7B54ABD8E5166363D15FD1B_13</vt:lpwstr>
  </property>
  <property fmtid="{D5CDD505-2E9C-101B-9397-08002B2CF9AE}" pid="5" name="KSOTemplateDocerSaveRecord">
    <vt:lpwstr>eyJoZGlkIjoiNjcyYmE1ZWMxNGNiN2U2MjMzM2MzNGYwZGZiNDVjOWEiLCJ1c2VySWQiOiI3MTgxOTc5MTQifQ==</vt:lpwstr>
  </property>
</Properties>
</file>